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Luego de un análisis realizado en un sistema de facturación, se ha detectado un mal diseño en la base de datos. La misma, cuenta con una tabla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facturas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que almacena datos de diferente naturaleza.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se puede observar, la tabla cuenta con datos que podrían ser normalizados y separados en diferentes entidades.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480888" cy="27576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888" cy="275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solicita para el escenario anterior: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Aplicar reglas de normalización y elaborar un modelo de DER que alcance la tercera forma normal (3FN).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Describir con sus palabras cada paso de la descomposición y aplicación de las reglas para visualizar el planteo realizado.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Respuestas: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1FN: 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Se eliminan datos duplicados en atributos y se crean registros independientes.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2FN: 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Se eliminan columnas que no dependen de la clave principal. La regla de la Segunda Forma Normal establece que todas las dependencias parciales se deben eliminar y separar dentro de sus propias tablas.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3FN: Elimina subgrupos de datos en múltiples columnas de una tabla y crea tablas nuevas, con relaciones entre ellas.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