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ADD57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小标宋简体" w:hAnsi="方正小标宋简体" w:eastAsia="方正小标宋简体" w:cs="方正小标宋简体"/>
          <w:b w:val="0"/>
          <w:bCs w:val="0"/>
          <w:color w:val="FF0000"/>
          <w:spacing w:val="-40"/>
          <w:w w:val="73"/>
          <w:kern w:val="2"/>
          <w:position w:val="11"/>
          <w:sz w:val="72"/>
          <w:szCs w:val="72"/>
          <w:lang w:val="en-US" w:eastAsia="zh-CN" w:bidi="ar-SA"/>
        </w:rPr>
      </w:pPr>
    </w:p>
    <w:p w14:paraId="33139EC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方正小标宋简体" w:hAnsi="方正小标宋简体" w:eastAsia="方正小标宋简体" w:cs="方正小标宋简体"/>
          <w:b w:val="0"/>
          <w:bCs w:val="0"/>
          <w:spacing w:val="-40"/>
          <w:w w:val="73"/>
          <w:kern w:val="40"/>
          <w:sz w:val="72"/>
          <w:szCs w:val="72"/>
          <w:lang w:val="en-US" w:eastAsia="zh-CN" w:bidi="ar-SA"/>
        </w:rPr>
      </w:pPr>
      <w:r>
        <w:rPr>
          <w:rFonts w:hint="eastAsia" w:ascii="方正小标宋简体" w:hAnsi="方正小标宋简体" w:eastAsia="方正小标宋简体" w:cs="方正小标宋简体"/>
          <w:b w:val="0"/>
          <w:bCs w:val="0"/>
          <w:color w:val="FF0000"/>
          <w:spacing w:val="-40"/>
          <w:w w:val="73"/>
          <w:kern w:val="2"/>
          <w:position w:val="11"/>
          <w:sz w:val="72"/>
          <w:szCs w:val="72"/>
          <w:lang w:val="en-US" w:eastAsia="zh-CN" w:bidi="ar-SA"/>
        </w:rPr>
        <w:t>中铁物总供应链科技（山东）有限公司文件</w:t>
      </w:r>
    </w:p>
    <w:p w14:paraId="1257F80F">
      <w:pPr>
        <w:spacing w:before="217" w:beforeLines="50" w:line="340" w:lineRule="exact"/>
        <w:ind w:firstLine="0" w:firstLineChars="0"/>
        <w:rPr>
          <w:rFonts w:ascii="仿宋_GB2312" w:hAnsi="Times New Roman" w:eastAsia="仿宋_GB2312" w:cs="Times New Roman"/>
          <w:kern w:val="2"/>
          <w:sz w:val="32"/>
          <w:szCs w:val="24"/>
          <w:lang w:val="en-US" w:eastAsia="zh-CN" w:bidi="ar-SA"/>
        </w:rPr>
      </w:pPr>
    </w:p>
    <w:p w14:paraId="6D65929A">
      <w:pPr>
        <w:ind w:firstLine="0" w:firstLineChars="0"/>
        <w:jc w:val="center"/>
        <w:rPr>
          <w:rFonts w:ascii="仿宋_GB2312" w:hAnsi="Times New Roman" w:eastAsia="仿宋_GB2312" w:cs="Times New Roman"/>
          <w:kern w:val="2"/>
          <w:sz w:val="32"/>
          <w:szCs w:val="24"/>
          <w:lang w:val="en-US" w:eastAsia="zh-CN" w:bidi="ar-SA"/>
        </w:rPr>
      </w:pPr>
      <w:r>
        <w:rPr>
          <w:rFonts w:hint="eastAsia" w:ascii="仿宋_GB2312" w:hAnsi="Calibri" w:eastAsia="仿宋_GB2312" w:cs="Times New Roman"/>
          <w:kern w:val="2"/>
          <w:sz w:val="32"/>
          <w:szCs w:val="32"/>
          <w:lang w:val="en-US" w:eastAsia="zh-CN" w:bidi="ar-SA"/>
        </w:rPr>
        <w:t>铁物山东安〔2025〕</w:t>
      </w:r>
      <w:r>
        <w:rPr>
          <w:rFonts w:hint="eastAsia" w:ascii="仿宋_GB2312" w:hAnsi="Calibri" w:cs="Times New Roman"/>
          <w:kern w:val="2"/>
          <w:sz w:val="32"/>
          <w:szCs w:val="32"/>
          <w:lang w:val="en-US" w:eastAsia="zh-CN" w:bidi="ar-SA"/>
        </w:rPr>
        <w:t>14</w:t>
      </w:r>
      <w:r>
        <w:rPr>
          <w:rFonts w:hint="eastAsia" w:ascii="仿宋_GB2312" w:hAnsi="Calibri" w:eastAsia="仿宋_GB2312" w:cs="Times New Roman"/>
          <w:kern w:val="2"/>
          <w:sz w:val="32"/>
          <w:szCs w:val="32"/>
          <w:lang w:val="en-US" w:eastAsia="zh-CN" w:bidi="ar-SA"/>
        </w:rPr>
        <w:t>号</w:t>
      </w:r>
    </w:p>
    <w:p w14:paraId="57059D61">
      <w:pPr>
        <w:spacing w:line="540" w:lineRule="exact"/>
        <w:ind w:firstLine="0" w:firstLineChars="0"/>
        <w:rPr>
          <w:rFonts w:ascii="仿宋_GB2312" w:hAnsi="Times New Roman" w:eastAsia="仿宋_GB2312" w:cs="Times New Roman"/>
          <w:kern w:val="2"/>
          <w:sz w:val="32"/>
          <w:szCs w:val="24"/>
          <w:lang w:val="en-US" w:eastAsia="zh-CN" w:bidi="ar-SA"/>
        </w:rPr>
      </w:pPr>
      <w:r>
        <w:rPr>
          <w:rFonts w:ascii="仿宋_GB2312" w:hAnsi="Times New Roman" w:eastAsia="仿宋_GB2312" w:cs="Times New Roman"/>
          <w:kern w:val="2"/>
          <w:sz w:val="32"/>
          <w:szCs w:val="24"/>
          <w:lang w:val="en-US" w:eastAsia="zh-CN" w:bidi="ar-SA"/>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100965</wp:posOffset>
                </wp:positionV>
                <wp:extent cx="5652135" cy="0"/>
                <wp:effectExtent l="0" t="9525" r="1905" b="13335"/>
                <wp:wrapNone/>
                <wp:docPr id="2" name="直接连接符 2"/>
                <wp:cNvGraphicFramePr/>
                <a:graphic xmlns:a="http://schemas.openxmlformats.org/drawingml/2006/main">
                  <a:graphicData uri="http://schemas.microsoft.com/office/word/2010/wordprocessingShape">
                    <wps:wsp>
                      <wps:cNvCnPr>
                        <a:cxnSpLocks noChangeShapeType="1"/>
                      </wps:cNvCnPr>
                      <wps:spPr bwMode="auto">
                        <a:xfrm>
                          <a:off x="0" y="0"/>
                          <a:ext cx="5652135" cy="0"/>
                        </a:xfrm>
                        <a:prstGeom prst="line">
                          <a:avLst/>
                        </a:prstGeom>
                        <a:noFill/>
                        <a:ln w="19050">
                          <a:solidFill>
                            <a:srgbClr val="FF0000"/>
                          </a:solidFill>
                          <a:round/>
                        </a:ln>
                        <a:effectLst/>
                      </wps:spPr>
                      <wps:bodyPr/>
                    </wps:wsp>
                  </a:graphicData>
                </a:graphic>
              </wp:anchor>
            </w:drawing>
          </mc:Choice>
          <mc:Fallback>
            <w:pict>
              <v:line id="_x0000_s1026" o:spid="_x0000_s1026" o:spt="20" style="position:absolute;left:0pt;margin-left:0pt;margin-top:7.95pt;height:0pt;width:445.05pt;z-index:251659264;mso-width-relative:page;mso-height-relative:page;" filled="f" stroked="t" coordsize="21600,21600" o:gfxdata="UEsDBAoAAAAAAIdO4kAAAAAAAAAAAAAAAAAEAAAAZHJzL1BLAwQUAAAACACHTuJA+c4/FtUAAAAG&#10;AQAADwAAAGRycy9kb3ducmV2LnhtbE2PwU7DMBBE70j8g7VI3KgdJEIb4vQQCZUDUtXAAW5uvCQR&#10;9jqK3Sb8PYs4wHFmVjNvy+3inTjjFIdAGrKVAoHUBjtQp+H15fFmDSImQ9a4QKjhCyNsq8uL0hQ2&#10;zHTAc5M6wSUUC6OhT2kspIxtj97EVRiROPsIkzeJ5dRJO5mZy72Tt0rl0puBeKE3I9Y9tp/NyWt4&#10;2+/243Nd5+HpfTcvXZ41h3un9fVVph5AJFzS3zH84DM6VMx0DCeyUTgN/Ehi924DgtP1RmUgjr+G&#10;rEr5H7/6BlBLAwQUAAAACACHTuJA+Qubl+wBAAC5AwAADgAAAGRycy9lMm9Eb2MueG1srVNLjhMx&#10;EN0jcQfLe9KdoIyglc4sEoXNAJFmOEDF7U5b2C7LdtLJJbgAEjtYsWTPbWY4BmXnw3w2s6AXlstV&#10;9areq+rJ5c5otpU+KLQ1Hw5KzqQV2Ci7rvmnm8WrN5yFCLYBjVbWfC8Dv5y+fDHpXSVH2KFupGcE&#10;YkPVu5p3MbqqKILopIEwQCctOVv0BiKZfl00HnpCN7oYleVF0aNvnEchQ6DX+cHJj4j+OYDYtkrI&#10;OYqNkTYeUL3UEIlS6JQLfJq7bVsp4se2DTIyXXNiGvNJRei+SmcxnUC19uA6JY4twHNaeMTJgLJU&#10;9Aw1hwhs49UTKKOEx4BtHAg0xYFIVoRYDMtH2lx34GTmQlIHdxY9/D9Y8WG79Ew1NR9xZsHQwO++&#10;/rr98v3P72903v38wUZJpN6FimJndukTTbGz1+4KxefALM46sGuZm73ZO0IYpoziQUoygqNSq/49&#10;NhQDm4hZsV3rTYIkLdguD2Z/HozcRSbocXwxHg1fjzkTJ18B1SnR+RDfSTQsXWqulU2aQQXbqxBT&#10;I1CdQtKzxYXSOs9dW9ZTt2/LcZkzAmrVJG+KC369mmnPtkCrs1iU9GVa5Lkf5nFjm0MVbVOezFt3&#10;LH2ifRBwhc1+6U/a0ERzc8ftSytz384K/vvjp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c4/&#10;FtUAAAAGAQAADwAAAAAAAAABACAAAAAiAAAAZHJzL2Rvd25yZXYueG1sUEsBAhQAFAAAAAgAh07i&#10;QPkLm5fsAQAAuQMAAA4AAAAAAAAAAQAgAAAAJAEAAGRycy9lMm9Eb2MueG1sUEsFBgAAAAAGAAYA&#10;WQEAAIIFAAAAAA==&#10;">
                <v:fill on="f" focussize="0,0"/>
                <v:stroke weight="1.5pt" color="#FF0000" joinstyle="round"/>
                <v:imagedata o:title=""/>
                <o:lock v:ext="edit" aspectratio="f"/>
              </v:line>
            </w:pict>
          </mc:Fallback>
        </mc:AlternateContent>
      </w:r>
      <w:bookmarkStart w:id="0" w:name="ZW"/>
      <w:bookmarkEnd w:id="0"/>
    </w:p>
    <w:p w14:paraId="3E5C36F8">
      <w:pPr>
        <w:spacing w:line="540" w:lineRule="exact"/>
        <w:ind w:firstLine="0" w:firstLineChars="0"/>
        <w:rPr>
          <w:rFonts w:ascii="仿宋_GB2312" w:hAnsi="Times New Roman" w:eastAsia="仿宋_GB2312" w:cs="Times New Roman"/>
          <w:kern w:val="2"/>
          <w:sz w:val="32"/>
          <w:szCs w:val="24"/>
          <w:lang w:val="en-US" w:eastAsia="zh-CN" w:bidi="ar-SA"/>
        </w:rPr>
      </w:pPr>
    </w:p>
    <w:p w14:paraId="74E4DD51">
      <w:pPr>
        <w:spacing w:line="540" w:lineRule="exact"/>
        <w:ind w:firstLine="0" w:firstLineChars="0"/>
        <w:jc w:val="center"/>
        <w:rPr>
          <w:rFonts w:hint="default" w:ascii="宋体" w:hAnsi="宋体" w:eastAsia="宋体" w:cs="宋体"/>
          <w:kern w:val="2"/>
          <w:sz w:val="44"/>
          <w:szCs w:val="44"/>
          <w:lang w:val="en-US" w:eastAsia="zh-CN" w:bidi="ar-SA"/>
        </w:rPr>
      </w:pPr>
      <w:r>
        <w:rPr>
          <w:rFonts w:hint="eastAsia" w:ascii="方正小标宋简体" w:hAnsi="方正小标宋简体" w:eastAsia="方正小标宋简体" w:cs="方正小标宋简体"/>
          <w:kern w:val="2"/>
          <w:sz w:val="44"/>
          <w:szCs w:val="44"/>
          <w:lang w:val="en-US" w:eastAsia="zh-CN" w:bidi="ar-SA"/>
        </w:rPr>
        <w:t>关于印发《中铁物总供应链科技（山东）有限公司安全风险分级管控和隐患排查治理管理办法（试行）》的通知</w:t>
      </w:r>
    </w:p>
    <w:p w14:paraId="715C2231">
      <w:pPr>
        <w:adjustRightInd w:val="0"/>
        <w:snapToGrid w:val="0"/>
        <w:spacing w:line="520" w:lineRule="exact"/>
        <w:ind w:firstLine="640" w:firstLineChars="200"/>
        <w:rPr>
          <w:rFonts w:hint="eastAsia" w:ascii="Times New Roman" w:hAnsi="Times New Roman" w:eastAsia="仿宋_GB2312" w:cs="Times New Roman"/>
          <w:kern w:val="2"/>
          <w:sz w:val="32"/>
          <w:szCs w:val="24"/>
          <w:lang w:val="en-US" w:eastAsia="zh-CN" w:bidi="ar-SA"/>
        </w:rPr>
      </w:pPr>
    </w:p>
    <w:p w14:paraId="04F0B7D6">
      <w:pPr>
        <w:pStyle w:val="20"/>
        <w:widowControl w:val="0"/>
        <w:numPr>
          <w:ilvl w:val="0"/>
          <w:numId w:val="0"/>
        </w:numPr>
        <w:adjustRightInd w:val="0"/>
        <w:snapToGrid w:val="0"/>
        <w:spacing w:line="460" w:lineRule="exact"/>
        <w:jc w:val="center"/>
        <w:rPr>
          <w:rFonts w:hint="eastAsia" w:ascii="宋体" w:hAnsi="宋体" w:eastAsia="宋体" w:cs="宋体"/>
          <w:sz w:val="44"/>
          <w:szCs w:val="44"/>
          <w:lang w:val="en-US" w:eastAsia="zh-CN"/>
        </w:rPr>
      </w:pPr>
    </w:p>
    <w:p w14:paraId="0AE82F59">
      <w:pPr>
        <w:widowControl/>
        <w:adjustRightInd w:val="0"/>
        <w:snapToGrid w:val="0"/>
        <w:spacing w:line="560" w:lineRule="exact"/>
        <w:ind w:firstLine="320" w:firstLineChars="100"/>
        <w:rPr>
          <w:rFonts w:ascii="Times New Roman" w:hAnsi="Times New Roman" w:cs="Times New Roman"/>
          <w:kern w:val="0"/>
          <w:szCs w:val="21"/>
        </w:rPr>
      </w:pPr>
      <w:r>
        <w:rPr>
          <w:rFonts w:hint="eastAsia" w:ascii="Times New Roman" w:hAnsi="Times New Roman" w:cs="Times New Roman"/>
          <w:kern w:val="0"/>
          <w:szCs w:val="21"/>
        </w:rPr>
        <w:t>公司各领导、部门：</w:t>
      </w:r>
      <w:bookmarkStart w:id="3" w:name="_GoBack"/>
      <w:bookmarkEnd w:id="3"/>
    </w:p>
    <w:p w14:paraId="6F398582">
      <w:pPr>
        <w:adjustRightInd w:val="0"/>
        <w:snapToGrid w:val="0"/>
        <w:spacing w:line="560" w:lineRule="exact"/>
        <w:ind w:left="397" w:firstLine="640"/>
        <w:rPr>
          <w:rFonts w:ascii="Times New Roman" w:hAnsi="Times New Roman" w:cs="Times New Roman"/>
          <w:szCs w:val="32"/>
        </w:rPr>
      </w:pPr>
      <w:r>
        <w:rPr>
          <w:rFonts w:ascii="Times New Roman" w:hAnsi="Times New Roman" w:cs="Times New Roman"/>
          <w:szCs w:val="32"/>
        </w:rPr>
        <w:t>为贯彻落实党中央、国务院关于加强和改进安全生产工作的重要决策部署，</w:t>
      </w:r>
      <w:r>
        <w:rPr>
          <w:rFonts w:hint="eastAsia" w:ascii="Times New Roman" w:hAnsi="Times New Roman" w:cs="Times New Roman"/>
          <w:szCs w:val="32"/>
        </w:rPr>
        <w:t>建立完善公司</w:t>
      </w:r>
      <w:r>
        <w:rPr>
          <w:rFonts w:ascii="Times New Roman" w:hAnsi="Times New Roman" w:cs="Times New Roman"/>
          <w:szCs w:val="32"/>
        </w:rPr>
        <w:t>安全风险</w:t>
      </w:r>
      <w:r>
        <w:rPr>
          <w:rFonts w:hint="eastAsia" w:ascii="Times New Roman" w:hAnsi="Times New Roman" w:cs="Times New Roman"/>
          <w:szCs w:val="32"/>
        </w:rPr>
        <w:t>分级</w:t>
      </w:r>
      <w:r>
        <w:rPr>
          <w:rFonts w:ascii="Times New Roman" w:hAnsi="Times New Roman" w:cs="Times New Roman"/>
          <w:szCs w:val="32"/>
        </w:rPr>
        <w:t>管控和隐患排查治理</w:t>
      </w:r>
      <w:r>
        <w:rPr>
          <w:rFonts w:hint="eastAsia" w:ascii="Times New Roman" w:hAnsi="Times New Roman" w:cs="Times New Roman"/>
          <w:szCs w:val="32"/>
        </w:rPr>
        <w:t>双控工作</w:t>
      </w:r>
      <w:r>
        <w:rPr>
          <w:rFonts w:ascii="Times New Roman" w:hAnsi="Times New Roman" w:cs="Times New Roman"/>
          <w:szCs w:val="32"/>
        </w:rPr>
        <w:t>机制工作，有效防范和遏制安全</w:t>
      </w:r>
      <w:r>
        <w:rPr>
          <w:rFonts w:hint="eastAsia" w:ascii="Times New Roman" w:hAnsi="Times New Roman" w:cs="Times New Roman"/>
          <w:szCs w:val="32"/>
        </w:rPr>
        <w:t>生产</w:t>
      </w:r>
      <w:r>
        <w:rPr>
          <w:rFonts w:ascii="Times New Roman" w:hAnsi="Times New Roman" w:cs="Times New Roman"/>
          <w:szCs w:val="32"/>
        </w:rPr>
        <w:t>事故、实</w:t>
      </w:r>
      <w:r>
        <w:rPr>
          <w:rFonts w:ascii="Times New Roman" w:hAnsi="Times New Roman" w:cs="Times New Roman"/>
          <w:bCs/>
          <w:szCs w:val="36"/>
        </w:rPr>
        <w:t>现安全生产持续稳定，</w:t>
      </w:r>
      <w:r>
        <w:rPr>
          <w:rFonts w:ascii="Times New Roman" w:hAnsi="Times New Roman" w:cs="Times New Roman"/>
          <w:szCs w:val="32"/>
        </w:rPr>
        <w:t>结合</w:t>
      </w:r>
      <w:r>
        <w:rPr>
          <w:rFonts w:hint="eastAsia" w:ascii="Times New Roman" w:hAnsi="Times New Roman" w:cs="Times New Roman"/>
          <w:szCs w:val="32"/>
        </w:rPr>
        <w:t>公司生产</w:t>
      </w:r>
      <w:r>
        <w:rPr>
          <w:rFonts w:ascii="Times New Roman" w:hAnsi="Times New Roman" w:cs="Times New Roman"/>
          <w:szCs w:val="32"/>
        </w:rPr>
        <w:t>实际，制定本实施</w:t>
      </w:r>
      <w:r>
        <w:rPr>
          <w:rFonts w:hint="eastAsia" w:ascii="Times New Roman" w:hAnsi="Times New Roman" w:cs="Times New Roman"/>
          <w:szCs w:val="32"/>
        </w:rPr>
        <w:t>办法</w:t>
      </w:r>
      <w:r>
        <w:rPr>
          <w:rFonts w:ascii="Times New Roman" w:hAnsi="Times New Roman" w:cs="Times New Roman"/>
          <w:szCs w:val="32"/>
        </w:rPr>
        <w:t>，请认真贯彻执行。</w:t>
      </w:r>
    </w:p>
    <w:p w14:paraId="04EC5B8B">
      <w:pPr>
        <w:pStyle w:val="20"/>
        <w:numPr>
          <w:ilvl w:val="0"/>
          <w:numId w:val="0"/>
        </w:numPr>
        <w:jc w:val="both"/>
        <w:rPr>
          <w:rFonts w:hint="eastAsia" w:hAnsi="仿宋_GB2312" w:cs="仿宋_GB2312"/>
          <w:sz w:val="32"/>
          <w:szCs w:val="32"/>
          <w:lang w:val="en-US" w:eastAsia="zh-CN"/>
        </w:rPr>
      </w:pPr>
    </w:p>
    <w:p w14:paraId="11741BFF">
      <w:pPr>
        <w:pStyle w:val="20"/>
        <w:numPr>
          <w:ilvl w:val="0"/>
          <w:numId w:val="0"/>
        </w:numPr>
        <w:jc w:val="both"/>
        <w:rPr>
          <w:rFonts w:hint="eastAsia" w:hAnsi="仿宋_GB2312" w:cs="仿宋_GB2312"/>
          <w:sz w:val="32"/>
          <w:szCs w:val="32"/>
          <w:lang w:val="en-US" w:eastAsia="zh-CN"/>
        </w:rPr>
      </w:pPr>
    </w:p>
    <w:p w14:paraId="0E8758B0">
      <w:pPr>
        <w:pStyle w:val="20"/>
        <w:numPr>
          <w:ilvl w:val="0"/>
          <w:numId w:val="0"/>
        </w:numPr>
        <w:ind w:leftChars="200"/>
        <w:jc w:val="both"/>
        <w:rPr>
          <w:rFonts w:hint="eastAsia" w:hAnsi="仿宋_GB2312" w:cs="仿宋_GB2312"/>
          <w:sz w:val="32"/>
          <w:szCs w:val="32"/>
          <w:lang w:val="en-US" w:eastAsia="zh-CN"/>
        </w:rPr>
      </w:pPr>
    </w:p>
    <w:p w14:paraId="779E4F4E">
      <w:pPr>
        <w:pStyle w:val="20"/>
        <w:numPr>
          <w:ilvl w:val="0"/>
          <w:numId w:val="0"/>
        </w:numPr>
        <w:ind w:leftChars="200"/>
        <w:jc w:val="both"/>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中铁物总供应链科技（山东）有限公司</w:t>
      </w:r>
    </w:p>
    <w:p w14:paraId="0801B940">
      <w:pPr>
        <w:pStyle w:val="20"/>
        <w:numPr>
          <w:ilvl w:val="0"/>
          <w:numId w:val="0"/>
        </w:numPr>
        <w:ind w:leftChars="200"/>
        <w:jc w:val="both"/>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2025年</w:t>
      </w:r>
      <w:r>
        <w:rPr>
          <w:rFonts w:hint="eastAsia" w:ascii="仿宋_GB2312" w:hAnsi="仿宋_GB2312" w:cs="仿宋_GB2312"/>
          <w:sz w:val="32"/>
          <w:szCs w:val="32"/>
          <w:lang w:val="en-US" w:eastAsia="zh-CN"/>
        </w:rPr>
        <w:t>12</w:t>
      </w:r>
      <w:r>
        <w:rPr>
          <w:rFonts w:hint="eastAsia" w:ascii="仿宋_GB2312" w:hAnsi="仿宋_GB2312" w:eastAsia="仿宋_GB2312" w:cs="仿宋_GB2312"/>
          <w:sz w:val="32"/>
          <w:szCs w:val="32"/>
          <w:lang w:val="en-US" w:eastAsia="zh-CN"/>
        </w:rPr>
        <w:t>月</w:t>
      </w:r>
      <w:r>
        <w:rPr>
          <w:rFonts w:hint="eastAsia" w:ascii="仿宋_GB2312" w:hAnsi="仿宋_GB2312" w:cs="仿宋_GB2312"/>
          <w:sz w:val="32"/>
          <w:szCs w:val="32"/>
          <w:lang w:val="en-US" w:eastAsia="zh-CN"/>
        </w:rPr>
        <w:t>1</w:t>
      </w:r>
      <w:r>
        <w:rPr>
          <w:rFonts w:hint="eastAsia" w:ascii="仿宋_GB2312" w:hAnsi="仿宋_GB2312" w:eastAsia="仿宋_GB2312" w:cs="仿宋_GB2312"/>
          <w:sz w:val="32"/>
          <w:szCs w:val="32"/>
          <w:lang w:val="en-US" w:eastAsia="zh-CN"/>
        </w:rPr>
        <w:t>日</w:t>
      </w:r>
    </w:p>
    <w:p w14:paraId="6BB9E892">
      <w:pPr>
        <w:spacing w:line="520" w:lineRule="exact"/>
        <w:rPr>
          <w:rFonts w:hint="eastAsia" w:ascii="方正小标宋简体" w:eastAsia="方正小标宋简体"/>
          <w:sz w:val="44"/>
          <w:szCs w:val="44"/>
          <w:lang w:eastAsia="zh-CN"/>
        </w:rPr>
        <w:sectPr>
          <w:headerReference r:id="rId7" w:type="first"/>
          <w:footerReference r:id="rId10" w:type="first"/>
          <w:headerReference r:id="rId5" w:type="default"/>
          <w:footerReference r:id="rId8" w:type="default"/>
          <w:headerReference r:id="rId6" w:type="even"/>
          <w:footerReference r:id="rId9" w:type="even"/>
          <w:pgSz w:w="11906" w:h="16838"/>
          <w:pgMar w:top="2098" w:right="1474" w:bottom="1985" w:left="1588" w:header="851" w:footer="992" w:gutter="0"/>
          <w:pgNumType w:fmt="numberInDash"/>
          <w:cols w:space="720" w:num="1"/>
          <w:docGrid w:type="lines" w:linePitch="312" w:charSpace="0"/>
        </w:sectPr>
      </w:pPr>
    </w:p>
    <w:p w14:paraId="755C675A">
      <w:pPr>
        <w:keepNext w:val="0"/>
        <w:keepLines w:val="0"/>
        <w:pageBreakBefore w:val="0"/>
        <w:widowControl w:val="0"/>
        <w:kinsoku/>
        <w:wordWrap/>
        <w:overflowPunct/>
        <w:topLinePunct w:val="0"/>
        <w:autoSpaceDE/>
        <w:autoSpaceDN/>
        <w:bidi w:val="0"/>
        <w:adjustRightInd/>
        <w:snapToGrid/>
        <w:spacing w:before="600" w:after="600" w:line="240" w:lineRule="auto"/>
        <w:ind w:left="0" w:leftChars="0" w:firstLine="0" w:firstLineChars="0"/>
        <w:jc w:val="center"/>
        <w:textAlignment w:val="auto"/>
        <w:rPr>
          <w:rFonts w:hint="eastAsia" w:ascii="方正小标宋简体" w:eastAsia="方正小标宋简体"/>
          <w:sz w:val="44"/>
          <w:szCs w:val="44"/>
          <w:lang w:eastAsia="zh-CN"/>
        </w:rPr>
      </w:pPr>
      <w:r>
        <w:rPr>
          <w:rFonts w:hint="eastAsia" w:ascii="方正小标宋简体" w:eastAsia="方正小标宋简体"/>
          <w:sz w:val="44"/>
          <w:szCs w:val="44"/>
          <w:lang w:eastAsia="zh-CN"/>
        </w:rPr>
        <w:t>中铁物总供应链科技（山东）</w:t>
      </w:r>
      <w:r>
        <w:rPr>
          <w:rFonts w:hint="eastAsia" w:ascii="方正小标宋简体" w:eastAsia="方正小标宋简体"/>
          <w:sz w:val="44"/>
          <w:szCs w:val="44"/>
        </w:rPr>
        <w:t>有限公司安全风险分级管控和隐患排查治理管理办法</w:t>
      </w:r>
      <w:r>
        <w:rPr>
          <w:rFonts w:hint="eastAsia" w:ascii="方正小标宋简体" w:eastAsia="方正小标宋简体"/>
          <w:sz w:val="44"/>
          <w:szCs w:val="44"/>
          <w:lang w:eastAsia="zh-CN"/>
        </w:rPr>
        <w:t>（</w:t>
      </w:r>
      <w:r>
        <w:rPr>
          <w:rFonts w:hint="eastAsia" w:ascii="方正小标宋简体" w:eastAsia="方正小标宋简体"/>
          <w:sz w:val="44"/>
          <w:szCs w:val="44"/>
          <w:lang w:val="en-US" w:eastAsia="zh-CN"/>
        </w:rPr>
        <w:t>试行</w:t>
      </w:r>
      <w:r>
        <w:rPr>
          <w:rFonts w:hint="eastAsia" w:ascii="方正小标宋简体" w:eastAsia="方正小标宋简体"/>
          <w:sz w:val="44"/>
          <w:szCs w:val="44"/>
          <w:lang w:eastAsia="zh-CN"/>
        </w:rPr>
        <w:t>）</w:t>
      </w:r>
    </w:p>
    <w:p w14:paraId="19A23875">
      <w:pPr>
        <w:pStyle w:val="3"/>
        <w:keepNext/>
        <w:keepLines/>
        <w:pageBreakBefore w:val="0"/>
        <w:widowControl w:val="0"/>
        <w:numPr>
          <w:ilvl w:val="0"/>
          <w:numId w:val="1"/>
        </w:numPr>
        <w:kinsoku/>
        <w:wordWrap/>
        <w:overflowPunct/>
        <w:topLinePunct w:val="0"/>
        <w:autoSpaceDE/>
        <w:autoSpaceDN/>
        <w:bidi w:val="0"/>
        <w:adjustRightInd/>
        <w:snapToGrid/>
        <w:spacing w:before="600" w:after="600" w:line="240" w:lineRule="auto"/>
        <w:ind w:firstLine="0" w:firstLineChars="0"/>
        <w:textAlignment w:val="auto"/>
      </w:pPr>
      <w:r>
        <w:t>总  则</w:t>
      </w:r>
    </w:p>
    <w:p w14:paraId="1CFB7588">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after="400" w:line="560" w:lineRule="exact"/>
        <w:ind w:left="0" w:leftChars="0" w:firstLine="640" w:firstLineChars="200"/>
        <w:textAlignment w:val="auto"/>
        <w:rPr>
          <w:szCs w:val="32"/>
        </w:rPr>
      </w:pPr>
      <w:r>
        <w:rPr>
          <w:rFonts w:hint="eastAsia" w:ascii="黑体" w:hAnsi="黑体" w:eastAsia="黑体" w:cs="黑体"/>
          <w:b w:val="0"/>
          <w:bCs w:val="0"/>
          <w:kern w:val="2"/>
          <w:sz w:val="32"/>
          <w:szCs w:val="32"/>
          <w:lang w:val="en-US" w:eastAsia="zh-CN" w:bidi="ar-SA"/>
        </w:rPr>
        <w:t xml:space="preserve">第一条 </w:t>
      </w:r>
      <w:r>
        <w:rPr>
          <w:szCs w:val="32"/>
        </w:rPr>
        <w:t>为贯彻落实党中央、国务院关于加强和改进安全生产工作的重要决策部署，</w:t>
      </w:r>
      <w:r>
        <w:rPr>
          <w:rFonts w:hint="eastAsia"/>
          <w:szCs w:val="32"/>
        </w:rPr>
        <w:t>建立完善公司</w:t>
      </w:r>
      <w:r>
        <w:rPr>
          <w:szCs w:val="32"/>
        </w:rPr>
        <w:t>安全风险</w:t>
      </w:r>
      <w:r>
        <w:rPr>
          <w:rFonts w:hint="eastAsia"/>
          <w:szCs w:val="32"/>
        </w:rPr>
        <w:t>分级</w:t>
      </w:r>
      <w:r>
        <w:rPr>
          <w:szCs w:val="32"/>
        </w:rPr>
        <w:t>管控和隐患排查治理</w:t>
      </w:r>
      <w:r>
        <w:rPr>
          <w:rFonts w:hint="eastAsia"/>
          <w:szCs w:val="32"/>
        </w:rPr>
        <w:t>双控工作</w:t>
      </w:r>
      <w:r>
        <w:rPr>
          <w:szCs w:val="32"/>
        </w:rPr>
        <w:t>机制（简称：</w:t>
      </w:r>
      <w:r>
        <w:rPr>
          <w:rFonts w:hint="eastAsia"/>
          <w:szCs w:val="32"/>
        </w:rPr>
        <w:t>“</w:t>
      </w:r>
      <w:r>
        <w:rPr>
          <w:szCs w:val="32"/>
        </w:rPr>
        <w:t>双</w:t>
      </w:r>
      <w:r>
        <w:rPr>
          <w:rFonts w:hint="eastAsia"/>
          <w:szCs w:val="32"/>
        </w:rPr>
        <w:t>控</w:t>
      </w:r>
      <w:r>
        <w:rPr>
          <w:szCs w:val="32"/>
        </w:rPr>
        <w:t>机制</w:t>
      </w:r>
      <w:r>
        <w:rPr>
          <w:rFonts w:hint="eastAsia"/>
          <w:szCs w:val="32"/>
        </w:rPr>
        <w:t>”</w:t>
      </w:r>
      <w:r>
        <w:rPr>
          <w:szCs w:val="32"/>
        </w:rPr>
        <w:t>，下同）工作，有效防范和遏制安全</w:t>
      </w:r>
      <w:r>
        <w:rPr>
          <w:rFonts w:hint="eastAsia"/>
          <w:szCs w:val="32"/>
        </w:rPr>
        <w:t>生产</w:t>
      </w:r>
      <w:r>
        <w:rPr>
          <w:szCs w:val="32"/>
        </w:rPr>
        <w:t>事故、实</w:t>
      </w:r>
      <w:r>
        <w:rPr>
          <w:bCs/>
          <w:szCs w:val="36"/>
        </w:rPr>
        <w:t>现安全生产持续稳定，</w:t>
      </w:r>
      <w:r>
        <w:rPr>
          <w:szCs w:val="32"/>
        </w:rPr>
        <w:t>依据</w:t>
      </w:r>
      <w:r>
        <w:rPr>
          <w:rFonts w:hint="eastAsia"/>
          <w:bCs/>
          <w:szCs w:val="36"/>
        </w:rPr>
        <w:t>《中共中央 国务院关于推进安全生产领域改革发展的意见》《中华人民共和国安全生产法》《中华人民共和国铁路法》《铁路安全管理条例》《铁路交通事故应急救援和调查处理条例》《国务院安委会办公室关于实施遏制重特大事故工作指南构建双控机制的意见》《山东省人民政府办公厅 关于建立完善风险分级管控和隐患排查治理双控机制的通知》《山东省安全生产风险管控办法（省政府令第331号）》《山东省工贸行业企业风险分级管控和隐患排查治理机制运行评估标准》</w:t>
      </w:r>
      <w:r>
        <w:rPr>
          <w:rFonts w:hint="eastAsia" w:ascii="仿宋_GB2312" w:hAnsi="仿宋_GB2312" w:cs="仿宋_GB2312"/>
          <w:spacing w:val="4"/>
          <w:szCs w:val="32"/>
        </w:rPr>
        <w:t>《铁路安全风险分级管控和隐患排查治理管理办法》</w:t>
      </w:r>
      <w:r>
        <w:rPr>
          <w:bCs/>
          <w:szCs w:val="36"/>
        </w:rPr>
        <w:t>要</w:t>
      </w:r>
      <w:r>
        <w:rPr>
          <w:szCs w:val="32"/>
        </w:rPr>
        <w:t>求，结合</w:t>
      </w:r>
      <w:r>
        <w:rPr>
          <w:rFonts w:hint="eastAsia"/>
          <w:szCs w:val="32"/>
        </w:rPr>
        <w:t>公司生产</w:t>
      </w:r>
      <w:r>
        <w:rPr>
          <w:szCs w:val="32"/>
        </w:rPr>
        <w:t>实际，制定本实施</w:t>
      </w:r>
      <w:r>
        <w:rPr>
          <w:rFonts w:hint="eastAsia"/>
          <w:szCs w:val="32"/>
        </w:rPr>
        <w:t>办法</w:t>
      </w:r>
      <w:r>
        <w:rPr>
          <w:szCs w:val="32"/>
        </w:rPr>
        <w:t>。</w:t>
      </w:r>
    </w:p>
    <w:p w14:paraId="5A357CF3">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after="400" w:line="560" w:lineRule="exact"/>
        <w:ind w:left="0" w:leftChars="0" w:firstLine="640" w:firstLineChars="200"/>
        <w:textAlignment w:val="auto"/>
        <w:rPr>
          <w:rFonts w:hint="eastAsia"/>
          <w:bCs/>
          <w:szCs w:val="36"/>
        </w:rPr>
      </w:pPr>
      <w:r>
        <w:rPr>
          <w:rFonts w:hint="eastAsia" w:ascii="黑体" w:hAnsi="黑体" w:eastAsia="黑体" w:cs="黑体"/>
          <w:b w:val="0"/>
          <w:bCs w:val="0"/>
          <w:kern w:val="2"/>
          <w:sz w:val="32"/>
          <w:szCs w:val="32"/>
          <w:lang w:val="en-US" w:eastAsia="zh-CN" w:bidi="ar-SA"/>
        </w:rPr>
        <w:t>第二条</w:t>
      </w:r>
      <w:r>
        <w:rPr>
          <w:rFonts w:hint="eastAsia"/>
          <w:bCs/>
          <w:szCs w:val="36"/>
          <w:lang w:val="en-US" w:eastAsia="zh-CN"/>
        </w:rPr>
        <w:t xml:space="preserve"> </w:t>
      </w:r>
      <w:r>
        <w:rPr>
          <w:rFonts w:hint="eastAsia"/>
          <w:bCs/>
          <w:szCs w:val="36"/>
        </w:rPr>
        <w:t>构建双控机制应当坚持“安全第一、预防为主、全面排查、综合管控”和“管行业必须管安全、管业务必须管安全、管生产经营必须管安全”的原则，立足“目标、问题、结果”三个导向，以前置风险研判、养成行为习惯为目标，按照关口前移、源头治理、超前防范，动态管理、持续改进，深度融合、整体推动的基本方法，全面推行安全风险分级管控，强化安全隐患排查治理，提升公司安全生产管理水平。</w:t>
      </w:r>
    </w:p>
    <w:p w14:paraId="613D8C8E">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after="400" w:line="560" w:lineRule="exact"/>
        <w:ind w:left="0" w:leftChars="0" w:firstLine="640" w:firstLineChars="200"/>
        <w:textAlignment w:val="auto"/>
        <w:rPr>
          <w:rFonts w:hint="eastAsia"/>
          <w:bCs/>
          <w:szCs w:val="36"/>
        </w:rPr>
      </w:pPr>
      <w:r>
        <w:rPr>
          <w:rFonts w:hint="eastAsia" w:ascii="黑体" w:hAnsi="黑体" w:eastAsia="黑体" w:cs="黑体"/>
          <w:b w:val="0"/>
          <w:bCs w:val="0"/>
          <w:kern w:val="2"/>
          <w:sz w:val="32"/>
          <w:szCs w:val="32"/>
          <w:lang w:val="en-US" w:eastAsia="zh-CN" w:bidi="ar-SA"/>
        </w:rPr>
        <w:t>第三条</w:t>
      </w:r>
      <w:r>
        <w:rPr>
          <w:rFonts w:hint="eastAsia"/>
          <w:bCs/>
          <w:szCs w:val="36"/>
          <w:lang w:val="en-US" w:eastAsia="zh-CN"/>
        </w:rPr>
        <w:t xml:space="preserve"> </w:t>
      </w:r>
      <w:r>
        <w:rPr>
          <w:rFonts w:hint="eastAsia"/>
          <w:bCs/>
          <w:szCs w:val="36"/>
        </w:rPr>
        <w:t>实施双控机制应与推进安全生产标准化规范化建设等工作有机结合，人防、物防、技防综合施策，完善信息化管控保证措施，推动安全基础工作整体强化，实现领导有力、部门管理有效、单位责任落实、全员参与有序、安全风险自辨自控、隐患自查自治的工作格局。</w:t>
      </w:r>
    </w:p>
    <w:p w14:paraId="6BC9B0EE">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after="400" w:line="560" w:lineRule="exact"/>
        <w:ind w:left="0" w:leftChars="0" w:firstLine="640" w:firstLineChars="200"/>
        <w:textAlignment w:val="auto"/>
        <w:rPr>
          <w:rFonts w:hint="eastAsia"/>
          <w:bCs/>
          <w:szCs w:val="36"/>
        </w:rPr>
      </w:pPr>
      <w:r>
        <w:rPr>
          <w:rFonts w:hint="eastAsia" w:ascii="黑体" w:hAnsi="黑体" w:eastAsia="黑体" w:cs="黑体"/>
          <w:b w:val="0"/>
          <w:bCs w:val="0"/>
          <w:kern w:val="2"/>
          <w:sz w:val="32"/>
          <w:szCs w:val="32"/>
          <w:lang w:val="en-US" w:eastAsia="zh-CN" w:bidi="ar-SA"/>
        </w:rPr>
        <w:t>第四条</w:t>
      </w:r>
      <w:r>
        <w:rPr>
          <w:rFonts w:hint="eastAsia"/>
          <w:bCs/>
          <w:szCs w:val="36"/>
          <w:lang w:val="en-US" w:eastAsia="zh-CN"/>
        </w:rPr>
        <w:t xml:space="preserve"> </w:t>
      </w:r>
      <w:r>
        <w:rPr>
          <w:rFonts w:hint="eastAsia"/>
          <w:bCs/>
          <w:szCs w:val="36"/>
        </w:rPr>
        <w:t>本办法所称安全风险（简称：风险，下同）是指在运营过程中，可能直接导致事故发生的人的不安全行为、物的不安全状态、环境的不安全因素、管理的缺陷等，具有可能性和严重度两个要素。</w:t>
      </w:r>
    </w:p>
    <w:p w14:paraId="39873F79">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after="400" w:line="560" w:lineRule="exact"/>
        <w:ind w:left="0" w:leftChars="0" w:firstLine="640" w:firstLineChars="200"/>
        <w:textAlignment w:val="auto"/>
        <w:rPr>
          <w:rFonts w:hint="eastAsia"/>
          <w:bCs/>
          <w:szCs w:val="36"/>
        </w:rPr>
      </w:pPr>
      <w:r>
        <w:rPr>
          <w:rFonts w:hint="eastAsia" w:ascii="黑体" w:hAnsi="黑体" w:eastAsia="黑体" w:cs="黑体"/>
          <w:b w:val="0"/>
          <w:bCs w:val="0"/>
          <w:kern w:val="2"/>
          <w:sz w:val="32"/>
          <w:szCs w:val="32"/>
          <w:lang w:val="en-US" w:eastAsia="zh-CN" w:bidi="ar-SA"/>
        </w:rPr>
        <w:t>第五条</w:t>
      </w:r>
      <w:r>
        <w:rPr>
          <w:rFonts w:hint="eastAsia"/>
          <w:bCs/>
          <w:szCs w:val="36"/>
          <w:lang w:val="en-US" w:eastAsia="zh-CN"/>
        </w:rPr>
        <w:t xml:space="preserve"> </w:t>
      </w:r>
      <w:r>
        <w:rPr>
          <w:rFonts w:hint="eastAsia"/>
          <w:bCs/>
          <w:szCs w:val="36"/>
        </w:rPr>
        <w:t>本办法所称安全隐患（简称：隐患，下同），是指违反国家相关安全法律法规、规章、标准、规程、安全生产管理制度的规定，或因其他因素在生产经营活动中存在或已经发生但尚未构成生产安全事故的物的不安全状态、人的不安全行为、环境的不安全因素和管理上的缺陷，是导致事故发生的根源。</w:t>
      </w:r>
    </w:p>
    <w:p w14:paraId="197B4A91">
      <w:pPr>
        <w:pStyle w:val="3"/>
        <w:keepNext/>
        <w:keepLines/>
        <w:pageBreakBefore w:val="0"/>
        <w:widowControl w:val="0"/>
        <w:numPr>
          <w:ilvl w:val="0"/>
          <w:numId w:val="1"/>
        </w:numPr>
        <w:kinsoku/>
        <w:wordWrap/>
        <w:overflowPunct/>
        <w:topLinePunct w:val="0"/>
        <w:autoSpaceDE/>
        <w:autoSpaceDN/>
        <w:bidi w:val="0"/>
        <w:adjustRightInd/>
        <w:snapToGrid/>
        <w:spacing w:before="600" w:after="600" w:line="240" w:lineRule="auto"/>
        <w:ind w:firstLine="0" w:firstLineChars="0"/>
        <w:textAlignment w:val="auto"/>
      </w:pPr>
      <w:r>
        <w:t xml:space="preserve"> </w:t>
      </w:r>
      <w:r>
        <w:rPr>
          <w:rFonts w:hint="eastAsia"/>
        </w:rPr>
        <w:t>机构与职责</w:t>
      </w:r>
    </w:p>
    <w:p w14:paraId="406A2F85">
      <w:pPr>
        <w:numPr>
          <w:ilvl w:val="0"/>
          <w:numId w:val="0"/>
        </w:numPr>
        <w:tabs>
          <w:tab w:val="left" w:pos="0"/>
        </w:tabs>
        <w:spacing w:line="360" w:lineRule="auto"/>
        <w:ind w:left="0" w:leftChars="0" w:firstLine="397" w:firstLineChars="0"/>
        <w:rPr>
          <w:rFonts w:hint="eastAsia" w:ascii="仿宋_GB2312" w:hAnsi="仿宋_GB2312" w:cs="仿宋_GB2312"/>
          <w:spacing w:val="4"/>
          <w:szCs w:val="32"/>
        </w:rPr>
      </w:pPr>
      <w:r>
        <w:rPr>
          <w:rFonts w:hint="eastAsia" w:ascii="黑体" w:hAnsi="黑体" w:eastAsia="黑体" w:cs="黑体"/>
          <w:b w:val="0"/>
          <w:bCs w:val="0"/>
          <w:spacing w:val="4"/>
          <w:kern w:val="2"/>
          <w:sz w:val="32"/>
          <w:szCs w:val="32"/>
          <w:lang w:val="en-US" w:eastAsia="zh-CN" w:bidi="ar-SA"/>
        </w:rPr>
        <w:t xml:space="preserve">第六条 </w:t>
      </w:r>
      <w:r>
        <w:rPr>
          <w:rFonts w:hint="eastAsia" w:ascii="仿宋_GB2312" w:hAnsi="仿宋_GB2312" w:cs="仿宋_GB2312"/>
          <w:spacing w:val="4"/>
          <w:szCs w:val="32"/>
        </w:rPr>
        <w:t>组织机构</w:t>
      </w:r>
    </w:p>
    <w:p w14:paraId="2B5F5CA7">
      <w:pPr>
        <w:spacing w:line="360" w:lineRule="auto"/>
        <w:ind w:firstLine="656"/>
        <w:rPr>
          <w:rFonts w:hint="eastAsia" w:ascii="仿宋_GB2312" w:hAnsi="仿宋_GB2312" w:cs="仿宋_GB2312"/>
          <w:spacing w:val="4"/>
          <w:szCs w:val="32"/>
        </w:rPr>
      </w:pPr>
      <w:r>
        <w:rPr>
          <w:rFonts w:hint="eastAsia" w:ascii="仿宋_GB2312" w:hAnsi="仿宋_GB2312" w:cs="仿宋_GB2312"/>
          <w:spacing w:val="4"/>
          <w:szCs w:val="32"/>
        </w:rPr>
        <w:t>成立双控工作机制领导小组：</w:t>
      </w:r>
    </w:p>
    <w:p w14:paraId="708C10E5">
      <w:pPr>
        <w:spacing w:line="360" w:lineRule="auto"/>
        <w:ind w:firstLine="656"/>
        <w:rPr>
          <w:rFonts w:ascii="仿宋_GB2312" w:hAnsi="仿宋_GB2312" w:cs="仿宋_GB2312"/>
          <w:spacing w:val="4"/>
          <w:szCs w:val="32"/>
        </w:rPr>
      </w:pPr>
      <w:r>
        <w:rPr>
          <w:rFonts w:hint="eastAsia" w:ascii="仿宋_GB2312" w:hAnsi="仿宋_GB2312" w:cs="仿宋_GB2312"/>
          <w:spacing w:val="4"/>
          <w:szCs w:val="32"/>
        </w:rPr>
        <w:t>组长：董事长、总经理</w:t>
      </w:r>
    </w:p>
    <w:p w14:paraId="2ADF3517">
      <w:pPr>
        <w:spacing w:line="360" w:lineRule="auto"/>
        <w:ind w:firstLine="656"/>
        <w:rPr>
          <w:rFonts w:hint="eastAsia" w:ascii="仿宋_GB2312" w:hAnsi="仿宋_GB2312" w:cs="仿宋_GB2312"/>
          <w:spacing w:val="4"/>
          <w:szCs w:val="32"/>
        </w:rPr>
      </w:pPr>
      <w:r>
        <w:rPr>
          <w:rFonts w:hint="eastAsia" w:ascii="仿宋_GB2312" w:hAnsi="仿宋_GB2312" w:cs="仿宋_GB2312"/>
          <w:spacing w:val="4"/>
          <w:szCs w:val="32"/>
        </w:rPr>
        <w:t>副组长：其他领导班子成员</w:t>
      </w:r>
    </w:p>
    <w:p w14:paraId="33163E7E">
      <w:pPr>
        <w:spacing w:line="360" w:lineRule="auto"/>
        <w:ind w:firstLine="656"/>
        <w:rPr>
          <w:rFonts w:hint="eastAsia" w:ascii="仿宋_GB2312" w:hAnsi="仿宋_GB2312" w:cs="仿宋_GB2312"/>
          <w:spacing w:val="4"/>
          <w:szCs w:val="32"/>
        </w:rPr>
      </w:pPr>
      <w:r>
        <w:rPr>
          <w:rFonts w:hint="eastAsia" w:ascii="仿宋_GB2312" w:hAnsi="仿宋_GB2312" w:cs="仿宋_GB2312"/>
          <w:spacing w:val="4"/>
          <w:szCs w:val="32"/>
        </w:rPr>
        <w:t>成员：公司各部门负责人。</w:t>
      </w:r>
    </w:p>
    <w:p w14:paraId="6447CD33">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after="400" w:line="560" w:lineRule="exact"/>
        <w:ind w:left="0" w:leftChars="0" w:firstLine="656" w:firstLineChars="200"/>
        <w:textAlignment w:val="auto"/>
        <w:rPr>
          <w:rFonts w:hint="eastAsia" w:ascii="仿宋_GB2312" w:hAnsi="仿宋_GB2312" w:cs="仿宋_GB2312"/>
          <w:spacing w:val="4"/>
          <w:szCs w:val="32"/>
        </w:rPr>
      </w:pPr>
      <w:r>
        <w:rPr>
          <w:rFonts w:hint="eastAsia" w:ascii="仿宋_GB2312" w:hAnsi="仿宋_GB2312" w:cs="仿宋_GB2312"/>
          <w:spacing w:val="4"/>
          <w:szCs w:val="32"/>
        </w:rPr>
        <w:t>双控机制工作领导组下设办公室，办公室设在</w:t>
      </w:r>
      <w:r>
        <w:rPr>
          <w:rFonts w:hint="eastAsia" w:ascii="仿宋_GB2312" w:hAnsi="仿宋_GB2312" w:cs="仿宋_GB2312"/>
          <w:spacing w:val="4"/>
          <w:szCs w:val="32"/>
          <w:lang w:eastAsia="zh-CN"/>
        </w:rPr>
        <w:t>安全环保监察部</w:t>
      </w:r>
      <w:r>
        <w:rPr>
          <w:rFonts w:hint="eastAsia" w:ascii="仿宋_GB2312" w:hAnsi="仿宋_GB2312" w:cs="仿宋_GB2312"/>
          <w:spacing w:val="4"/>
          <w:szCs w:val="32"/>
        </w:rPr>
        <w:t>，主任由</w:t>
      </w:r>
      <w:r>
        <w:rPr>
          <w:rFonts w:hint="eastAsia" w:ascii="仿宋_GB2312" w:hAnsi="仿宋_GB2312" w:cs="仿宋_GB2312"/>
          <w:spacing w:val="4"/>
          <w:szCs w:val="32"/>
          <w:lang w:eastAsia="zh-CN"/>
        </w:rPr>
        <w:t>安全环保</w:t>
      </w:r>
      <w:r>
        <w:rPr>
          <w:rFonts w:hint="eastAsia"/>
          <w:bCs/>
          <w:szCs w:val="36"/>
          <w:lang w:eastAsia="zh-CN"/>
        </w:rPr>
        <w:t>监察部</w:t>
      </w:r>
      <w:r>
        <w:rPr>
          <w:rFonts w:hint="eastAsia" w:ascii="仿宋_GB2312" w:hAnsi="仿宋_GB2312" w:cs="仿宋_GB2312"/>
          <w:spacing w:val="4"/>
          <w:szCs w:val="32"/>
        </w:rPr>
        <w:t>负责人兼任。</w:t>
      </w:r>
    </w:p>
    <w:p w14:paraId="3A2082E8">
      <w:pPr>
        <w:numPr>
          <w:ilvl w:val="0"/>
          <w:numId w:val="0"/>
        </w:numPr>
        <w:tabs>
          <w:tab w:val="left" w:pos="0"/>
        </w:tabs>
        <w:spacing w:line="360" w:lineRule="auto"/>
        <w:ind w:left="0" w:leftChars="0" w:firstLine="397" w:firstLineChars="0"/>
        <w:rPr>
          <w:rFonts w:hint="eastAsia" w:ascii="仿宋_GB2312" w:hAnsi="仿宋_GB2312" w:cs="仿宋_GB2312"/>
          <w:spacing w:val="4"/>
          <w:szCs w:val="32"/>
        </w:rPr>
      </w:pPr>
      <w:r>
        <w:rPr>
          <w:rFonts w:hint="eastAsia" w:ascii="黑体" w:hAnsi="黑体" w:eastAsia="黑体" w:cs="黑体"/>
          <w:b w:val="0"/>
          <w:bCs w:val="0"/>
          <w:spacing w:val="4"/>
          <w:kern w:val="2"/>
          <w:sz w:val="32"/>
          <w:szCs w:val="32"/>
          <w:lang w:val="en-US" w:eastAsia="zh-CN" w:bidi="ar-SA"/>
        </w:rPr>
        <w:t xml:space="preserve">第七条 </w:t>
      </w:r>
      <w:r>
        <w:rPr>
          <w:rFonts w:hint="eastAsia" w:ascii="仿宋_GB2312" w:hAnsi="仿宋_GB2312" w:cs="仿宋_GB2312"/>
          <w:spacing w:val="4"/>
          <w:szCs w:val="32"/>
        </w:rPr>
        <w:t>领导小组主要职责：</w:t>
      </w:r>
    </w:p>
    <w:p w14:paraId="2D596F09">
      <w:pPr>
        <w:numPr>
          <w:ilvl w:val="0"/>
          <w:numId w:val="0"/>
        </w:numPr>
        <w:spacing w:line="360" w:lineRule="auto"/>
        <w:ind w:left="0" w:leftChars="0" w:firstLine="420" w:firstLineChars="0"/>
        <w:rPr>
          <w:rFonts w:hint="eastAsia" w:ascii="仿宋_GB2312" w:hAnsi="仿宋_GB2312" w:cs="仿宋_GB2312"/>
          <w:spacing w:val="4"/>
          <w:szCs w:val="32"/>
        </w:rPr>
      </w:pPr>
      <w:r>
        <w:rPr>
          <w:rFonts w:hint="eastAsia" w:ascii="仿宋_GB2312" w:hAnsi="仿宋_GB2312" w:eastAsia="仿宋_GB2312" w:cs="仿宋_GB2312"/>
          <w:spacing w:val="4"/>
          <w:kern w:val="2"/>
          <w:sz w:val="32"/>
          <w:szCs w:val="32"/>
          <w:lang w:val="en-US" w:eastAsia="zh-CN" w:bidi="ar-SA"/>
        </w:rPr>
        <w:t>（一）</w:t>
      </w:r>
      <w:r>
        <w:rPr>
          <w:rFonts w:hint="eastAsia" w:ascii="仿宋_GB2312" w:hAnsi="仿宋_GB2312" w:cs="仿宋_GB2312"/>
          <w:spacing w:val="4"/>
          <w:szCs w:val="32"/>
        </w:rPr>
        <w:t>根据安全生产法律、法规及上级安全生产管理的有关规定，</w:t>
      </w:r>
      <w:r>
        <w:rPr>
          <w:rFonts w:ascii="仿宋_GB2312"/>
          <w:szCs w:val="32"/>
        </w:rPr>
        <w:t>制定</w:t>
      </w:r>
      <w:r>
        <w:rPr>
          <w:rFonts w:hint="eastAsia" w:ascii="仿宋_GB2312"/>
          <w:szCs w:val="32"/>
        </w:rPr>
        <w:t>公司双控机制</w:t>
      </w:r>
      <w:r>
        <w:rPr>
          <w:rFonts w:ascii="仿宋_GB2312"/>
          <w:szCs w:val="32"/>
        </w:rPr>
        <w:t>建设实施方案和有关制度</w:t>
      </w:r>
      <w:r>
        <w:rPr>
          <w:rFonts w:hint="eastAsia" w:ascii="仿宋_GB2312" w:hAnsi="仿宋_GB2312" w:cs="仿宋_GB2312"/>
          <w:spacing w:val="4"/>
          <w:szCs w:val="32"/>
        </w:rPr>
        <w:t>；</w:t>
      </w:r>
    </w:p>
    <w:p w14:paraId="328D3FBE">
      <w:pPr>
        <w:numPr>
          <w:ilvl w:val="0"/>
          <w:numId w:val="0"/>
        </w:numPr>
        <w:adjustRightInd w:val="0"/>
        <w:snapToGrid w:val="0"/>
        <w:spacing w:line="560" w:lineRule="exact"/>
        <w:ind w:left="0" w:leftChars="0" w:firstLine="420" w:firstLineChars="0"/>
        <w:rPr>
          <w:rFonts w:hint="eastAsia" w:ascii="仿宋_GB2312" w:hAnsi="仿宋_GB2312" w:cs="仿宋_GB2312"/>
          <w:spacing w:val="4"/>
          <w:szCs w:val="32"/>
        </w:rPr>
      </w:pPr>
      <w:r>
        <w:rPr>
          <w:rFonts w:hint="eastAsia" w:ascii="仿宋_GB2312" w:hAnsi="仿宋_GB2312" w:eastAsia="仿宋_GB2312" w:cs="仿宋_GB2312"/>
          <w:spacing w:val="4"/>
          <w:kern w:val="2"/>
          <w:sz w:val="32"/>
          <w:szCs w:val="32"/>
          <w:lang w:val="en-US" w:eastAsia="zh-CN" w:bidi="ar-SA"/>
        </w:rPr>
        <w:t>（二）</w:t>
      </w:r>
      <w:r>
        <w:rPr>
          <w:rFonts w:ascii="仿宋_GB2312"/>
          <w:szCs w:val="32"/>
        </w:rPr>
        <w:t>贯彻落实上级有关</w:t>
      </w:r>
      <w:r>
        <w:rPr>
          <w:rFonts w:hint="eastAsia" w:ascii="仿宋_GB2312"/>
          <w:szCs w:val="32"/>
        </w:rPr>
        <w:t>双控机制</w:t>
      </w:r>
      <w:r>
        <w:rPr>
          <w:rFonts w:ascii="仿宋_GB2312"/>
          <w:szCs w:val="32"/>
        </w:rPr>
        <w:t>建设的相关规定，</w:t>
      </w:r>
      <w:r>
        <w:rPr>
          <w:rFonts w:hint="eastAsia" w:ascii="仿宋_GB2312" w:hAnsi="仿宋_GB2312" w:cs="仿宋_GB2312"/>
          <w:spacing w:val="4"/>
          <w:szCs w:val="32"/>
        </w:rPr>
        <w:t>组织建立健全并实施双控机制体系</w:t>
      </w:r>
      <w:r>
        <w:rPr>
          <w:rFonts w:ascii="仿宋_GB2312"/>
          <w:szCs w:val="32"/>
        </w:rPr>
        <w:t>。</w:t>
      </w:r>
    </w:p>
    <w:p w14:paraId="576B7739">
      <w:pPr>
        <w:numPr>
          <w:ilvl w:val="0"/>
          <w:numId w:val="0"/>
        </w:numPr>
        <w:spacing w:line="360" w:lineRule="auto"/>
        <w:ind w:left="0" w:leftChars="0" w:firstLine="420" w:firstLineChars="0"/>
        <w:rPr>
          <w:rFonts w:hint="eastAsia" w:ascii="仿宋_GB2312" w:hAnsi="仿宋_GB2312" w:cs="仿宋_GB2312"/>
          <w:spacing w:val="4"/>
          <w:szCs w:val="32"/>
        </w:rPr>
      </w:pPr>
      <w:r>
        <w:rPr>
          <w:rFonts w:hint="eastAsia" w:ascii="仿宋_GB2312" w:hAnsi="仿宋_GB2312" w:eastAsia="仿宋_GB2312" w:cs="仿宋_GB2312"/>
          <w:spacing w:val="4"/>
          <w:kern w:val="2"/>
          <w:sz w:val="32"/>
          <w:szCs w:val="32"/>
          <w:lang w:val="en-US" w:eastAsia="zh-CN" w:bidi="ar-SA"/>
        </w:rPr>
        <w:t>（三）</w:t>
      </w:r>
      <w:r>
        <w:rPr>
          <w:rFonts w:hint="eastAsia" w:ascii="仿宋_GB2312" w:hAnsi="仿宋_GB2312" w:cs="仿宋_GB2312"/>
          <w:spacing w:val="4"/>
          <w:szCs w:val="32"/>
        </w:rPr>
        <w:t>组织监督检查双控机制建设和应用情况，并持续改进提升；</w:t>
      </w:r>
    </w:p>
    <w:p w14:paraId="4D8BCBF6">
      <w:pPr>
        <w:numPr>
          <w:ilvl w:val="0"/>
          <w:numId w:val="0"/>
        </w:numPr>
        <w:spacing w:line="360" w:lineRule="auto"/>
        <w:ind w:left="0" w:leftChars="0" w:firstLine="420" w:firstLineChars="0"/>
        <w:rPr>
          <w:rFonts w:hint="eastAsia" w:ascii="仿宋_GB2312" w:hAnsi="仿宋_GB2312" w:cs="仿宋_GB2312"/>
          <w:spacing w:val="4"/>
          <w:szCs w:val="32"/>
        </w:rPr>
      </w:pPr>
      <w:r>
        <w:rPr>
          <w:rFonts w:hint="eastAsia" w:ascii="仿宋_GB2312" w:hAnsi="仿宋_GB2312" w:eastAsia="仿宋_GB2312" w:cs="仿宋_GB2312"/>
          <w:spacing w:val="4"/>
          <w:kern w:val="2"/>
          <w:sz w:val="32"/>
          <w:szCs w:val="32"/>
          <w:lang w:val="en-US" w:eastAsia="zh-CN" w:bidi="ar-SA"/>
        </w:rPr>
        <w:t>（四）</w:t>
      </w:r>
      <w:r>
        <w:rPr>
          <w:rFonts w:hint="eastAsia" w:ascii="仿宋_GB2312" w:hAnsi="仿宋_GB2312" w:cs="仿宋_GB2312"/>
          <w:spacing w:val="4"/>
          <w:szCs w:val="32"/>
        </w:rPr>
        <w:t>每年组织对各单位风险辨识及风险评估情况进行评审并建立完善《生产安全风险预控库》；</w:t>
      </w:r>
    </w:p>
    <w:p w14:paraId="65D8CE7F">
      <w:pPr>
        <w:numPr>
          <w:ilvl w:val="0"/>
          <w:numId w:val="0"/>
        </w:numPr>
        <w:spacing w:line="360" w:lineRule="auto"/>
        <w:ind w:left="0" w:leftChars="0" w:firstLine="757" w:firstLineChars="231"/>
        <w:rPr>
          <w:rFonts w:ascii="仿宋_GB2312" w:hAnsi="仿宋_GB2312" w:cs="仿宋_GB2312"/>
          <w:spacing w:val="4"/>
          <w:szCs w:val="32"/>
        </w:rPr>
      </w:pPr>
      <w:r>
        <w:rPr>
          <w:rFonts w:hint="eastAsia" w:ascii="仿宋_GB2312" w:hAnsi="仿宋_GB2312" w:eastAsia="仿宋_GB2312" w:cs="仿宋_GB2312"/>
          <w:spacing w:val="4"/>
          <w:kern w:val="2"/>
          <w:sz w:val="32"/>
          <w:szCs w:val="32"/>
          <w:lang w:val="en-US" w:eastAsia="zh-CN" w:bidi="ar-SA"/>
        </w:rPr>
        <w:t>（五）</w:t>
      </w:r>
      <w:r>
        <w:rPr>
          <w:rFonts w:hint="eastAsia" w:ascii="仿宋_GB2312" w:hAnsi="仿宋_GB2312" w:cs="仿宋_GB2312"/>
          <w:spacing w:val="4"/>
          <w:szCs w:val="32"/>
        </w:rPr>
        <w:t>对辨识出的重大风险按规定上报，制定专项应急处置方案并组织定期演练；</w:t>
      </w:r>
    </w:p>
    <w:p w14:paraId="195C5C17">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after="400" w:line="560" w:lineRule="exact"/>
        <w:ind w:left="0" w:leftChars="0" w:firstLine="640" w:firstLineChars="200"/>
        <w:textAlignment w:val="auto"/>
        <w:rPr>
          <w:rFonts w:ascii="仿宋_GB2312"/>
          <w:szCs w:val="32"/>
        </w:rPr>
      </w:pPr>
      <w:r>
        <w:rPr>
          <w:rFonts w:hint="eastAsia" w:ascii="仿宋_GB2312" w:hAnsi="Times New Roman" w:eastAsia="仿宋_GB2312" w:cs="Times New Roman"/>
          <w:kern w:val="2"/>
          <w:sz w:val="32"/>
          <w:szCs w:val="32"/>
          <w:lang w:val="en-US" w:eastAsia="zh-CN" w:bidi="ar-SA"/>
        </w:rPr>
        <w:t>（六）</w:t>
      </w:r>
      <w:r>
        <w:rPr>
          <w:rFonts w:hint="eastAsia" w:ascii="仿宋_GB2312" w:hAnsi="仿宋_GB2312" w:cs="仿宋_GB2312"/>
          <w:spacing w:val="4"/>
          <w:szCs w:val="32"/>
        </w:rPr>
        <w:t>定期组织开展隐患排查，对重大隐患实施挂牌督办。</w:t>
      </w:r>
    </w:p>
    <w:p w14:paraId="077FF163">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560" w:lineRule="exact"/>
        <w:ind w:firstLine="640" w:firstLineChars="200"/>
        <w:textAlignment w:val="auto"/>
        <w:rPr>
          <w:rFonts w:ascii="仿宋_GB2312"/>
          <w:szCs w:val="32"/>
        </w:rPr>
      </w:pPr>
      <w:r>
        <w:rPr>
          <w:rFonts w:hint="eastAsia" w:ascii="黑体" w:hAnsi="黑体" w:eastAsia="黑体" w:cs="黑体"/>
          <w:b w:val="0"/>
          <w:bCs w:val="0"/>
          <w:kern w:val="2"/>
          <w:sz w:val="32"/>
          <w:szCs w:val="32"/>
          <w:lang w:val="en-US" w:eastAsia="zh-CN" w:bidi="ar-SA"/>
        </w:rPr>
        <w:t xml:space="preserve">第八条 </w:t>
      </w:r>
      <w:r>
        <w:rPr>
          <w:rFonts w:hint="eastAsia" w:ascii="仿宋_GB2312" w:hAnsi="仿宋_GB2312" w:cs="仿宋_GB2312"/>
          <w:spacing w:val="4"/>
          <w:szCs w:val="32"/>
        </w:rPr>
        <w:t>双控机制工作办公室职责：</w:t>
      </w:r>
    </w:p>
    <w:p w14:paraId="071B91A4">
      <w:pPr>
        <w:numPr>
          <w:ilvl w:val="0"/>
          <w:numId w:val="0"/>
        </w:numPr>
        <w:ind w:left="0" w:leftChars="0" w:firstLine="640" w:firstLineChars="200"/>
      </w:pPr>
      <w:r>
        <w:rPr>
          <w:rFonts w:hint="eastAsia" w:ascii="Times New Roman" w:hAnsi="Times New Roman" w:eastAsia="仿宋_GB2312" w:cs="Times New Roman"/>
          <w:kern w:val="2"/>
          <w:sz w:val="32"/>
          <w:lang w:val="en-US" w:eastAsia="zh-CN" w:bidi="ar-SA"/>
        </w:rPr>
        <w:t>（一）</w:t>
      </w:r>
      <w:r>
        <w:t>组织年度风险研判和定期隐患排查整治，负责</w:t>
      </w:r>
      <w:r>
        <w:rPr>
          <w:rFonts w:hint="eastAsia"/>
        </w:rPr>
        <w:t>公司</w:t>
      </w:r>
      <w:r>
        <w:t>层面风险库、隐患库的管理。</w:t>
      </w:r>
    </w:p>
    <w:p w14:paraId="00A03E7E">
      <w:pPr>
        <w:numPr>
          <w:ilvl w:val="0"/>
          <w:numId w:val="0"/>
        </w:numPr>
        <w:ind w:left="0" w:leftChars="0" w:firstLine="640" w:firstLineChars="200"/>
      </w:pPr>
      <w:r>
        <w:rPr>
          <w:rFonts w:hint="eastAsia" w:ascii="Times New Roman" w:hAnsi="Times New Roman" w:eastAsia="仿宋_GB2312" w:cs="Times New Roman"/>
          <w:kern w:val="2"/>
          <w:sz w:val="32"/>
          <w:lang w:val="en-US" w:eastAsia="zh-CN" w:bidi="ar-SA"/>
        </w:rPr>
        <w:t>（二）</w:t>
      </w:r>
      <w:r>
        <w:t>组织开展</w:t>
      </w:r>
      <w:r>
        <w:rPr>
          <w:rFonts w:hint="eastAsia"/>
        </w:rPr>
        <w:t>双控机制</w:t>
      </w:r>
      <w:r>
        <w:t>建设培训，指导</w:t>
      </w:r>
      <w:r>
        <w:rPr>
          <w:rFonts w:hint="eastAsia"/>
        </w:rPr>
        <w:t>双控机制</w:t>
      </w:r>
      <w:r>
        <w:t>建设工作。</w:t>
      </w:r>
    </w:p>
    <w:p w14:paraId="4BD4E6BF">
      <w:pPr>
        <w:numPr>
          <w:ilvl w:val="0"/>
          <w:numId w:val="0"/>
        </w:numPr>
        <w:ind w:left="0" w:leftChars="0" w:firstLine="640" w:firstLineChars="200"/>
      </w:pPr>
      <w:r>
        <w:rPr>
          <w:rFonts w:hint="eastAsia" w:ascii="Times New Roman" w:hAnsi="Times New Roman" w:eastAsia="仿宋_GB2312" w:cs="Times New Roman"/>
          <w:kern w:val="2"/>
          <w:sz w:val="32"/>
          <w:lang w:val="en-US" w:eastAsia="zh-CN" w:bidi="ar-SA"/>
        </w:rPr>
        <w:t>（三）</w:t>
      </w:r>
      <w:r>
        <w:t>组织</w:t>
      </w:r>
      <w:r>
        <w:rPr>
          <w:rFonts w:hint="eastAsia"/>
        </w:rPr>
        <w:t>双控机制</w:t>
      </w:r>
      <w:r>
        <w:t>信息化建设工作。</w:t>
      </w:r>
    </w:p>
    <w:p w14:paraId="0EE9DF42">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after="400" w:line="560" w:lineRule="exact"/>
        <w:ind w:left="0" w:leftChars="0" w:firstLine="640" w:firstLineChars="200"/>
        <w:textAlignment w:val="auto"/>
      </w:pPr>
      <w:r>
        <w:rPr>
          <w:rFonts w:hint="eastAsia" w:ascii="Times New Roman" w:hAnsi="Times New Roman" w:eastAsia="仿宋_GB2312" w:cs="Times New Roman"/>
          <w:kern w:val="2"/>
          <w:sz w:val="32"/>
          <w:lang w:val="en-US" w:eastAsia="zh-CN" w:bidi="ar-SA"/>
        </w:rPr>
        <w:t>（四）</w:t>
      </w:r>
      <w:r>
        <w:t>监督检查各</w:t>
      </w:r>
      <w:r>
        <w:rPr>
          <w:rFonts w:hint="eastAsia"/>
          <w:lang w:val="en-US" w:eastAsia="zh-CN"/>
        </w:rPr>
        <w:t>委外</w:t>
      </w:r>
      <w:r>
        <w:rPr>
          <w:rFonts w:hint="eastAsia"/>
        </w:rPr>
        <w:t>单位双控机制</w:t>
      </w:r>
      <w:r>
        <w:t>工作落实情况，提出考核意见。</w:t>
      </w:r>
    </w:p>
    <w:p w14:paraId="14ECA517">
      <w:pPr>
        <w:numPr>
          <w:ilvl w:val="0"/>
          <w:numId w:val="0"/>
        </w:numPr>
        <w:tabs>
          <w:tab w:val="left" w:pos="0"/>
        </w:tabs>
        <w:adjustRightInd w:val="0"/>
        <w:snapToGrid w:val="0"/>
        <w:spacing w:line="560" w:lineRule="exact"/>
        <w:ind w:left="0" w:leftChars="0" w:firstLine="716" w:firstLineChars="224"/>
        <w:rPr>
          <w:rFonts w:ascii="仿宋_GB2312"/>
          <w:szCs w:val="32"/>
        </w:rPr>
      </w:pPr>
      <w:r>
        <w:rPr>
          <w:rFonts w:hint="eastAsia" w:ascii="黑体" w:hAnsi="黑体" w:eastAsia="黑体" w:cs="黑体"/>
          <w:b w:val="0"/>
          <w:bCs w:val="0"/>
          <w:kern w:val="2"/>
          <w:sz w:val="32"/>
          <w:szCs w:val="32"/>
          <w:lang w:val="en-US" w:eastAsia="zh-CN" w:bidi="ar-SA"/>
        </w:rPr>
        <w:t xml:space="preserve">第九条 </w:t>
      </w:r>
      <w:r>
        <w:rPr>
          <w:rFonts w:hint="eastAsia" w:ascii="仿宋_GB2312"/>
          <w:szCs w:val="32"/>
        </w:rPr>
        <w:t>公司</w:t>
      </w:r>
      <w:r>
        <w:rPr>
          <w:rFonts w:ascii="仿宋_GB2312"/>
          <w:szCs w:val="32"/>
        </w:rPr>
        <w:t>承担</w:t>
      </w:r>
      <w:r>
        <w:rPr>
          <w:rFonts w:hint="eastAsia" w:ascii="仿宋_GB2312"/>
          <w:szCs w:val="32"/>
        </w:rPr>
        <w:t>双控机制</w:t>
      </w:r>
      <w:r>
        <w:rPr>
          <w:rFonts w:ascii="仿宋_GB2312"/>
          <w:szCs w:val="32"/>
        </w:rPr>
        <w:t>建设主体责任，</w:t>
      </w:r>
      <w:r>
        <w:rPr>
          <w:rFonts w:hint="eastAsia" w:ascii="仿宋_GB2312"/>
          <w:szCs w:val="32"/>
        </w:rPr>
        <w:t>各委外单位</w:t>
      </w:r>
      <w:r>
        <w:rPr>
          <w:rFonts w:ascii="仿宋_GB2312"/>
          <w:szCs w:val="32"/>
        </w:rPr>
        <w:t>组织建立并落实</w:t>
      </w:r>
      <w:r>
        <w:rPr>
          <w:rFonts w:hint="eastAsia" w:ascii="仿宋_GB2312"/>
          <w:szCs w:val="32"/>
        </w:rPr>
        <w:t>双控机制</w:t>
      </w:r>
      <w:r>
        <w:rPr>
          <w:rFonts w:ascii="仿宋_GB2312"/>
          <w:szCs w:val="32"/>
        </w:rPr>
        <w:t>工作体系，落实</w:t>
      </w:r>
      <w:r>
        <w:rPr>
          <w:rFonts w:hint="eastAsia" w:ascii="仿宋_GB2312"/>
          <w:szCs w:val="32"/>
        </w:rPr>
        <w:t>双控机制</w:t>
      </w:r>
      <w:r>
        <w:rPr>
          <w:rFonts w:ascii="仿宋_GB2312"/>
          <w:szCs w:val="32"/>
        </w:rPr>
        <w:t>工作制度办法，落实安全风险自辨自控、隐患自查自治责任，逐步提升安全生产整体预控能力，夯实遏制事故坚实基础。</w:t>
      </w:r>
    </w:p>
    <w:p w14:paraId="21E241CC">
      <w:pPr>
        <w:pStyle w:val="3"/>
        <w:keepNext/>
        <w:keepLines/>
        <w:pageBreakBefore w:val="0"/>
        <w:widowControl w:val="0"/>
        <w:numPr>
          <w:ilvl w:val="0"/>
          <w:numId w:val="1"/>
        </w:numPr>
        <w:kinsoku/>
        <w:wordWrap/>
        <w:overflowPunct/>
        <w:topLinePunct w:val="0"/>
        <w:autoSpaceDE/>
        <w:autoSpaceDN/>
        <w:bidi w:val="0"/>
        <w:adjustRightInd/>
        <w:snapToGrid/>
        <w:spacing w:before="600" w:after="600" w:line="240" w:lineRule="auto"/>
        <w:ind w:firstLine="0" w:firstLineChars="0"/>
        <w:textAlignment w:val="auto"/>
      </w:pPr>
      <w:r>
        <w:t xml:space="preserve">  风险</w:t>
      </w:r>
      <w:r>
        <w:rPr>
          <w:rFonts w:hint="eastAsia"/>
        </w:rPr>
        <w:t>管控</w:t>
      </w:r>
    </w:p>
    <w:p w14:paraId="1E5011E9">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after="400" w:line="560" w:lineRule="exact"/>
        <w:ind w:left="0" w:leftChars="0" w:firstLine="656" w:firstLineChars="200"/>
        <w:textAlignment w:val="auto"/>
        <w:rPr>
          <w:rFonts w:hint="eastAsia" w:ascii="仿宋_GB2312" w:hAnsi="仿宋_GB2312" w:cs="仿宋_GB2312"/>
          <w:spacing w:val="4"/>
          <w:szCs w:val="32"/>
        </w:rPr>
      </w:pPr>
      <w:r>
        <w:rPr>
          <w:rFonts w:hint="eastAsia" w:ascii="黑体" w:hAnsi="黑体" w:eastAsia="黑体" w:cs="黑体"/>
          <w:b w:val="0"/>
          <w:bCs w:val="0"/>
          <w:spacing w:val="4"/>
          <w:kern w:val="2"/>
          <w:sz w:val="32"/>
          <w:szCs w:val="32"/>
          <w:lang w:val="en-US" w:eastAsia="zh-CN" w:bidi="ar-SA"/>
        </w:rPr>
        <w:t xml:space="preserve">第十条 </w:t>
      </w:r>
      <w:r>
        <w:rPr>
          <w:rFonts w:hint="eastAsia" w:ascii="仿宋_GB2312" w:hAnsi="仿宋_GB2312" w:cs="仿宋_GB2312"/>
          <w:spacing w:val="4"/>
          <w:szCs w:val="32"/>
        </w:rPr>
        <w:t>风险辨识应从人、机、环、管等方面，采取“自下而上、自上而下”方式，组织全员进行风险辨识，并充分考虑三种时态(过去、现在、将来）和三种状态（正常、异常、紧急)下可能存在的危险有害因素，分析有害因素出现的条件和可能发生的事件（事故）。风险辨识和风险评估结果须录入危险源（风险点）辨识与风险评价</w:t>
      </w:r>
      <w:r>
        <w:rPr>
          <w:rFonts w:hint="eastAsia"/>
          <w:bCs/>
          <w:szCs w:val="36"/>
          <w:lang w:eastAsia="zh-CN"/>
        </w:rPr>
        <w:t>信息</w:t>
      </w:r>
      <w:r>
        <w:rPr>
          <w:rFonts w:hint="eastAsia" w:ascii="仿宋_GB2312" w:hAnsi="仿宋_GB2312" w:cs="仿宋_GB2312"/>
          <w:spacing w:val="4"/>
          <w:szCs w:val="32"/>
        </w:rPr>
        <w:t>一览表(见附件1)。</w:t>
      </w:r>
    </w:p>
    <w:p w14:paraId="5A047A00">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after="400" w:line="560" w:lineRule="exact"/>
        <w:ind w:left="0" w:leftChars="0" w:firstLine="656" w:firstLineChars="200"/>
        <w:textAlignment w:val="auto"/>
        <w:rPr>
          <w:rFonts w:hint="eastAsia" w:ascii="仿宋_GB2312" w:hAnsi="仿宋_GB2312" w:cs="仿宋_GB2312"/>
          <w:spacing w:val="4"/>
          <w:szCs w:val="32"/>
        </w:rPr>
      </w:pPr>
      <w:r>
        <w:rPr>
          <w:rFonts w:hint="eastAsia" w:ascii="黑体" w:hAnsi="黑体" w:eastAsia="黑体" w:cs="黑体"/>
          <w:b w:val="0"/>
          <w:bCs w:val="0"/>
          <w:spacing w:val="4"/>
          <w:kern w:val="2"/>
          <w:sz w:val="32"/>
          <w:szCs w:val="32"/>
          <w:lang w:val="en-US" w:eastAsia="zh-CN" w:bidi="ar-SA"/>
        </w:rPr>
        <w:t xml:space="preserve">第十一条 </w:t>
      </w:r>
      <w:r>
        <w:rPr>
          <w:rFonts w:hint="eastAsia" w:ascii="仿宋_GB2312" w:hAnsi="仿宋_GB2312" w:cs="仿宋_GB2312"/>
          <w:spacing w:val="4"/>
          <w:szCs w:val="32"/>
        </w:rPr>
        <w:t>风险管控应遵循“消除、预防、减弱、隔离、连锁、警告”的原则，预控措施可单独或联合使用“安全技术措施、制度管理措施、培训教育措施、个体防护措施、应急处置措施”。对设备类和环境类风险应按规定的检测周期进行检测，并逐步实现实时监测；对行为类风险逐步实现实时监测和自动</w:t>
      </w:r>
      <w:r>
        <w:rPr>
          <w:rFonts w:hint="eastAsia"/>
          <w:bCs/>
          <w:szCs w:val="36"/>
          <w:lang w:eastAsia="zh-CN"/>
        </w:rPr>
        <w:t>预警</w:t>
      </w:r>
      <w:r>
        <w:rPr>
          <w:rFonts w:hint="eastAsia" w:ascii="仿宋_GB2312" w:hAnsi="仿宋_GB2312" w:cs="仿宋_GB2312"/>
          <w:spacing w:val="4"/>
          <w:szCs w:val="32"/>
        </w:rPr>
        <w:t>。</w:t>
      </w:r>
    </w:p>
    <w:p w14:paraId="624956F0">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after="400" w:line="560" w:lineRule="exact"/>
        <w:ind w:left="0" w:leftChars="0" w:firstLine="656" w:firstLineChars="200"/>
        <w:textAlignment w:val="auto"/>
        <w:rPr>
          <w:rFonts w:hint="eastAsia" w:ascii="仿宋_GB2312" w:hAnsi="仿宋_GB2312" w:cs="仿宋_GB2312"/>
          <w:spacing w:val="4"/>
          <w:szCs w:val="32"/>
        </w:rPr>
      </w:pPr>
      <w:r>
        <w:rPr>
          <w:rFonts w:hint="eastAsia" w:ascii="黑体" w:hAnsi="黑体" w:eastAsia="黑体" w:cs="黑体"/>
          <w:b w:val="0"/>
          <w:bCs w:val="0"/>
          <w:spacing w:val="4"/>
          <w:kern w:val="2"/>
          <w:sz w:val="32"/>
          <w:szCs w:val="32"/>
          <w:lang w:val="en-US" w:eastAsia="zh-CN" w:bidi="ar-SA"/>
        </w:rPr>
        <w:t xml:space="preserve">第十二条 </w:t>
      </w:r>
      <w:r>
        <w:rPr>
          <w:rFonts w:hint="eastAsia" w:ascii="仿宋_GB2312" w:hAnsi="仿宋_GB2312" w:cs="仿宋_GB2312"/>
          <w:spacing w:val="4"/>
          <w:szCs w:val="32"/>
        </w:rPr>
        <w:t>风险预控措施应纳入操作规程、作业标准、安全技术措施及应急措施等，并保证风险始终处于可承受范围内。</w:t>
      </w:r>
    </w:p>
    <w:p w14:paraId="1DA2CB88">
      <w:pPr>
        <w:numPr>
          <w:ilvl w:val="0"/>
          <w:numId w:val="0"/>
        </w:numPr>
        <w:tabs>
          <w:tab w:val="left" w:pos="0"/>
        </w:tabs>
        <w:ind w:left="0" w:leftChars="0" w:firstLine="734" w:firstLineChars="224"/>
        <w:rPr>
          <w:rFonts w:hint="eastAsia" w:ascii="仿宋_GB2312" w:hAnsi="仿宋_GB2312" w:cs="仿宋_GB2312"/>
          <w:spacing w:val="4"/>
          <w:szCs w:val="32"/>
        </w:rPr>
      </w:pPr>
      <w:r>
        <w:rPr>
          <w:rFonts w:hint="eastAsia" w:ascii="黑体" w:hAnsi="黑体" w:eastAsia="黑体" w:cs="黑体"/>
          <w:b w:val="0"/>
          <w:bCs w:val="0"/>
          <w:spacing w:val="4"/>
          <w:kern w:val="2"/>
          <w:sz w:val="32"/>
          <w:szCs w:val="32"/>
          <w:lang w:val="en-US" w:eastAsia="zh-CN" w:bidi="ar-SA"/>
        </w:rPr>
        <w:t xml:space="preserve">第十三条 </w:t>
      </w:r>
      <w:r>
        <w:rPr>
          <w:rFonts w:hint="eastAsia" w:ascii="仿宋_GB2312" w:hAnsi="仿宋_GB2312" w:cs="仿宋_GB2312"/>
          <w:spacing w:val="4"/>
          <w:szCs w:val="32"/>
        </w:rPr>
        <w:t>制定和实施风险控制措施时，应充分考虑：</w:t>
      </w:r>
    </w:p>
    <w:p w14:paraId="480B7FD1">
      <w:pPr>
        <w:numPr>
          <w:ilvl w:val="0"/>
          <w:numId w:val="0"/>
        </w:numPr>
        <w:ind w:left="0" w:leftChars="0" w:firstLine="640" w:firstLineChars="200"/>
        <w:rPr>
          <w:rFonts w:hint="eastAsia"/>
        </w:rPr>
      </w:pPr>
      <w:r>
        <w:rPr>
          <w:rFonts w:hint="eastAsia" w:ascii="Times New Roman" w:hAnsi="Times New Roman" w:eastAsia="仿宋_GB2312" w:cs="Times New Roman"/>
          <w:kern w:val="2"/>
          <w:sz w:val="32"/>
          <w:lang w:val="en-US" w:eastAsia="zh-CN" w:bidi="ar-SA"/>
        </w:rPr>
        <w:t>（一）</w:t>
      </w:r>
      <w:r>
        <w:rPr>
          <w:rFonts w:hint="eastAsia"/>
        </w:rPr>
        <w:t>措施的可行性和有效性；</w:t>
      </w:r>
    </w:p>
    <w:p w14:paraId="6CB05606">
      <w:pPr>
        <w:numPr>
          <w:ilvl w:val="0"/>
          <w:numId w:val="0"/>
        </w:numPr>
        <w:ind w:left="0" w:leftChars="0" w:firstLine="640" w:firstLineChars="200"/>
        <w:rPr>
          <w:rFonts w:hint="eastAsia"/>
        </w:rPr>
      </w:pPr>
      <w:r>
        <w:rPr>
          <w:rFonts w:hint="eastAsia" w:ascii="Times New Roman" w:hAnsi="Times New Roman" w:eastAsia="仿宋_GB2312" w:cs="Times New Roman"/>
          <w:kern w:val="2"/>
          <w:sz w:val="32"/>
          <w:lang w:val="en-US" w:eastAsia="zh-CN" w:bidi="ar-SA"/>
        </w:rPr>
        <w:t>（二）</w:t>
      </w:r>
      <w:r>
        <w:rPr>
          <w:rFonts w:hint="eastAsia"/>
        </w:rPr>
        <w:t>是否能使风险等级降低至可接受风险；</w:t>
      </w:r>
    </w:p>
    <w:p w14:paraId="1E29C6BE">
      <w:pPr>
        <w:numPr>
          <w:ilvl w:val="0"/>
          <w:numId w:val="0"/>
        </w:numPr>
        <w:ind w:left="0" w:leftChars="0" w:firstLine="640" w:firstLineChars="200"/>
        <w:rPr>
          <w:rFonts w:hint="eastAsia"/>
        </w:rPr>
      </w:pPr>
      <w:r>
        <w:rPr>
          <w:rFonts w:hint="eastAsia" w:ascii="Times New Roman" w:hAnsi="Times New Roman" w:eastAsia="仿宋_GB2312" w:cs="Times New Roman"/>
          <w:kern w:val="2"/>
          <w:sz w:val="32"/>
          <w:lang w:val="en-US" w:eastAsia="zh-CN" w:bidi="ar-SA"/>
        </w:rPr>
        <w:t>（三）</w:t>
      </w:r>
      <w:r>
        <w:rPr>
          <w:rFonts w:hint="eastAsia"/>
        </w:rPr>
        <w:t>是否产生新的风险；</w:t>
      </w:r>
    </w:p>
    <w:p w14:paraId="40ECFB6E">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after="400" w:line="560" w:lineRule="exact"/>
        <w:ind w:left="0" w:leftChars="0" w:firstLine="640" w:firstLineChars="200"/>
        <w:textAlignment w:val="auto"/>
      </w:pPr>
      <w:r>
        <w:rPr>
          <w:rFonts w:hint="eastAsia" w:ascii="Times New Roman" w:hAnsi="Times New Roman" w:eastAsia="仿宋_GB2312" w:cs="Times New Roman"/>
          <w:kern w:val="2"/>
          <w:sz w:val="32"/>
          <w:lang w:val="en-US" w:eastAsia="zh-CN" w:bidi="ar-SA"/>
        </w:rPr>
        <w:t>（四）</w:t>
      </w:r>
      <w:r>
        <w:t>是否已选定最佳的解决方案。</w:t>
      </w:r>
    </w:p>
    <w:p w14:paraId="7D5B80E4">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after="400" w:line="560" w:lineRule="exact"/>
        <w:ind w:left="0" w:leftChars="0" w:firstLine="656" w:firstLineChars="200"/>
        <w:textAlignment w:val="auto"/>
        <w:rPr>
          <w:rFonts w:hint="eastAsia" w:ascii="仿宋_GB2312" w:hAnsi="仿宋_GB2312" w:cs="仿宋_GB2312"/>
          <w:spacing w:val="4"/>
          <w:szCs w:val="32"/>
        </w:rPr>
      </w:pPr>
      <w:r>
        <w:rPr>
          <w:rFonts w:hint="eastAsia" w:ascii="黑体" w:hAnsi="黑体" w:eastAsia="黑体" w:cs="黑体"/>
          <w:b w:val="0"/>
          <w:bCs w:val="0"/>
          <w:spacing w:val="4"/>
          <w:kern w:val="2"/>
          <w:sz w:val="32"/>
          <w:szCs w:val="32"/>
          <w:lang w:val="en-US" w:eastAsia="zh-CN" w:bidi="ar-SA"/>
        </w:rPr>
        <w:t xml:space="preserve">第十四条 </w:t>
      </w:r>
      <w:r>
        <w:rPr>
          <w:rFonts w:hint="eastAsia" w:ascii="仿宋_GB2312" w:hAnsi="仿宋_GB2312" w:cs="仿宋_GB2312"/>
          <w:spacing w:val="4"/>
          <w:szCs w:val="32"/>
        </w:rPr>
        <w:t>充分应用风险分级管控信息系统，对风险进行闭环管控。公司负责管控较大及以上风险，各</w:t>
      </w:r>
      <w:r>
        <w:rPr>
          <w:rFonts w:hint="eastAsia" w:ascii="仿宋_GB2312" w:hAnsi="仿宋_GB2312" w:cs="仿宋_GB2312"/>
          <w:spacing w:val="4"/>
          <w:szCs w:val="32"/>
          <w:lang w:val="en-US" w:eastAsia="zh-CN"/>
        </w:rPr>
        <w:t>委外</w:t>
      </w:r>
      <w:r>
        <w:rPr>
          <w:rFonts w:hint="eastAsia" w:ascii="仿宋_GB2312" w:hAnsi="仿宋_GB2312" w:cs="仿宋_GB2312"/>
          <w:spacing w:val="4"/>
          <w:szCs w:val="32"/>
        </w:rPr>
        <w:t>单位、物业单位负责管辖范围内存在的风险，并逐级落实预控措施。</w:t>
      </w:r>
    </w:p>
    <w:p w14:paraId="14B5471D">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after="400" w:line="560" w:lineRule="exact"/>
        <w:ind w:left="0" w:leftChars="0" w:firstLine="656" w:firstLineChars="200"/>
        <w:textAlignment w:val="auto"/>
        <w:rPr>
          <w:rFonts w:hint="eastAsia" w:ascii="仿宋_GB2312" w:hAnsi="仿宋_GB2312" w:cs="仿宋_GB2312"/>
          <w:spacing w:val="4"/>
          <w:szCs w:val="32"/>
        </w:rPr>
      </w:pPr>
      <w:r>
        <w:rPr>
          <w:rFonts w:hint="eastAsia" w:ascii="黑体" w:hAnsi="黑体" w:eastAsia="黑体" w:cs="黑体"/>
          <w:b w:val="0"/>
          <w:bCs w:val="0"/>
          <w:spacing w:val="4"/>
          <w:kern w:val="2"/>
          <w:sz w:val="32"/>
          <w:szCs w:val="32"/>
          <w:lang w:val="en-US" w:eastAsia="zh-CN" w:bidi="ar-SA"/>
        </w:rPr>
        <w:t xml:space="preserve">第十五条 </w:t>
      </w:r>
      <w:r>
        <w:rPr>
          <w:rFonts w:hint="eastAsia" w:ascii="仿宋_GB2312" w:hAnsi="仿宋_GB2312" w:cs="仿宋_GB2312"/>
          <w:spacing w:val="4"/>
          <w:szCs w:val="32"/>
        </w:rPr>
        <w:t>公司依据国家及行业相关安全生产法律法规、规章、标准及规范性文件等规定，全面开展安全风险辨识，科学评估风险等级，分级采取措施有效管控安全风险，实施安全风险公告及监测警示，加强动态管理，从源头上防范化解重大风险，实现风险等级逐步降低、安全</w:t>
      </w:r>
      <w:r>
        <w:rPr>
          <w:rFonts w:hint="eastAsia"/>
        </w:rPr>
        <w:t>风险</w:t>
      </w:r>
      <w:r>
        <w:rPr>
          <w:rFonts w:hint="eastAsia" w:ascii="仿宋_GB2312" w:hAnsi="仿宋_GB2312" w:cs="仿宋_GB2312"/>
          <w:spacing w:val="4"/>
          <w:szCs w:val="32"/>
        </w:rPr>
        <w:t>有效管控。</w:t>
      </w:r>
    </w:p>
    <w:p w14:paraId="5749ECB6">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after="400" w:line="560" w:lineRule="exact"/>
        <w:ind w:left="0" w:leftChars="0" w:firstLine="656" w:firstLineChars="200"/>
        <w:textAlignment w:val="auto"/>
        <w:rPr>
          <w:rFonts w:hint="eastAsia" w:ascii="仿宋_GB2312" w:hAnsi="仿宋_GB2312" w:cs="仿宋_GB2312"/>
          <w:spacing w:val="4"/>
          <w:szCs w:val="32"/>
        </w:rPr>
      </w:pPr>
      <w:r>
        <w:rPr>
          <w:rFonts w:hint="eastAsia" w:ascii="黑体" w:hAnsi="黑体" w:eastAsia="黑体" w:cs="黑体"/>
          <w:b w:val="0"/>
          <w:bCs w:val="0"/>
          <w:spacing w:val="4"/>
          <w:kern w:val="2"/>
          <w:sz w:val="32"/>
          <w:szCs w:val="32"/>
          <w:lang w:val="en-US" w:eastAsia="zh-CN" w:bidi="ar-SA"/>
        </w:rPr>
        <w:t xml:space="preserve">第十六条 </w:t>
      </w:r>
      <w:r>
        <w:rPr>
          <w:rFonts w:hint="eastAsia" w:ascii="仿宋_GB2312" w:hAnsi="仿宋_GB2312" w:cs="仿宋_GB2312"/>
          <w:spacing w:val="4"/>
          <w:szCs w:val="32"/>
        </w:rPr>
        <w:t>公司各部门、</w:t>
      </w:r>
      <w:r>
        <w:rPr>
          <w:rFonts w:hint="eastAsia" w:ascii="仿宋_GB2312" w:hAnsi="仿宋_GB2312" w:cs="仿宋_GB2312"/>
          <w:spacing w:val="4"/>
          <w:szCs w:val="32"/>
          <w:lang w:val="en-US" w:eastAsia="zh-CN"/>
        </w:rPr>
        <w:t>委外</w:t>
      </w:r>
      <w:r>
        <w:rPr>
          <w:rFonts w:hint="eastAsia" w:ascii="仿宋_GB2312" w:hAnsi="仿宋_GB2312" w:cs="仿宋_GB2312"/>
          <w:spacing w:val="4"/>
          <w:szCs w:val="32"/>
        </w:rPr>
        <w:t>、物业单位应当针对本单位生产经营活动范围及其生产经营环节，按照相关法规标准要求，明确风险辨识范围、方式和程序，突出货场运营工作以及系统性、区域性、多发性和偶发性风险，组织相关部门、单位、班组、有关专家和全体员工辨识</w:t>
      </w:r>
      <w:r>
        <w:rPr>
          <w:rFonts w:hint="eastAsia"/>
        </w:rPr>
        <w:t>安全</w:t>
      </w:r>
      <w:r>
        <w:rPr>
          <w:rFonts w:hint="eastAsia" w:ascii="仿宋_GB2312" w:hAnsi="仿宋_GB2312" w:cs="仿宋_GB2312"/>
          <w:spacing w:val="4"/>
          <w:szCs w:val="32"/>
        </w:rPr>
        <w:t>风险。</w:t>
      </w:r>
    </w:p>
    <w:p w14:paraId="6046E04E">
      <w:pPr>
        <w:keepNext w:val="0"/>
        <w:keepLines w:val="0"/>
        <w:pageBreakBefore w:val="0"/>
        <w:widowControl w:val="0"/>
        <w:numPr>
          <w:ilvl w:val="0"/>
          <w:numId w:val="0"/>
        </w:numPr>
        <w:tabs>
          <w:tab w:val="left" w:pos="0"/>
        </w:tabs>
        <w:kinsoku/>
        <w:wordWrap/>
        <w:overflowPunct/>
        <w:topLinePunct w:val="0"/>
        <w:autoSpaceDE/>
        <w:autoSpaceDN/>
        <w:bidi w:val="0"/>
        <w:adjustRightInd/>
        <w:snapToGrid/>
        <w:ind w:firstLine="656" w:firstLineChars="200"/>
        <w:textAlignment w:val="auto"/>
        <w:rPr>
          <w:rFonts w:hint="eastAsia" w:ascii="黑体" w:hAnsi="等线" w:eastAsia="黑体"/>
          <w:spacing w:val="4"/>
          <w:szCs w:val="32"/>
        </w:rPr>
      </w:pPr>
      <w:r>
        <w:rPr>
          <w:rFonts w:hint="eastAsia" w:ascii="黑体" w:hAnsi="黑体" w:eastAsia="黑体" w:cs="黑体"/>
          <w:b w:val="0"/>
          <w:bCs w:val="0"/>
          <w:spacing w:val="4"/>
          <w:kern w:val="2"/>
          <w:sz w:val="32"/>
          <w:szCs w:val="32"/>
          <w:lang w:val="en-US" w:eastAsia="zh-CN" w:bidi="ar-SA"/>
        </w:rPr>
        <w:t xml:space="preserve">第十七条 </w:t>
      </w:r>
      <w:r>
        <w:rPr>
          <w:rFonts w:hint="eastAsia" w:ascii="仿宋_GB2312" w:hAnsi="仿宋_GB2312" w:cs="仿宋_GB2312"/>
          <w:spacing w:val="4"/>
          <w:szCs w:val="32"/>
        </w:rPr>
        <w:t>风险辨识分为全面辨识和专项辨识。</w:t>
      </w:r>
    </w:p>
    <w:p w14:paraId="5B50D324">
      <w:pPr>
        <w:numPr>
          <w:ilvl w:val="0"/>
          <w:numId w:val="2"/>
        </w:numPr>
        <w:ind w:firstLine="640"/>
        <w:rPr>
          <w:rFonts w:hint="eastAsia" w:ascii="仿宋_GB2312" w:hAnsi="仿宋_GB2312" w:eastAsia="仿宋_GB2312" w:cs="仿宋_GB2312"/>
        </w:rPr>
      </w:pPr>
      <w:r>
        <w:rPr>
          <w:rFonts w:hint="eastAsia" w:ascii="仿宋_GB2312" w:hAnsi="仿宋_GB2312" w:eastAsia="仿宋_GB2312" w:cs="仿宋_GB2312"/>
        </w:rPr>
        <w:t>全面辨识。由公司主要负责人组织开展，每年开展一次，采取有效措施，全方位、全过程辨识生产工艺、设备设施、作业环境、人员行为和管理体系等方面存在的风险。</w:t>
      </w:r>
    </w:p>
    <w:p w14:paraId="40C90097">
      <w:pPr>
        <w:numPr>
          <w:ilvl w:val="0"/>
          <w:numId w:val="2"/>
        </w:numPr>
        <w:ind w:firstLine="640"/>
        <w:rPr>
          <w:rFonts w:hint="eastAsia"/>
        </w:rPr>
      </w:pPr>
      <w:r>
        <w:rPr>
          <w:rFonts w:hint="eastAsia" w:ascii="仿宋_GB2312" w:hAnsi="仿宋_GB2312" w:eastAsia="仿宋_GB2312" w:cs="仿宋_GB2312"/>
        </w:rPr>
        <w:t>专项辨识。根据需要开展，重点分析阶段性、临时性或者特定专业的风险动态辨识。专项辨识由各</w:t>
      </w:r>
      <w:r>
        <w:rPr>
          <w:rFonts w:hint="eastAsia" w:ascii="仿宋_GB2312" w:hAnsi="仿宋_GB2312" w:cs="仿宋_GB2312"/>
          <w:lang w:val="en-US" w:eastAsia="zh-CN"/>
        </w:rPr>
        <w:t>委外</w:t>
      </w:r>
      <w:r>
        <w:rPr>
          <w:rFonts w:hint="eastAsia" w:ascii="仿宋_GB2312" w:hAnsi="仿宋_GB2312" w:eastAsia="仿宋_GB2312" w:cs="仿宋_GB2312"/>
        </w:rPr>
        <w:t>单位、物业单位负责人或指定安全管理部门、有关业务部门组织开展。报公司</w:t>
      </w:r>
      <w:r>
        <w:rPr>
          <w:rFonts w:hint="eastAsia" w:ascii="仿宋_GB2312" w:hAnsi="仿宋_GB2312" w:eastAsia="仿宋_GB2312" w:cs="仿宋_GB2312"/>
          <w:lang w:eastAsia="zh-CN"/>
        </w:rPr>
        <w:t>安全环保监察部</w:t>
      </w:r>
      <w:r>
        <w:rPr>
          <w:rFonts w:hint="eastAsia" w:ascii="仿宋_GB2312" w:hAnsi="仿宋_GB2312" w:eastAsia="仿宋_GB2312" w:cs="仿宋_GB2312"/>
        </w:rPr>
        <w:t>备案（见附件2）。</w:t>
      </w:r>
    </w:p>
    <w:p w14:paraId="4FF3D44E">
      <w:pPr>
        <w:pStyle w:val="12"/>
        <w:widowControl/>
        <w:spacing w:line="360" w:lineRule="auto"/>
        <w:ind w:firstLine="656"/>
        <w:rPr>
          <w:rFonts w:hint="eastAsia" w:ascii="仿宋_GB2312" w:hAnsi="仿宋_GB2312" w:cs="仿宋_GB2312"/>
          <w:spacing w:val="4"/>
          <w:sz w:val="32"/>
          <w:szCs w:val="32"/>
        </w:rPr>
      </w:pPr>
      <w:r>
        <w:rPr>
          <w:rFonts w:hint="eastAsia" w:ascii="仿宋_GB2312" w:hAnsi="仿宋_GB2312" w:cs="仿宋_GB2312"/>
          <w:spacing w:val="4"/>
          <w:sz w:val="32"/>
          <w:szCs w:val="32"/>
        </w:rPr>
        <w:t>遇有下列情况时，应当开展专项风险辨识。</w:t>
      </w:r>
    </w:p>
    <w:p w14:paraId="3A40289C">
      <w:pPr>
        <w:pStyle w:val="12"/>
        <w:widowControl/>
        <w:numPr>
          <w:ilvl w:val="0"/>
          <w:numId w:val="0"/>
        </w:numPr>
        <w:spacing w:line="360" w:lineRule="auto"/>
        <w:ind w:left="0" w:leftChars="0" w:firstLine="656" w:firstLineChars="200"/>
        <w:rPr>
          <w:rFonts w:hint="eastAsia" w:ascii="仿宋_GB2312" w:hAnsi="仿宋_GB2312" w:cs="仿宋_GB2312"/>
          <w:spacing w:val="4"/>
          <w:sz w:val="32"/>
          <w:szCs w:val="32"/>
        </w:rPr>
      </w:pPr>
      <w:r>
        <w:rPr>
          <w:rFonts w:hint="default" w:ascii="仿宋_GB2312" w:hAnsi="仿宋_GB2312" w:eastAsia="仿宋_GB2312" w:cs="仿宋_GB2312"/>
          <w:spacing w:val="4"/>
          <w:kern w:val="2"/>
          <w:sz w:val="32"/>
          <w:szCs w:val="32"/>
          <w:lang w:val="en-US" w:eastAsia="zh-CN" w:bidi="ar-SA"/>
        </w:rPr>
        <w:t>1.</w:t>
      </w:r>
      <w:r>
        <w:rPr>
          <w:rFonts w:hint="eastAsia" w:ascii="仿宋_GB2312" w:hAnsi="仿宋_GB2312" w:cs="仿宋_GB2312"/>
          <w:spacing w:val="4"/>
          <w:sz w:val="32"/>
          <w:szCs w:val="32"/>
        </w:rPr>
        <w:t>发生生产安全事故、严重设备故障或安全事件的；</w:t>
      </w:r>
    </w:p>
    <w:p w14:paraId="306B8847">
      <w:pPr>
        <w:pStyle w:val="12"/>
        <w:widowControl/>
        <w:numPr>
          <w:ilvl w:val="0"/>
          <w:numId w:val="0"/>
        </w:numPr>
        <w:spacing w:line="360" w:lineRule="auto"/>
        <w:ind w:left="0" w:leftChars="0" w:firstLine="656" w:firstLineChars="200"/>
        <w:rPr>
          <w:rFonts w:hint="eastAsia" w:ascii="仿宋_GB2312" w:hAnsi="仿宋_GB2312" w:cs="仿宋_GB2312"/>
          <w:spacing w:val="4"/>
          <w:sz w:val="32"/>
          <w:szCs w:val="32"/>
        </w:rPr>
      </w:pPr>
      <w:r>
        <w:rPr>
          <w:rFonts w:hint="default" w:ascii="仿宋_GB2312" w:hAnsi="仿宋_GB2312" w:eastAsia="仿宋_GB2312" w:cs="仿宋_GB2312"/>
          <w:spacing w:val="4"/>
          <w:kern w:val="2"/>
          <w:sz w:val="32"/>
          <w:szCs w:val="32"/>
          <w:lang w:val="en-US" w:eastAsia="zh-CN" w:bidi="ar-SA"/>
        </w:rPr>
        <w:t>2.</w:t>
      </w:r>
      <w:r>
        <w:rPr>
          <w:rFonts w:hint="eastAsia" w:ascii="仿宋_GB2312" w:hAnsi="仿宋_GB2312" w:cs="仿宋_GB2312"/>
          <w:spacing w:val="4"/>
          <w:sz w:val="32"/>
          <w:szCs w:val="32"/>
        </w:rPr>
        <w:t>新设备、新技术、新工艺、新材料等投入使用前和发生改变的；</w:t>
      </w:r>
    </w:p>
    <w:p w14:paraId="5509B5D4">
      <w:pPr>
        <w:pStyle w:val="12"/>
        <w:widowControl/>
        <w:numPr>
          <w:ilvl w:val="0"/>
          <w:numId w:val="0"/>
        </w:numPr>
        <w:spacing w:line="360" w:lineRule="auto"/>
        <w:ind w:left="0" w:leftChars="0" w:firstLine="656" w:firstLineChars="200"/>
        <w:rPr>
          <w:rFonts w:hint="eastAsia" w:ascii="仿宋_GB2312" w:hAnsi="仿宋_GB2312" w:cs="仿宋_GB2312"/>
          <w:spacing w:val="4"/>
          <w:sz w:val="32"/>
          <w:szCs w:val="32"/>
        </w:rPr>
      </w:pPr>
      <w:r>
        <w:rPr>
          <w:rFonts w:hint="default" w:ascii="仿宋_GB2312" w:hAnsi="仿宋_GB2312" w:eastAsia="仿宋_GB2312" w:cs="仿宋_GB2312"/>
          <w:spacing w:val="4"/>
          <w:kern w:val="2"/>
          <w:sz w:val="32"/>
          <w:szCs w:val="32"/>
          <w:lang w:val="en-US" w:eastAsia="zh-CN" w:bidi="ar-SA"/>
        </w:rPr>
        <w:t>3.</w:t>
      </w:r>
      <w:r>
        <w:rPr>
          <w:rFonts w:hint="eastAsia" w:ascii="仿宋_GB2312" w:hAnsi="仿宋_GB2312" w:cs="仿宋_GB2312"/>
          <w:spacing w:val="4"/>
          <w:sz w:val="32"/>
          <w:szCs w:val="32"/>
        </w:rPr>
        <w:t>安全生产标准和条件发生重大变化；</w:t>
      </w:r>
    </w:p>
    <w:p w14:paraId="07CA8584">
      <w:pPr>
        <w:pStyle w:val="12"/>
        <w:widowControl/>
        <w:numPr>
          <w:ilvl w:val="0"/>
          <w:numId w:val="0"/>
        </w:numPr>
        <w:spacing w:line="360" w:lineRule="auto"/>
        <w:ind w:left="0" w:leftChars="0" w:firstLine="656" w:firstLineChars="200"/>
        <w:rPr>
          <w:rFonts w:hint="eastAsia" w:ascii="仿宋_GB2312" w:hAnsi="仿宋_GB2312" w:cs="仿宋_GB2312"/>
          <w:spacing w:val="4"/>
          <w:sz w:val="32"/>
          <w:szCs w:val="32"/>
        </w:rPr>
      </w:pPr>
      <w:r>
        <w:rPr>
          <w:rFonts w:hint="default" w:ascii="仿宋_GB2312" w:hAnsi="仿宋_GB2312" w:eastAsia="仿宋_GB2312" w:cs="仿宋_GB2312"/>
          <w:spacing w:val="4"/>
          <w:kern w:val="2"/>
          <w:sz w:val="32"/>
          <w:szCs w:val="32"/>
          <w:lang w:val="en-US" w:eastAsia="zh-CN" w:bidi="ar-SA"/>
        </w:rPr>
        <w:t>4.</w:t>
      </w:r>
      <w:r>
        <w:rPr>
          <w:rFonts w:hint="eastAsia" w:ascii="仿宋_GB2312" w:hAnsi="仿宋_GB2312" w:cs="仿宋_GB2312"/>
          <w:spacing w:val="4"/>
          <w:sz w:val="32"/>
          <w:szCs w:val="32"/>
        </w:rPr>
        <w:t>单位组织机构发生重大调整；</w:t>
      </w:r>
    </w:p>
    <w:p w14:paraId="286F1C2C">
      <w:pPr>
        <w:pStyle w:val="12"/>
        <w:widowControl/>
        <w:numPr>
          <w:ilvl w:val="0"/>
          <w:numId w:val="0"/>
        </w:numPr>
        <w:spacing w:line="360" w:lineRule="auto"/>
        <w:ind w:left="0" w:leftChars="0" w:firstLine="656" w:firstLineChars="200"/>
        <w:rPr>
          <w:rFonts w:hint="eastAsia" w:ascii="仿宋_GB2312" w:hAnsi="仿宋_GB2312" w:cs="仿宋_GB2312"/>
          <w:spacing w:val="4"/>
          <w:sz w:val="32"/>
          <w:szCs w:val="32"/>
        </w:rPr>
      </w:pPr>
      <w:r>
        <w:rPr>
          <w:rFonts w:hint="default" w:ascii="仿宋_GB2312" w:hAnsi="仿宋_GB2312" w:eastAsia="仿宋_GB2312" w:cs="仿宋_GB2312"/>
          <w:spacing w:val="4"/>
          <w:kern w:val="2"/>
          <w:sz w:val="32"/>
          <w:szCs w:val="32"/>
          <w:lang w:val="en-US" w:eastAsia="zh-CN" w:bidi="ar-SA"/>
        </w:rPr>
        <w:t>5.</w:t>
      </w:r>
      <w:r>
        <w:rPr>
          <w:rFonts w:hint="eastAsia" w:ascii="仿宋_GB2312" w:hAnsi="仿宋_GB2312" w:cs="仿宋_GB2312"/>
          <w:spacing w:val="4"/>
          <w:sz w:val="32"/>
          <w:szCs w:val="32"/>
        </w:rPr>
        <w:t>人员、设备、工作程序、环境发生较大变化或生产组织发生较大调整；</w:t>
      </w:r>
    </w:p>
    <w:p w14:paraId="67B7D819">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after="400" w:line="560" w:lineRule="exact"/>
        <w:ind w:left="0" w:leftChars="0" w:firstLine="656" w:firstLineChars="200"/>
        <w:textAlignment w:val="auto"/>
        <w:rPr>
          <w:rFonts w:hint="eastAsia" w:ascii="仿宋_GB2312" w:hAnsi="仿宋_GB2312" w:cs="仿宋_GB2312"/>
          <w:spacing w:val="4"/>
          <w:sz w:val="32"/>
          <w:szCs w:val="32"/>
        </w:rPr>
      </w:pPr>
      <w:r>
        <w:rPr>
          <w:rFonts w:hint="default" w:ascii="仿宋_GB2312" w:hAnsi="仿宋_GB2312" w:eastAsia="仿宋_GB2312" w:cs="仿宋_GB2312"/>
          <w:spacing w:val="4"/>
          <w:kern w:val="2"/>
          <w:sz w:val="32"/>
          <w:szCs w:val="32"/>
          <w:lang w:val="en-US" w:eastAsia="zh-CN" w:bidi="ar-SA"/>
        </w:rPr>
        <w:t>6.</w:t>
      </w:r>
      <w:r>
        <w:rPr>
          <w:rFonts w:hint="eastAsia" w:ascii="仿宋_GB2312" w:hAnsi="仿宋_GB2312" w:cs="仿宋_GB2312"/>
          <w:spacing w:val="4"/>
          <w:sz w:val="32"/>
          <w:szCs w:val="32"/>
        </w:rPr>
        <w:t>其他需要开展风险动态研判的情况。</w:t>
      </w:r>
    </w:p>
    <w:p w14:paraId="5EE08AA5">
      <w:pPr>
        <w:keepNext w:val="0"/>
        <w:keepLines w:val="0"/>
        <w:pageBreakBefore w:val="0"/>
        <w:widowControl w:val="0"/>
        <w:numPr>
          <w:ilvl w:val="0"/>
          <w:numId w:val="0"/>
        </w:numPr>
        <w:tabs>
          <w:tab w:val="left" w:pos="0"/>
        </w:tabs>
        <w:kinsoku/>
        <w:wordWrap/>
        <w:overflowPunct/>
        <w:topLinePunct w:val="0"/>
        <w:autoSpaceDE/>
        <w:autoSpaceDN/>
        <w:bidi w:val="0"/>
        <w:adjustRightInd/>
        <w:snapToGrid/>
        <w:ind w:firstLine="656" w:firstLineChars="200"/>
        <w:textAlignment w:val="auto"/>
        <w:rPr>
          <w:rFonts w:hint="eastAsia" w:ascii="仿宋_GB2312" w:hAnsi="仿宋_GB2312" w:eastAsia="仿宋_GB2312" w:cs="仿宋_GB2312"/>
          <w:spacing w:val="4"/>
          <w:szCs w:val="32"/>
        </w:rPr>
      </w:pPr>
      <w:r>
        <w:rPr>
          <w:rFonts w:hint="eastAsia" w:ascii="黑体" w:hAnsi="黑体" w:eastAsia="黑体" w:cs="黑体"/>
          <w:b w:val="0"/>
          <w:bCs w:val="0"/>
          <w:spacing w:val="4"/>
          <w:kern w:val="2"/>
          <w:sz w:val="32"/>
          <w:szCs w:val="32"/>
          <w:lang w:val="en-US" w:eastAsia="zh-CN" w:bidi="ar-SA"/>
        </w:rPr>
        <w:t xml:space="preserve">第十八条 </w:t>
      </w:r>
      <w:r>
        <w:rPr>
          <w:rFonts w:hint="eastAsia" w:ascii="仿宋_GB2312" w:hAnsi="仿宋_GB2312" w:eastAsia="仿宋_GB2312" w:cs="仿宋_GB2312"/>
          <w:spacing w:val="4"/>
          <w:szCs w:val="32"/>
        </w:rPr>
        <w:t>风险辨识方法</w:t>
      </w:r>
    </w:p>
    <w:p w14:paraId="0648A363">
      <w:pPr>
        <w:numPr>
          <w:ilvl w:val="0"/>
          <w:numId w:val="0"/>
        </w:numPr>
        <w:ind w:left="0" w:leftChars="0" w:firstLine="640" w:firstLineChars="200"/>
        <w:rPr>
          <w:rFonts w:hint="eastAsia" w:ascii="仿宋_GB2312" w:hAnsi="仿宋_GB2312" w:eastAsia="仿宋_GB2312" w:cs="仿宋_GB2312"/>
        </w:rPr>
      </w:pPr>
      <w:r>
        <w:rPr>
          <w:rFonts w:hint="eastAsia" w:ascii="仿宋_GB2312" w:hAnsi="仿宋_GB2312" w:eastAsia="仿宋_GB2312" w:cs="仿宋_GB2312"/>
          <w:kern w:val="2"/>
          <w:sz w:val="32"/>
          <w:lang w:val="en-US" w:eastAsia="zh-CN" w:bidi="ar-SA"/>
        </w:rPr>
        <w:t>（一）</w:t>
      </w:r>
      <w:r>
        <w:rPr>
          <w:rFonts w:hint="eastAsia" w:ascii="仿宋_GB2312" w:hAnsi="仿宋_GB2312" w:eastAsia="仿宋_GB2312" w:cs="仿宋_GB2312"/>
        </w:rPr>
        <w:t>作业安全分析法：把一项作业活动分解成几个步骤，识别整个作业活动及每一步骤中的危险源并将其汇总。</w:t>
      </w:r>
    </w:p>
    <w:p w14:paraId="0BB7FFE1">
      <w:pPr>
        <w:numPr>
          <w:ilvl w:val="0"/>
          <w:numId w:val="3"/>
        </w:numPr>
        <w:ind w:left="0" w:firstLine="640"/>
        <w:rPr>
          <w:rFonts w:hint="eastAsia" w:ascii="仿宋_GB2312" w:hAnsi="仿宋_GB2312" w:eastAsia="仿宋_GB2312" w:cs="仿宋_GB2312"/>
        </w:rPr>
      </w:pPr>
      <w:r>
        <w:rPr>
          <w:rFonts w:hint="eastAsia" w:ascii="仿宋_GB2312" w:hAnsi="仿宋_GB2312" w:eastAsia="仿宋_GB2312" w:cs="仿宋_GB2312"/>
        </w:rPr>
        <w:t>如果某个作业活动可以分解为若干个相连接的作业步骤：</w:t>
      </w:r>
    </w:p>
    <w:p w14:paraId="6960F738">
      <w:pPr>
        <w:ind w:firstLine="640"/>
        <w:rPr>
          <w:rFonts w:hint="eastAsia" w:ascii="仿宋_GB2312" w:hAnsi="仿宋_GB2312" w:eastAsia="仿宋_GB2312" w:cs="仿宋_GB2312"/>
        </w:rPr>
      </w:pPr>
      <w:r>
        <w:rPr>
          <w:rFonts w:hint="eastAsia" w:ascii="仿宋_GB2312" w:hAnsi="仿宋_GB2312" w:eastAsia="仿宋_GB2312" w:cs="仿宋_GB2312"/>
        </w:rPr>
        <w:t>a.对每个作业步骤辨识出与此步骤有关的物的不安全状态和人的不安全行动，然后将各步骤中的危险源汇总。</w:t>
      </w:r>
    </w:p>
    <w:p w14:paraId="7B786AC5">
      <w:pPr>
        <w:ind w:firstLine="640"/>
        <w:rPr>
          <w:rFonts w:hint="eastAsia" w:ascii="仿宋_GB2312" w:hAnsi="仿宋_GB2312" w:eastAsia="仿宋_GB2312" w:cs="仿宋_GB2312"/>
        </w:rPr>
      </w:pPr>
      <w:r>
        <w:rPr>
          <w:rFonts w:hint="eastAsia" w:ascii="仿宋_GB2312" w:hAnsi="仿宋_GB2312" w:eastAsia="仿宋_GB2312" w:cs="仿宋_GB2312"/>
        </w:rPr>
        <w:t>b.将整个作业活动作为一个整体，辨识出与此作业活动有关的作业环境的缺陷和安全健康管理上的缺陷。</w:t>
      </w:r>
    </w:p>
    <w:p w14:paraId="3415AA68">
      <w:pPr>
        <w:ind w:firstLine="640"/>
        <w:rPr>
          <w:rFonts w:hint="eastAsia" w:ascii="仿宋_GB2312" w:hAnsi="仿宋_GB2312" w:eastAsia="仿宋_GB2312" w:cs="仿宋_GB2312"/>
        </w:rPr>
      </w:pPr>
      <w:r>
        <w:rPr>
          <w:rFonts w:hint="eastAsia" w:ascii="仿宋_GB2312" w:hAnsi="仿宋_GB2312" w:eastAsia="仿宋_GB2312" w:cs="仿宋_GB2312"/>
        </w:rPr>
        <w:t>c.将上述辨识出的危险源汇总，汇总中合并同类项。</w:t>
      </w:r>
    </w:p>
    <w:p w14:paraId="5EEC91B8">
      <w:pPr>
        <w:numPr>
          <w:ilvl w:val="0"/>
          <w:numId w:val="3"/>
        </w:numPr>
        <w:ind w:left="0" w:firstLine="640"/>
        <w:rPr>
          <w:rFonts w:hint="eastAsia" w:ascii="仿宋_GB2312" w:hAnsi="仿宋_GB2312" w:eastAsia="仿宋_GB2312" w:cs="仿宋_GB2312"/>
        </w:rPr>
      </w:pPr>
      <w:r>
        <w:rPr>
          <w:rFonts w:hint="eastAsia" w:ascii="仿宋_GB2312" w:hAnsi="仿宋_GB2312" w:eastAsia="仿宋_GB2312" w:cs="仿宋_GB2312"/>
        </w:rPr>
        <w:t>如果某作业活动不能分解成若干个相连接的作业步骤：</w:t>
      </w:r>
    </w:p>
    <w:p w14:paraId="6BD19439">
      <w:pPr>
        <w:ind w:firstLine="640"/>
        <w:rPr>
          <w:rFonts w:hint="eastAsia" w:ascii="仿宋_GB2312" w:hAnsi="仿宋_GB2312" w:eastAsia="仿宋_GB2312" w:cs="仿宋_GB2312"/>
        </w:rPr>
      </w:pPr>
      <w:r>
        <w:rPr>
          <w:rFonts w:hint="eastAsia" w:ascii="仿宋_GB2312" w:hAnsi="仿宋_GB2312" w:eastAsia="仿宋_GB2312" w:cs="仿宋_GB2312"/>
        </w:rPr>
        <w:t>辨识出与此作业活动有关的物的不安全状态、人的不安全行动、作业环境的缺陷和安全健康管理上的缺陷。</w:t>
      </w:r>
    </w:p>
    <w:p w14:paraId="317F8B26">
      <w:pPr>
        <w:numPr>
          <w:ilvl w:val="0"/>
          <w:numId w:val="0"/>
        </w:numPr>
        <w:ind w:left="0" w:leftChars="0" w:firstLine="640" w:firstLineChars="200"/>
        <w:rPr>
          <w:rFonts w:hint="eastAsia" w:ascii="仿宋_GB2312" w:hAnsi="仿宋_GB2312" w:eastAsia="仿宋_GB2312" w:cs="仿宋_GB2312"/>
        </w:rPr>
      </w:pPr>
      <w:r>
        <w:rPr>
          <w:rFonts w:hint="eastAsia" w:ascii="仿宋_GB2312" w:hAnsi="仿宋_GB2312" w:eastAsia="仿宋_GB2312" w:cs="仿宋_GB2312"/>
          <w:kern w:val="2"/>
          <w:sz w:val="32"/>
          <w:lang w:val="en-US" w:eastAsia="zh-CN" w:bidi="ar-SA"/>
        </w:rPr>
        <w:t>（二）</w:t>
      </w:r>
      <w:r>
        <w:rPr>
          <w:rFonts w:hint="eastAsia" w:ascii="仿宋_GB2312" w:hAnsi="仿宋_GB2312" w:eastAsia="仿宋_GB2312" w:cs="仿宋_GB2312"/>
        </w:rPr>
        <w:t>安全检查表法：为了全面排查系统中的不安全因素，对系统加以剖析，列出各层次的不安全因素，然后确定检查项目，以提问的方式把检查项目按系统的组成顺序编制成表，以便进行检查或评审。可对某种工作系统、某种装置（如除尘系统、煤气柜等）制定详细的安全检查表。</w:t>
      </w:r>
    </w:p>
    <w:p w14:paraId="5D4555B9">
      <w:pPr>
        <w:numPr>
          <w:ilvl w:val="0"/>
          <w:numId w:val="0"/>
        </w:numPr>
        <w:ind w:left="0" w:leftChars="0" w:firstLine="640" w:firstLineChars="200"/>
        <w:rPr>
          <w:rFonts w:hint="eastAsia" w:ascii="仿宋_GB2312" w:hAnsi="仿宋_GB2312" w:eastAsia="仿宋_GB2312" w:cs="仿宋_GB2312"/>
        </w:rPr>
      </w:pPr>
      <w:r>
        <w:rPr>
          <w:rFonts w:hint="eastAsia" w:ascii="仿宋_GB2312" w:hAnsi="仿宋_GB2312" w:eastAsia="仿宋_GB2312" w:cs="仿宋_GB2312"/>
          <w:kern w:val="2"/>
          <w:sz w:val="32"/>
          <w:lang w:val="en-US" w:eastAsia="zh-CN" w:bidi="ar-SA"/>
        </w:rPr>
        <w:t>（三）</w:t>
      </w:r>
      <w:r>
        <w:rPr>
          <w:rFonts w:hint="eastAsia" w:ascii="仿宋_GB2312" w:hAnsi="仿宋_GB2312" w:eastAsia="仿宋_GB2312" w:cs="仿宋_GB2312"/>
        </w:rPr>
        <w:t>基本分析法：对于某项作业活动，依据“作业活动信息”，对照危险源分类，确定本项作业活动中具体的危险源。</w:t>
      </w:r>
    </w:p>
    <w:p w14:paraId="62A69164">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after="400" w:line="560" w:lineRule="exact"/>
        <w:ind w:left="0" w:leftChars="0" w:firstLine="656" w:firstLineChars="200"/>
        <w:textAlignment w:val="auto"/>
        <w:rPr>
          <w:rFonts w:hint="eastAsia" w:ascii="仿宋_GB2312" w:hAnsi="仿宋_GB2312" w:eastAsia="仿宋_GB2312" w:cs="仿宋_GB2312"/>
          <w:spacing w:val="4"/>
          <w:szCs w:val="32"/>
        </w:rPr>
      </w:pPr>
      <w:r>
        <w:rPr>
          <w:rFonts w:hint="eastAsia" w:ascii="仿宋_GB2312" w:hAnsi="仿宋_GB2312" w:eastAsia="仿宋_GB2312" w:cs="仿宋_GB2312"/>
          <w:spacing w:val="4"/>
          <w:kern w:val="2"/>
          <w:sz w:val="32"/>
          <w:szCs w:val="32"/>
          <w:lang w:val="en-US" w:eastAsia="zh-CN" w:bidi="ar-SA"/>
        </w:rPr>
        <w:t>（四）</w:t>
      </w:r>
      <w:r>
        <w:rPr>
          <w:rFonts w:hint="eastAsia" w:ascii="仿宋_GB2312" w:hAnsi="仿宋_GB2312" w:eastAsia="仿宋_GB2312" w:cs="仿宋_GB2312"/>
        </w:rPr>
        <w:t>预先危险分析法：在系统开发的初始阶段，去辨识系统内明显的或潜在的主要危险因素，确定危险等级，研究控制这些危险性的可能性，并制定相应的控制措施。如在新、改、扩建项目投产前，可用此方法。</w:t>
      </w:r>
    </w:p>
    <w:p w14:paraId="3BC0174D">
      <w:pPr>
        <w:keepNext w:val="0"/>
        <w:keepLines w:val="0"/>
        <w:pageBreakBefore w:val="0"/>
        <w:widowControl w:val="0"/>
        <w:numPr>
          <w:ilvl w:val="0"/>
          <w:numId w:val="0"/>
        </w:numPr>
        <w:tabs>
          <w:tab w:val="left" w:pos="0"/>
        </w:tabs>
        <w:kinsoku/>
        <w:wordWrap/>
        <w:overflowPunct/>
        <w:topLinePunct w:val="0"/>
        <w:autoSpaceDE/>
        <w:autoSpaceDN/>
        <w:bidi w:val="0"/>
        <w:adjustRightInd/>
        <w:snapToGrid/>
        <w:ind w:firstLine="656" w:firstLineChars="200"/>
        <w:textAlignment w:val="auto"/>
        <w:rPr>
          <w:rFonts w:hint="eastAsia" w:ascii="仿宋_GB2312" w:hAnsi="仿宋_GB2312" w:cs="仿宋_GB2312"/>
          <w:spacing w:val="4"/>
          <w:szCs w:val="32"/>
        </w:rPr>
      </w:pPr>
      <w:r>
        <w:rPr>
          <w:rFonts w:hint="eastAsia" w:ascii="黑体" w:hAnsi="黑体" w:eastAsia="黑体" w:cs="黑体"/>
          <w:b w:val="0"/>
          <w:bCs w:val="0"/>
          <w:spacing w:val="4"/>
          <w:kern w:val="2"/>
          <w:sz w:val="32"/>
          <w:szCs w:val="32"/>
          <w:lang w:val="en-US" w:eastAsia="zh-CN" w:bidi="ar-SA"/>
        </w:rPr>
        <w:t xml:space="preserve">第十九条 </w:t>
      </w:r>
      <w:r>
        <w:rPr>
          <w:rFonts w:hint="eastAsia" w:ascii="仿宋_GB2312" w:hAnsi="仿宋_GB2312" w:cs="仿宋_GB2312"/>
          <w:spacing w:val="4"/>
          <w:szCs w:val="32"/>
        </w:rPr>
        <w:t>风险辨识内容分为行为类、设备类、环境类、管理类。</w:t>
      </w:r>
    </w:p>
    <w:p w14:paraId="79F35264">
      <w:pPr>
        <w:pStyle w:val="5"/>
        <w:numPr>
          <w:ilvl w:val="0"/>
          <w:numId w:val="0"/>
        </w:numPr>
        <w:ind w:left="0" w:leftChars="0" w:firstLine="640" w:firstLineChars="200"/>
        <w:rPr>
          <w:rFonts w:hint="eastAsia" w:ascii="仿宋_GB2312" w:hAnsi="仿宋_GB2312" w:eastAsia="仿宋_GB2312" w:cs="仿宋_GB2312"/>
        </w:rPr>
      </w:pPr>
      <w:r>
        <w:rPr>
          <w:rFonts w:hint="eastAsia" w:ascii="仿宋_GB2312" w:hAnsi="仿宋_GB2312" w:eastAsia="仿宋_GB2312" w:cs="仿宋_GB2312"/>
          <w:kern w:val="2"/>
          <w:sz w:val="32"/>
          <w:lang w:val="en-US" w:eastAsia="zh-CN" w:bidi="ar-SA"/>
        </w:rPr>
        <w:t>（一）</w:t>
      </w:r>
      <w:r>
        <w:rPr>
          <w:rFonts w:hint="eastAsia" w:ascii="仿宋_GB2312" w:hAnsi="仿宋_GB2312" w:eastAsia="仿宋_GB2312" w:cs="仿宋_GB2312"/>
        </w:rPr>
        <w:t>行为类风险辨识</w:t>
      </w:r>
    </w:p>
    <w:p w14:paraId="7F18098B">
      <w:pPr>
        <w:numPr>
          <w:ilvl w:val="0"/>
          <w:numId w:val="4"/>
        </w:numPr>
        <w:ind w:left="0" w:firstLine="640"/>
        <w:rPr>
          <w:rFonts w:hint="eastAsia" w:ascii="仿宋_GB2312" w:hAnsi="仿宋_GB2312" w:eastAsia="仿宋_GB2312" w:cs="仿宋_GB2312"/>
        </w:rPr>
      </w:pPr>
      <w:r>
        <w:rPr>
          <w:rFonts w:hint="eastAsia" w:ascii="仿宋_GB2312" w:hAnsi="仿宋_GB2312" w:eastAsia="仿宋_GB2312" w:cs="仿宋_GB2312"/>
        </w:rPr>
        <w:t>根据作业内容确定主要作业过程或管理对象。作业内容包含操作、施工、检修、巡视、中修、大修、抢险、故障处理、事故救援等影响安全的所有工序、流程。</w:t>
      </w:r>
    </w:p>
    <w:p w14:paraId="1215EB9C">
      <w:pPr>
        <w:numPr>
          <w:ilvl w:val="0"/>
          <w:numId w:val="4"/>
        </w:numPr>
        <w:ind w:left="0" w:firstLine="640"/>
        <w:rPr>
          <w:rFonts w:hint="eastAsia" w:ascii="仿宋_GB2312" w:hAnsi="仿宋_GB2312" w:eastAsia="仿宋_GB2312" w:cs="仿宋_GB2312"/>
        </w:rPr>
      </w:pPr>
      <w:r>
        <w:rPr>
          <w:rFonts w:hint="eastAsia" w:ascii="仿宋_GB2312" w:hAnsi="仿宋_GB2312" w:eastAsia="仿宋_GB2312" w:cs="仿宋_GB2312"/>
        </w:rPr>
        <w:t>根据作业过程应遵循的操作规程、作业标准等规章制度，分析和识别可能造成不良后果的不安全行为。</w:t>
      </w:r>
    </w:p>
    <w:p w14:paraId="7FE07E02">
      <w:pPr>
        <w:pStyle w:val="5"/>
        <w:numPr>
          <w:ilvl w:val="0"/>
          <w:numId w:val="0"/>
        </w:numPr>
        <w:ind w:left="0" w:leftChars="0" w:firstLine="640" w:firstLineChars="200"/>
        <w:rPr>
          <w:rFonts w:hint="eastAsia" w:ascii="仿宋_GB2312" w:hAnsi="仿宋_GB2312" w:eastAsia="仿宋_GB2312" w:cs="仿宋_GB2312"/>
        </w:rPr>
      </w:pPr>
      <w:r>
        <w:rPr>
          <w:rFonts w:hint="eastAsia" w:ascii="仿宋_GB2312" w:hAnsi="仿宋_GB2312" w:eastAsia="仿宋_GB2312" w:cs="仿宋_GB2312"/>
          <w:kern w:val="2"/>
          <w:sz w:val="32"/>
          <w:lang w:val="en-US" w:eastAsia="zh-CN" w:bidi="ar-SA"/>
        </w:rPr>
        <w:t>（二）</w:t>
      </w:r>
      <w:r>
        <w:rPr>
          <w:rFonts w:hint="eastAsia" w:ascii="仿宋_GB2312" w:hAnsi="仿宋_GB2312" w:eastAsia="仿宋_GB2312" w:cs="仿宋_GB2312"/>
        </w:rPr>
        <w:t>设备类风险辨识</w:t>
      </w:r>
    </w:p>
    <w:p w14:paraId="4C2113E4">
      <w:pPr>
        <w:numPr>
          <w:ilvl w:val="0"/>
          <w:numId w:val="0"/>
        </w:numPr>
        <w:spacing w:line="360" w:lineRule="auto"/>
        <w:ind w:left="0" w:leftChars="0" w:firstLine="656" w:firstLineChars="200"/>
        <w:rPr>
          <w:rFonts w:hint="eastAsia" w:ascii="仿宋_GB2312" w:hAnsi="仿宋_GB2312" w:eastAsia="仿宋_GB2312" w:cs="仿宋_GB2312"/>
          <w:spacing w:val="4"/>
          <w:szCs w:val="32"/>
        </w:rPr>
      </w:pPr>
      <w:r>
        <w:rPr>
          <w:rFonts w:hint="default" w:ascii="仿宋_GB2312" w:hAnsi="仿宋_GB2312" w:eastAsia="仿宋_GB2312" w:cs="仿宋_GB2312"/>
          <w:spacing w:val="4"/>
          <w:kern w:val="2"/>
          <w:sz w:val="32"/>
          <w:szCs w:val="32"/>
          <w:lang w:val="en-US" w:eastAsia="zh-CN" w:bidi="ar-SA"/>
        </w:rPr>
        <w:t>1.</w:t>
      </w:r>
      <w:r>
        <w:rPr>
          <w:rFonts w:hint="eastAsia" w:ascii="仿宋_GB2312" w:hAnsi="仿宋_GB2312" w:eastAsia="仿宋_GB2312" w:cs="仿宋_GB2312"/>
          <w:spacing w:val="4"/>
          <w:szCs w:val="32"/>
        </w:rPr>
        <w:t>根据各专业设备设施组成，确定设备类型和管理对象。</w:t>
      </w:r>
    </w:p>
    <w:p w14:paraId="35A7430D">
      <w:pPr>
        <w:numPr>
          <w:ilvl w:val="0"/>
          <w:numId w:val="0"/>
        </w:numPr>
        <w:spacing w:line="360" w:lineRule="auto"/>
        <w:ind w:left="0" w:leftChars="0" w:firstLine="656" w:firstLineChars="200"/>
        <w:rPr>
          <w:rFonts w:hint="eastAsia" w:ascii="仿宋_GB2312" w:hAnsi="仿宋_GB2312" w:eastAsia="仿宋_GB2312" w:cs="仿宋_GB2312"/>
          <w:spacing w:val="4"/>
          <w:szCs w:val="32"/>
        </w:rPr>
      </w:pPr>
      <w:r>
        <w:rPr>
          <w:rFonts w:hint="default" w:ascii="仿宋_GB2312" w:hAnsi="仿宋_GB2312" w:eastAsia="仿宋_GB2312" w:cs="仿宋_GB2312"/>
          <w:spacing w:val="4"/>
          <w:kern w:val="2"/>
          <w:sz w:val="32"/>
          <w:szCs w:val="32"/>
          <w:lang w:val="en-US" w:eastAsia="zh-CN" w:bidi="ar-SA"/>
        </w:rPr>
        <w:t>2.</w:t>
      </w:r>
      <w:r>
        <w:rPr>
          <w:rFonts w:hint="eastAsia" w:ascii="仿宋_GB2312" w:hAnsi="仿宋_GB2312" w:eastAsia="仿宋_GB2312" w:cs="仿宋_GB2312"/>
          <w:spacing w:val="4"/>
          <w:szCs w:val="32"/>
        </w:rPr>
        <w:t>根据历年来本单位或其他单位设备设施故障及事故致因，结合本单位设备运行特性、运行条件、季节特点、技术指标、结合技术标准及管理制度等因素，分析辨识设备设施发生故障、事故的风险。</w:t>
      </w:r>
    </w:p>
    <w:p w14:paraId="470E07EA">
      <w:pPr>
        <w:numPr>
          <w:ilvl w:val="0"/>
          <w:numId w:val="0"/>
        </w:numPr>
        <w:spacing w:line="360" w:lineRule="auto"/>
        <w:ind w:left="0" w:leftChars="0" w:firstLine="656" w:firstLineChars="200"/>
        <w:rPr>
          <w:rFonts w:hint="eastAsia" w:ascii="仿宋_GB2312" w:hAnsi="仿宋_GB2312" w:eastAsia="仿宋_GB2312" w:cs="仿宋_GB2312"/>
          <w:spacing w:val="4"/>
          <w:szCs w:val="32"/>
        </w:rPr>
      </w:pPr>
      <w:r>
        <w:rPr>
          <w:rFonts w:hint="default" w:ascii="仿宋_GB2312" w:hAnsi="仿宋_GB2312" w:eastAsia="仿宋_GB2312" w:cs="仿宋_GB2312"/>
          <w:spacing w:val="4"/>
          <w:kern w:val="2"/>
          <w:sz w:val="32"/>
          <w:szCs w:val="32"/>
          <w:lang w:val="en-US" w:eastAsia="zh-CN" w:bidi="ar-SA"/>
        </w:rPr>
        <w:t>3.</w:t>
      </w:r>
      <w:r>
        <w:rPr>
          <w:rFonts w:hint="eastAsia" w:ascii="仿宋_GB2312" w:hAnsi="仿宋_GB2312" w:eastAsia="仿宋_GB2312" w:cs="仿宋_GB2312"/>
          <w:spacing w:val="4"/>
          <w:szCs w:val="32"/>
        </w:rPr>
        <w:t>设备类风险描述应便于检查和整治。</w:t>
      </w:r>
    </w:p>
    <w:p w14:paraId="27C4DCD0">
      <w:pPr>
        <w:pStyle w:val="5"/>
        <w:numPr>
          <w:ilvl w:val="0"/>
          <w:numId w:val="0"/>
        </w:numPr>
        <w:ind w:left="0" w:leftChars="0" w:firstLine="640" w:firstLineChars="200"/>
        <w:rPr>
          <w:rFonts w:hint="eastAsia" w:ascii="仿宋_GB2312" w:hAnsi="仿宋_GB2312" w:eastAsia="仿宋_GB2312" w:cs="仿宋_GB2312"/>
        </w:rPr>
      </w:pPr>
      <w:r>
        <w:rPr>
          <w:rFonts w:hint="eastAsia" w:ascii="仿宋_GB2312" w:hAnsi="仿宋_GB2312" w:eastAsia="仿宋_GB2312" w:cs="仿宋_GB2312"/>
          <w:kern w:val="2"/>
          <w:sz w:val="32"/>
          <w:lang w:val="en-US" w:eastAsia="zh-CN" w:bidi="ar-SA"/>
        </w:rPr>
        <w:t>（三）</w:t>
      </w:r>
      <w:r>
        <w:rPr>
          <w:rFonts w:hint="eastAsia" w:ascii="仿宋_GB2312" w:hAnsi="仿宋_GB2312" w:eastAsia="仿宋_GB2312" w:cs="仿宋_GB2312"/>
        </w:rPr>
        <w:t>环境类风险辨识</w:t>
      </w:r>
    </w:p>
    <w:p w14:paraId="3C654EFE">
      <w:pPr>
        <w:spacing w:line="360" w:lineRule="auto"/>
        <w:ind w:firstLine="656"/>
        <w:rPr>
          <w:rFonts w:hint="eastAsia" w:ascii="仿宋_GB2312" w:hAnsi="仿宋_GB2312" w:eastAsia="仿宋_GB2312" w:cs="仿宋_GB2312"/>
          <w:spacing w:val="4"/>
          <w:szCs w:val="32"/>
        </w:rPr>
      </w:pPr>
      <w:r>
        <w:rPr>
          <w:rFonts w:hint="eastAsia" w:ascii="仿宋_GB2312" w:hAnsi="仿宋_GB2312" w:eastAsia="仿宋_GB2312" w:cs="仿宋_GB2312"/>
          <w:spacing w:val="4"/>
          <w:szCs w:val="32"/>
        </w:rPr>
        <w:t>应充分考虑自然环境、物理环境、生产环境和社会环境可能对铁路行车、设备和人身安全带来的不利因素或可能造成的后果，辨识时应结合生产实际逐一辨识，并制定和完善预控措施及应急预案。</w:t>
      </w:r>
    </w:p>
    <w:p w14:paraId="07A26C2C">
      <w:pPr>
        <w:pStyle w:val="5"/>
        <w:numPr>
          <w:ilvl w:val="0"/>
          <w:numId w:val="0"/>
        </w:numPr>
        <w:ind w:left="0" w:leftChars="0" w:firstLine="640" w:firstLineChars="200"/>
        <w:rPr>
          <w:rFonts w:hint="eastAsia" w:ascii="仿宋_GB2312" w:hAnsi="仿宋_GB2312" w:eastAsia="仿宋_GB2312" w:cs="仿宋_GB2312"/>
        </w:rPr>
      </w:pPr>
      <w:r>
        <w:rPr>
          <w:rFonts w:hint="eastAsia" w:ascii="仿宋_GB2312" w:hAnsi="仿宋_GB2312" w:eastAsia="仿宋_GB2312" w:cs="仿宋_GB2312"/>
          <w:kern w:val="2"/>
          <w:sz w:val="32"/>
          <w:lang w:val="en-US" w:eastAsia="zh-CN" w:bidi="ar-SA"/>
        </w:rPr>
        <w:t>（四）</w:t>
      </w:r>
      <w:r>
        <w:rPr>
          <w:rFonts w:hint="eastAsia" w:ascii="仿宋_GB2312" w:hAnsi="仿宋_GB2312" w:eastAsia="仿宋_GB2312" w:cs="仿宋_GB2312"/>
        </w:rPr>
        <w:t>管理类风险辨识</w:t>
      </w:r>
    </w:p>
    <w:p w14:paraId="0820F0C7">
      <w:pPr>
        <w:numPr>
          <w:ilvl w:val="0"/>
          <w:numId w:val="0"/>
        </w:numPr>
        <w:ind w:left="0" w:leftChars="0" w:firstLine="640" w:firstLineChars="200"/>
        <w:rPr>
          <w:rFonts w:hint="eastAsia" w:ascii="仿宋_GB2312" w:hAnsi="仿宋_GB2312" w:eastAsia="仿宋_GB2312" w:cs="仿宋_GB2312"/>
        </w:rPr>
      </w:pPr>
      <w:r>
        <w:rPr>
          <w:rFonts w:hint="default" w:ascii="仿宋_GB2312" w:hAnsi="仿宋_GB2312" w:eastAsia="仿宋_GB2312" w:cs="仿宋_GB2312"/>
          <w:kern w:val="2"/>
          <w:sz w:val="32"/>
          <w:lang w:val="en-US" w:eastAsia="zh-CN" w:bidi="ar-SA"/>
        </w:rPr>
        <w:t>1.</w:t>
      </w:r>
      <w:r>
        <w:rPr>
          <w:rFonts w:hint="eastAsia" w:ascii="仿宋_GB2312" w:hAnsi="仿宋_GB2312" w:eastAsia="仿宋_GB2312" w:cs="仿宋_GB2312"/>
        </w:rPr>
        <w:t>应充分考虑是否违反安全生产法律、法规、标准、规程及安全生产管理制度等规定，或因其他因素在安全生产中存在可能导致事故发生的管理缺陷。</w:t>
      </w:r>
    </w:p>
    <w:p w14:paraId="70439A87">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after="400" w:line="560" w:lineRule="exact"/>
        <w:ind w:left="0" w:leftChars="0" w:firstLine="640" w:firstLineChars="200"/>
        <w:textAlignment w:val="auto"/>
        <w:rPr>
          <w:rFonts w:hint="eastAsia" w:ascii="仿宋_GB2312" w:hAnsi="仿宋_GB2312" w:eastAsia="仿宋_GB2312" w:cs="仿宋_GB2312"/>
        </w:rPr>
      </w:pPr>
      <w:r>
        <w:rPr>
          <w:rFonts w:hint="default" w:ascii="仿宋_GB2312" w:hAnsi="仿宋_GB2312" w:eastAsia="仿宋_GB2312" w:cs="仿宋_GB2312"/>
          <w:kern w:val="2"/>
          <w:sz w:val="32"/>
          <w:lang w:val="en-US" w:eastAsia="zh-CN" w:bidi="ar-SA"/>
        </w:rPr>
        <w:t>2.</w:t>
      </w:r>
      <w:r>
        <w:rPr>
          <w:rFonts w:hint="eastAsia" w:ascii="仿宋_GB2312" w:hAnsi="仿宋_GB2312" w:eastAsia="仿宋_GB2312" w:cs="仿宋_GB2312"/>
        </w:rPr>
        <w:t>规章制度变更、生产组织方式调整、人员岗位变化及新技术、新工艺、新设备、新材料投入和环境因素变化等可能导致的管理缺陷。</w:t>
      </w:r>
    </w:p>
    <w:p w14:paraId="54691C8E">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after="400" w:line="560" w:lineRule="exact"/>
        <w:ind w:firstLine="656" w:firstLineChars="200"/>
        <w:textAlignment w:val="auto"/>
        <w:rPr>
          <w:rFonts w:hint="eastAsia"/>
          <w:szCs w:val="32"/>
        </w:rPr>
      </w:pPr>
      <w:r>
        <w:rPr>
          <w:rFonts w:hint="eastAsia" w:ascii="黑体" w:hAnsi="黑体" w:eastAsia="黑体" w:cs="黑体"/>
          <w:b w:val="0"/>
          <w:bCs w:val="0"/>
          <w:spacing w:val="4"/>
          <w:kern w:val="2"/>
          <w:sz w:val="32"/>
          <w:szCs w:val="32"/>
          <w:lang w:val="en-US" w:eastAsia="zh-CN" w:bidi="ar-SA"/>
        </w:rPr>
        <w:t xml:space="preserve">第二十条 </w:t>
      </w:r>
      <w:r>
        <w:rPr>
          <w:rFonts w:hint="eastAsia"/>
          <w:szCs w:val="32"/>
        </w:rPr>
        <w:t>风险评估</w:t>
      </w:r>
    </w:p>
    <w:p w14:paraId="1D56A2C1">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after="400" w:line="560" w:lineRule="exact"/>
        <w:ind w:firstLine="656" w:firstLineChars="200"/>
        <w:textAlignment w:val="auto"/>
        <w:rPr>
          <w:rFonts w:hint="eastAsia" w:ascii="仿宋_GB2312" w:hAnsi="仿宋_GB2312" w:cs="仿宋_GB2312"/>
          <w:spacing w:val="4"/>
          <w:szCs w:val="32"/>
        </w:rPr>
      </w:pPr>
      <w:r>
        <w:rPr>
          <w:rFonts w:hint="eastAsia" w:ascii="仿宋_GB2312" w:hAnsi="仿宋_GB2312" w:cs="仿宋_GB2312"/>
          <w:spacing w:val="4"/>
          <w:szCs w:val="32"/>
        </w:rPr>
        <w:t>结合本单位生产特点选择定性或定量的风险评估方法，按照从严从高的原则，对辨识出的风险逐项评估确定风险等级。</w:t>
      </w:r>
    </w:p>
    <w:p w14:paraId="61151A88">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after="400" w:line="560" w:lineRule="exact"/>
        <w:ind w:left="0" w:leftChars="0" w:firstLine="640" w:firstLineChars="200"/>
        <w:textAlignment w:val="auto"/>
        <w:rPr>
          <w:rFonts w:eastAsia="楷体_GB2312"/>
          <w:szCs w:val="32"/>
        </w:rPr>
      </w:pPr>
      <w:r>
        <w:rPr>
          <w:rFonts w:hint="eastAsia" w:ascii="黑体" w:hAnsi="黑体" w:eastAsia="黑体" w:cs="黑体"/>
          <w:b w:val="0"/>
          <w:bCs w:val="0"/>
          <w:kern w:val="2"/>
          <w:sz w:val="32"/>
          <w:szCs w:val="32"/>
          <w:lang w:val="en-US" w:eastAsia="zh-CN" w:bidi="ar-SA"/>
        </w:rPr>
        <w:t xml:space="preserve">第二十一条 </w:t>
      </w:r>
      <w:r>
        <w:rPr>
          <w:rFonts w:hint="eastAsia" w:ascii="仿宋_GB2312" w:hAnsi="仿宋_GB2312" w:cs="仿宋_GB2312"/>
          <w:spacing w:val="4"/>
          <w:szCs w:val="32"/>
        </w:rPr>
        <w:t>风险等级一般从高到低划分为重大风险、较大风险、一般风险、低风险四个等级，从高到低依次对应一级、二级、三级、四级四个级别，分别用红、橙、黄、蓝四种颜色标示。</w:t>
      </w:r>
    </w:p>
    <w:p w14:paraId="6F77FDA1">
      <w:pPr>
        <w:numPr>
          <w:ilvl w:val="0"/>
          <w:numId w:val="0"/>
        </w:numPr>
        <w:tabs>
          <w:tab w:val="left" w:pos="0"/>
        </w:tabs>
        <w:autoSpaceDE w:val="0"/>
        <w:autoSpaceDN w:val="0"/>
        <w:adjustRightInd w:val="0"/>
        <w:spacing w:line="560" w:lineRule="exact"/>
        <w:ind w:firstLine="640" w:firstLineChars="200"/>
        <w:jc w:val="left"/>
        <w:rPr>
          <w:rFonts w:eastAsia="楷体_GB2312"/>
          <w:szCs w:val="32"/>
        </w:rPr>
      </w:pPr>
      <w:r>
        <w:rPr>
          <w:rFonts w:hint="eastAsia" w:ascii="黑体" w:hAnsi="黑体" w:eastAsia="黑体" w:cs="黑体"/>
          <w:b w:val="0"/>
          <w:bCs w:val="0"/>
          <w:kern w:val="2"/>
          <w:sz w:val="32"/>
          <w:szCs w:val="32"/>
          <w:lang w:val="en-US" w:eastAsia="zh-CN" w:bidi="ar-SA"/>
        </w:rPr>
        <w:t xml:space="preserve">第二十二条 </w:t>
      </w:r>
      <w:r>
        <w:rPr>
          <w:rFonts w:hint="eastAsia" w:ascii="仿宋_GB2312" w:hAnsi="仿宋_GB2312" w:cs="仿宋_GB2312"/>
          <w:spacing w:val="4"/>
          <w:szCs w:val="32"/>
        </w:rPr>
        <w:t>风险评估方法</w:t>
      </w:r>
    </w:p>
    <w:p w14:paraId="41DA3532">
      <w:pPr>
        <w:numPr>
          <w:ilvl w:val="0"/>
          <w:numId w:val="0"/>
        </w:numPr>
        <w:ind w:left="0" w:leftChars="0"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kern w:val="2"/>
          <w:sz w:val="32"/>
          <w:szCs w:val="32"/>
          <w:lang w:val="en-US" w:eastAsia="zh-CN" w:bidi="ar-SA"/>
        </w:rPr>
        <w:t>（一）</w:t>
      </w:r>
      <w:r>
        <w:rPr>
          <w:rFonts w:hint="eastAsia" w:ascii="仿宋_GB2312" w:hAnsi="仿宋_GB2312" w:eastAsia="仿宋_GB2312" w:cs="仿宋_GB2312"/>
          <w:color w:val="000000"/>
          <w:sz w:val="32"/>
          <w:szCs w:val="32"/>
        </w:rPr>
        <w:t>MES法的分级数值</w:t>
      </w:r>
    </w:p>
    <w:p w14:paraId="316EA31F">
      <w:pPr>
        <w:numPr>
          <w:ilvl w:val="0"/>
          <w:numId w:val="5"/>
        </w:numPr>
        <w:adjustRightInd w:val="0"/>
        <w:snapToGrid w:val="0"/>
        <w:ind w:left="0" w:firstLine="56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控制措施的状态（M）</w:t>
      </w:r>
    </w:p>
    <w:tbl>
      <w:tblPr>
        <w:tblStyle w:val="13"/>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137"/>
        <w:gridCol w:w="7195"/>
      </w:tblGrid>
      <w:tr w14:paraId="3ABA06E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137" w:type="dxa"/>
            <w:tcBorders>
              <w:left w:val="single" w:color="auto" w:sz="4" w:space="0"/>
            </w:tcBorders>
            <w:noWrap w:val="0"/>
            <w:vAlign w:val="top"/>
          </w:tcPr>
          <w:p w14:paraId="1A3F6CA1">
            <w:pPr>
              <w:ind w:firstLine="0" w:firstLineChars="0"/>
              <w:jc w:val="center"/>
              <w:rPr>
                <w:rFonts w:hint="eastAsia" w:ascii="仿宋_GB2312" w:hAnsi="仿宋_GB2312" w:eastAsia="仿宋_GB2312" w:cs="仿宋_GB2312"/>
                <w:color w:val="000000"/>
                <w:sz w:val="28"/>
                <w:szCs w:val="32"/>
              </w:rPr>
            </w:pPr>
            <w:r>
              <w:rPr>
                <w:rFonts w:hint="eastAsia" w:ascii="仿宋_GB2312" w:hAnsi="仿宋_GB2312" w:eastAsia="仿宋_GB2312" w:cs="仿宋_GB2312"/>
                <w:color w:val="000000"/>
                <w:sz w:val="28"/>
                <w:szCs w:val="32"/>
              </w:rPr>
              <w:t>分数值</w:t>
            </w:r>
          </w:p>
        </w:tc>
        <w:tc>
          <w:tcPr>
            <w:tcW w:w="7195" w:type="dxa"/>
            <w:tcBorders>
              <w:right w:val="single" w:color="auto" w:sz="4" w:space="0"/>
            </w:tcBorders>
            <w:noWrap w:val="0"/>
            <w:vAlign w:val="top"/>
          </w:tcPr>
          <w:p w14:paraId="22F526C3">
            <w:pPr>
              <w:ind w:firstLine="0" w:firstLineChars="0"/>
              <w:rPr>
                <w:rFonts w:hint="eastAsia" w:ascii="仿宋_GB2312" w:hAnsi="仿宋_GB2312" w:eastAsia="仿宋_GB2312" w:cs="仿宋_GB2312"/>
                <w:color w:val="000000"/>
                <w:sz w:val="28"/>
                <w:szCs w:val="32"/>
              </w:rPr>
            </w:pPr>
            <w:r>
              <w:rPr>
                <w:rFonts w:hint="eastAsia" w:ascii="仿宋_GB2312" w:hAnsi="仿宋_GB2312" w:eastAsia="仿宋_GB2312" w:cs="仿宋_GB2312"/>
                <w:color w:val="000000"/>
                <w:sz w:val="28"/>
                <w:szCs w:val="32"/>
              </w:rPr>
              <w:t>控制措施(包括体系文件、防护措施、警示装置等)</w:t>
            </w:r>
          </w:p>
        </w:tc>
      </w:tr>
      <w:tr w14:paraId="1853E25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137" w:type="dxa"/>
            <w:tcBorders>
              <w:left w:val="single" w:color="auto" w:sz="4" w:space="0"/>
            </w:tcBorders>
            <w:noWrap w:val="0"/>
            <w:vAlign w:val="top"/>
          </w:tcPr>
          <w:p w14:paraId="7288ABB3">
            <w:pPr>
              <w:ind w:firstLine="0" w:firstLineChars="0"/>
              <w:jc w:val="center"/>
              <w:rPr>
                <w:rFonts w:hint="eastAsia" w:ascii="仿宋_GB2312" w:hAnsi="仿宋_GB2312" w:eastAsia="仿宋_GB2312" w:cs="仿宋_GB2312"/>
                <w:color w:val="000000"/>
                <w:sz w:val="28"/>
                <w:szCs w:val="32"/>
              </w:rPr>
            </w:pPr>
            <w:r>
              <w:rPr>
                <w:rFonts w:hint="eastAsia" w:ascii="仿宋_GB2312" w:hAnsi="仿宋_GB2312" w:eastAsia="仿宋_GB2312" w:cs="仿宋_GB2312"/>
                <w:color w:val="000000"/>
                <w:sz w:val="28"/>
                <w:szCs w:val="32"/>
              </w:rPr>
              <w:t>5</w:t>
            </w:r>
          </w:p>
        </w:tc>
        <w:tc>
          <w:tcPr>
            <w:tcW w:w="7195" w:type="dxa"/>
            <w:tcBorders>
              <w:right w:val="single" w:color="auto" w:sz="4" w:space="0"/>
            </w:tcBorders>
            <w:noWrap w:val="0"/>
            <w:vAlign w:val="top"/>
          </w:tcPr>
          <w:p w14:paraId="1288DF32">
            <w:pPr>
              <w:ind w:firstLine="0" w:firstLineChars="0"/>
              <w:rPr>
                <w:rFonts w:hint="eastAsia" w:ascii="仿宋_GB2312" w:hAnsi="仿宋_GB2312" w:eastAsia="仿宋_GB2312" w:cs="仿宋_GB2312"/>
                <w:color w:val="000000"/>
                <w:sz w:val="28"/>
                <w:szCs w:val="32"/>
              </w:rPr>
            </w:pPr>
            <w:r>
              <w:rPr>
                <w:rFonts w:hint="eastAsia" w:ascii="仿宋_GB2312" w:hAnsi="仿宋_GB2312" w:eastAsia="仿宋_GB2312" w:cs="仿宋_GB2312"/>
                <w:color w:val="000000"/>
                <w:sz w:val="28"/>
                <w:szCs w:val="32"/>
              </w:rPr>
              <w:t>无控制措施</w:t>
            </w:r>
          </w:p>
        </w:tc>
      </w:tr>
      <w:tr w14:paraId="32B887D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137" w:type="dxa"/>
            <w:tcBorders>
              <w:left w:val="single" w:color="auto" w:sz="4" w:space="0"/>
            </w:tcBorders>
            <w:noWrap w:val="0"/>
            <w:vAlign w:val="center"/>
          </w:tcPr>
          <w:p w14:paraId="48E1E610">
            <w:pPr>
              <w:ind w:firstLine="0" w:firstLineChars="0"/>
              <w:jc w:val="center"/>
              <w:rPr>
                <w:rFonts w:hint="eastAsia" w:ascii="仿宋_GB2312" w:hAnsi="仿宋_GB2312" w:eastAsia="仿宋_GB2312" w:cs="仿宋_GB2312"/>
                <w:color w:val="000000"/>
                <w:sz w:val="28"/>
                <w:szCs w:val="32"/>
              </w:rPr>
            </w:pPr>
            <w:r>
              <w:rPr>
                <w:rFonts w:hint="eastAsia" w:ascii="仿宋_GB2312" w:hAnsi="仿宋_GB2312" w:eastAsia="仿宋_GB2312" w:cs="仿宋_GB2312"/>
                <w:color w:val="000000"/>
                <w:sz w:val="28"/>
                <w:szCs w:val="32"/>
              </w:rPr>
              <w:t>3</w:t>
            </w:r>
          </w:p>
        </w:tc>
        <w:tc>
          <w:tcPr>
            <w:tcW w:w="7195" w:type="dxa"/>
            <w:tcBorders>
              <w:right w:val="single" w:color="auto" w:sz="4" w:space="0"/>
            </w:tcBorders>
            <w:noWrap w:val="0"/>
            <w:vAlign w:val="top"/>
          </w:tcPr>
          <w:p w14:paraId="3D46909E">
            <w:pPr>
              <w:ind w:firstLine="0" w:firstLineChars="0"/>
              <w:rPr>
                <w:rFonts w:hint="eastAsia" w:ascii="仿宋_GB2312" w:hAnsi="仿宋_GB2312" w:eastAsia="仿宋_GB2312" w:cs="仿宋_GB2312"/>
                <w:color w:val="000000"/>
                <w:sz w:val="28"/>
                <w:szCs w:val="32"/>
              </w:rPr>
            </w:pPr>
            <w:r>
              <w:rPr>
                <w:rFonts w:hint="eastAsia" w:ascii="仿宋_GB2312" w:hAnsi="仿宋_GB2312" w:eastAsia="仿宋_GB2312" w:cs="仿宋_GB2312"/>
                <w:color w:val="000000"/>
                <w:sz w:val="28"/>
                <w:szCs w:val="32"/>
              </w:rPr>
              <w:t>有减轻后果的应急措施，包括警报系统、个体防护用品等</w:t>
            </w:r>
          </w:p>
        </w:tc>
      </w:tr>
      <w:tr w14:paraId="0AAA256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137" w:type="dxa"/>
            <w:tcBorders>
              <w:left w:val="single" w:color="auto" w:sz="4" w:space="0"/>
            </w:tcBorders>
            <w:noWrap w:val="0"/>
            <w:vAlign w:val="top"/>
          </w:tcPr>
          <w:p w14:paraId="6D4ED0F4">
            <w:pPr>
              <w:ind w:firstLine="0" w:firstLineChars="0"/>
              <w:jc w:val="center"/>
              <w:rPr>
                <w:rFonts w:hint="eastAsia" w:ascii="仿宋_GB2312" w:hAnsi="仿宋_GB2312" w:eastAsia="仿宋_GB2312" w:cs="仿宋_GB2312"/>
                <w:color w:val="000000"/>
                <w:sz w:val="28"/>
                <w:szCs w:val="32"/>
              </w:rPr>
            </w:pPr>
            <w:r>
              <w:rPr>
                <w:rFonts w:hint="eastAsia" w:ascii="仿宋_GB2312" w:hAnsi="仿宋_GB2312" w:eastAsia="仿宋_GB2312" w:cs="仿宋_GB2312"/>
                <w:color w:val="000000"/>
                <w:sz w:val="28"/>
                <w:szCs w:val="32"/>
              </w:rPr>
              <w:t>1</w:t>
            </w:r>
          </w:p>
        </w:tc>
        <w:tc>
          <w:tcPr>
            <w:tcW w:w="7195" w:type="dxa"/>
            <w:tcBorders>
              <w:right w:val="single" w:color="auto" w:sz="4" w:space="0"/>
            </w:tcBorders>
            <w:noWrap w:val="0"/>
            <w:vAlign w:val="top"/>
          </w:tcPr>
          <w:p w14:paraId="1407D1EC">
            <w:pPr>
              <w:ind w:firstLine="0" w:firstLineChars="0"/>
              <w:rPr>
                <w:rFonts w:hint="eastAsia" w:ascii="仿宋_GB2312" w:hAnsi="仿宋_GB2312" w:eastAsia="仿宋_GB2312" w:cs="仿宋_GB2312"/>
                <w:color w:val="000000"/>
                <w:sz w:val="28"/>
                <w:szCs w:val="32"/>
              </w:rPr>
            </w:pPr>
            <w:r>
              <w:rPr>
                <w:rFonts w:hint="eastAsia" w:ascii="仿宋_GB2312" w:hAnsi="仿宋_GB2312" w:eastAsia="仿宋_GB2312" w:cs="仿宋_GB2312"/>
                <w:color w:val="000000"/>
                <w:sz w:val="28"/>
                <w:szCs w:val="32"/>
              </w:rPr>
              <w:t>有预防措施、控制文件，如机电防护装置，但须保证有效</w:t>
            </w:r>
          </w:p>
        </w:tc>
      </w:tr>
    </w:tbl>
    <w:p w14:paraId="33D50F56">
      <w:pPr>
        <w:numPr>
          <w:ilvl w:val="0"/>
          <w:numId w:val="5"/>
        </w:numPr>
        <w:ind w:left="0" w:firstLine="56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人员暴露时间：（E）</w:t>
      </w:r>
    </w:p>
    <w:tbl>
      <w:tblPr>
        <w:tblStyle w:val="13"/>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090"/>
        <w:gridCol w:w="3867"/>
        <w:gridCol w:w="3339"/>
      </w:tblGrid>
      <w:tr w14:paraId="09596E9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left w:val="single" w:color="auto" w:sz="4" w:space="0"/>
            </w:tcBorders>
            <w:noWrap w:val="0"/>
            <w:vAlign w:val="top"/>
          </w:tcPr>
          <w:p w14:paraId="515FF006">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分数值</w:t>
            </w:r>
          </w:p>
        </w:tc>
        <w:tc>
          <w:tcPr>
            <w:tcW w:w="3867" w:type="dxa"/>
            <w:tcBorders>
              <w:right w:val="single" w:color="auto" w:sz="4" w:space="0"/>
            </w:tcBorders>
            <w:noWrap w:val="0"/>
            <w:vAlign w:val="top"/>
          </w:tcPr>
          <w:p w14:paraId="1307EDC0">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E1（人身伤害和职业相关病症）：</w:t>
            </w:r>
          </w:p>
          <w:p w14:paraId="21A1EC5D">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人员暴露于危险环境的频繁程度</w:t>
            </w:r>
          </w:p>
        </w:tc>
        <w:tc>
          <w:tcPr>
            <w:tcW w:w="3339" w:type="dxa"/>
            <w:tcBorders>
              <w:right w:val="single" w:color="auto" w:sz="4" w:space="0"/>
            </w:tcBorders>
            <w:noWrap w:val="0"/>
            <w:vAlign w:val="top"/>
          </w:tcPr>
          <w:p w14:paraId="450A042B">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E2（财产损失和环境污染）：</w:t>
            </w:r>
          </w:p>
          <w:p w14:paraId="6A9D4BFB">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危险状态出现的频次</w:t>
            </w:r>
          </w:p>
        </w:tc>
      </w:tr>
      <w:tr w14:paraId="1706564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left w:val="single" w:color="auto" w:sz="4" w:space="0"/>
            </w:tcBorders>
            <w:noWrap w:val="0"/>
            <w:vAlign w:val="top"/>
          </w:tcPr>
          <w:p w14:paraId="64EDDD3A">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10</w:t>
            </w:r>
          </w:p>
        </w:tc>
        <w:tc>
          <w:tcPr>
            <w:tcW w:w="3867" w:type="dxa"/>
            <w:tcBorders>
              <w:right w:val="single" w:color="auto" w:sz="4" w:space="0"/>
            </w:tcBorders>
            <w:noWrap w:val="0"/>
            <w:vAlign w:val="top"/>
          </w:tcPr>
          <w:p w14:paraId="4607A64B">
            <w:pPr>
              <w:ind w:firstLine="0" w:firstLineChars="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连续暴露</w:t>
            </w:r>
          </w:p>
        </w:tc>
        <w:tc>
          <w:tcPr>
            <w:tcW w:w="3339" w:type="dxa"/>
            <w:tcBorders>
              <w:right w:val="single" w:color="auto" w:sz="4" w:space="0"/>
            </w:tcBorders>
            <w:noWrap w:val="0"/>
            <w:vAlign w:val="top"/>
          </w:tcPr>
          <w:p w14:paraId="7F5C17C6">
            <w:pPr>
              <w:ind w:firstLine="0" w:firstLineChars="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常态</w:t>
            </w:r>
          </w:p>
        </w:tc>
      </w:tr>
      <w:tr w14:paraId="1AA702A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left w:val="single" w:color="auto" w:sz="4" w:space="0"/>
            </w:tcBorders>
            <w:noWrap w:val="0"/>
            <w:vAlign w:val="top"/>
          </w:tcPr>
          <w:p w14:paraId="54A2447B">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6</w:t>
            </w:r>
          </w:p>
        </w:tc>
        <w:tc>
          <w:tcPr>
            <w:tcW w:w="3867" w:type="dxa"/>
            <w:tcBorders>
              <w:right w:val="single" w:color="auto" w:sz="4" w:space="0"/>
            </w:tcBorders>
            <w:noWrap w:val="0"/>
            <w:vAlign w:val="top"/>
          </w:tcPr>
          <w:p w14:paraId="31D715CC">
            <w:pPr>
              <w:ind w:firstLine="0" w:firstLineChars="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每天工作时间内暴露</w:t>
            </w:r>
          </w:p>
        </w:tc>
        <w:tc>
          <w:tcPr>
            <w:tcW w:w="3339" w:type="dxa"/>
            <w:tcBorders>
              <w:right w:val="single" w:color="auto" w:sz="4" w:space="0"/>
            </w:tcBorders>
            <w:noWrap w:val="0"/>
            <w:vAlign w:val="top"/>
          </w:tcPr>
          <w:p w14:paraId="620E0789">
            <w:pPr>
              <w:ind w:firstLine="0" w:firstLineChars="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每天工作时间出现</w:t>
            </w:r>
          </w:p>
        </w:tc>
      </w:tr>
      <w:tr w14:paraId="5F2AC1D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left w:val="single" w:color="auto" w:sz="4" w:space="0"/>
            </w:tcBorders>
            <w:noWrap w:val="0"/>
            <w:vAlign w:val="top"/>
          </w:tcPr>
          <w:p w14:paraId="5826ED1E">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3</w:t>
            </w:r>
          </w:p>
        </w:tc>
        <w:tc>
          <w:tcPr>
            <w:tcW w:w="3867" w:type="dxa"/>
            <w:tcBorders>
              <w:right w:val="single" w:color="auto" w:sz="4" w:space="0"/>
            </w:tcBorders>
            <w:noWrap w:val="0"/>
            <w:vAlign w:val="top"/>
          </w:tcPr>
          <w:p w14:paraId="4F9115B7">
            <w:pPr>
              <w:ind w:firstLine="0" w:firstLineChars="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每周一次，或偶然暴露</w:t>
            </w:r>
          </w:p>
        </w:tc>
        <w:tc>
          <w:tcPr>
            <w:tcW w:w="3339" w:type="dxa"/>
            <w:tcBorders>
              <w:right w:val="single" w:color="auto" w:sz="4" w:space="0"/>
            </w:tcBorders>
            <w:noWrap w:val="0"/>
            <w:vAlign w:val="top"/>
          </w:tcPr>
          <w:p w14:paraId="5AA21BEB">
            <w:pPr>
              <w:ind w:firstLine="0" w:firstLineChars="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每周一次或偶尔出现</w:t>
            </w:r>
          </w:p>
        </w:tc>
      </w:tr>
      <w:tr w14:paraId="569D376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left w:val="single" w:color="auto" w:sz="4" w:space="0"/>
            </w:tcBorders>
            <w:noWrap w:val="0"/>
            <w:vAlign w:val="top"/>
          </w:tcPr>
          <w:p w14:paraId="33F26750">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2</w:t>
            </w:r>
          </w:p>
        </w:tc>
        <w:tc>
          <w:tcPr>
            <w:tcW w:w="3867" w:type="dxa"/>
            <w:tcBorders>
              <w:right w:val="single" w:color="auto" w:sz="4" w:space="0"/>
            </w:tcBorders>
            <w:noWrap w:val="0"/>
            <w:vAlign w:val="top"/>
          </w:tcPr>
          <w:p w14:paraId="5ACD6D67">
            <w:pPr>
              <w:ind w:firstLine="0" w:firstLineChars="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每月一次暴露</w:t>
            </w:r>
          </w:p>
        </w:tc>
        <w:tc>
          <w:tcPr>
            <w:tcW w:w="3339" w:type="dxa"/>
            <w:tcBorders>
              <w:right w:val="single" w:color="auto" w:sz="4" w:space="0"/>
            </w:tcBorders>
            <w:noWrap w:val="0"/>
            <w:vAlign w:val="top"/>
          </w:tcPr>
          <w:p w14:paraId="4E3726FC">
            <w:pPr>
              <w:ind w:firstLine="0" w:firstLineChars="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每月一次出现</w:t>
            </w:r>
          </w:p>
        </w:tc>
      </w:tr>
      <w:tr w14:paraId="24F7CDF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left w:val="single" w:color="auto" w:sz="4" w:space="0"/>
            </w:tcBorders>
            <w:noWrap w:val="0"/>
            <w:vAlign w:val="top"/>
          </w:tcPr>
          <w:p w14:paraId="359823C9">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1</w:t>
            </w:r>
          </w:p>
        </w:tc>
        <w:tc>
          <w:tcPr>
            <w:tcW w:w="3867" w:type="dxa"/>
            <w:tcBorders>
              <w:right w:val="single" w:color="auto" w:sz="4" w:space="0"/>
            </w:tcBorders>
            <w:noWrap w:val="0"/>
            <w:vAlign w:val="top"/>
          </w:tcPr>
          <w:p w14:paraId="7D02F51C">
            <w:pPr>
              <w:ind w:firstLine="0" w:firstLineChars="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每年几次暴露</w:t>
            </w:r>
          </w:p>
        </w:tc>
        <w:tc>
          <w:tcPr>
            <w:tcW w:w="3339" w:type="dxa"/>
            <w:tcBorders>
              <w:right w:val="single" w:color="auto" w:sz="4" w:space="0"/>
            </w:tcBorders>
            <w:noWrap w:val="0"/>
            <w:vAlign w:val="top"/>
          </w:tcPr>
          <w:p w14:paraId="18840043">
            <w:pPr>
              <w:ind w:firstLine="0" w:firstLineChars="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每年几次出现</w:t>
            </w:r>
          </w:p>
        </w:tc>
      </w:tr>
      <w:tr w14:paraId="3F69E08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left w:val="single" w:color="auto" w:sz="4" w:space="0"/>
            </w:tcBorders>
            <w:noWrap w:val="0"/>
            <w:vAlign w:val="top"/>
          </w:tcPr>
          <w:p w14:paraId="49F28842">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0.5</w:t>
            </w:r>
          </w:p>
        </w:tc>
        <w:tc>
          <w:tcPr>
            <w:tcW w:w="3867" w:type="dxa"/>
            <w:tcBorders>
              <w:right w:val="single" w:color="auto" w:sz="4" w:space="0"/>
            </w:tcBorders>
            <w:noWrap w:val="0"/>
            <w:vAlign w:val="top"/>
          </w:tcPr>
          <w:p w14:paraId="58CBAEF9">
            <w:pPr>
              <w:ind w:firstLine="0" w:firstLineChars="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更少地暴露</w:t>
            </w:r>
          </w:p>
        </w:tc>
        <w:tc>
          <w:tcPr>
            <w:tcW w:w="3339" w:type="dxa"/>
            <w:tcBorders>
              <w:right w:val="single" w:color="auto" w:sz="4" w:space="0"/>
            </w:tcBorders>
            <w:noWrap w:val="0"/>
            <w:vAlign w:val="top"/>
          </w:tcPr>
          <w:p w14:paraId="00C17C72">
            <w:pPr>
              <w:ind w:firstLine="0" w:firstLineChars="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更少地出现</w:t>
            </w:r>
          </w:p>
        </w:tc>
      </w:tr>
      <w:tr w14:paraId="407683D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90" w:hRule="atLeast"/>
          <w:jc w:val="center"/>
        </w:trPr>
        <w:tc>
          <w:tcPr>
            <w:tcW w:w="8296" w:type="dxa"/>
            <w:gridSpan w:val="3"/>
            <w:tcBorders>
              <w:left w:val="single" w:color="auto" w:sz="4" w:space="0"/>
              <w:right w:val="single" w:color="auto" w:sz="4" w:space="0"/>
            </w:tcBorders>
            <w:noWrap w:val="0"/>
            <w:vAlign w:val="top"/>
          </w:tcPr>
          <w:p w14:paraId="7339CC8B">
            <w:pPr>
              <w:ind w:firstLine="0" w:firstLineChars="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备注1：8小时不离工作岗位，算“连续暴露”，危险状态常存，算“常态”。</w:t>
            </w:r>
          </w:p>
          <w:p w14:paraId="40FE78BA">
            <w:pPr>
              <w:ind w:firstLine="0" w:firstLineChars="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注2：8小时内暴露一至几次，算“每天工作时间暴露”；危险状态出现一至几次，算“每天工作时间出现”。</w:t>
            </w:r>
          </w:p>
        </w:tc>
      </w:tr>
    </w:tbl>
    <w:p w14:paraId="483C6A38">
      <w:pPr>
        <w:spacing w:line="360" w:lineRule="auto"/>
        <w:ind w:firstLine="56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3.事故的可能后果（S）</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0"/>
        <w:gridCol w:w="1633"/>
        <w:gridCol w:w="1846"/>
        <w:gridCol w:w="1674"/>
        <w:gridCol w:w="2156"/>
      </w:tblGrid>
      <w:tr w14:paraId="246AA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 w:hRule="atLeast"/>
          <w:jc w:val="center"/>
        </w:trPr>
        <w:tc>
          <w:tcPr>
            <w:tcW w:w="1050" w:type="dxa"/>
            <w:vMerge w:val="restart"/>
            <w:noWrap w:val="0"/>
            <w:vAlign w:val="top"/>
          </w:tcPr>
          <w:p w14:paraId="7F7B83C3">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分数值</w:t>
            </w:r>
          </w:p>
        </w:tc>
        <w:tc>
          <w:tcPr>
            <w:tcW w:w="7309" w:type="dxa"/>
            <w:gridSpan w:val="4"/>
            <w:noWrap w:val="0"/>
            <w:vAlign w:val="center"/>
          </w:tcPr>
          <w:p w14:paraId="76CDB1A2">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可能的后果</w:t>
            </w:r>
          </w:p>
        </w:tc>
      </w:tr>
      <w:tr w14:paraId="1D145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7" w:hRule="atLeast"/>
          <w:jc w:val="center"/>
        </w:trPr>
        <w:tc>
          <w:tcPr>
            <w:tcW w:w="1050" w:type="dxa"/>
            <w:vMerge w:val="continue"/>
            <w:noWrap w:val="0"/>
            <w:vAlign w:val="top"/>
          </w:tcPr>
          <w:p w14:paraId="0ED4D930">
            <w:pPr>
              <w:ind w:firstLine="0" w:firstLineChars="0"/>
              <w:jc w:val="center"/>
              <w:rPr>
                <w:rFonts w:hint="eastAsia" w:ascii="仿宋_GB2312" w:hAnsi="仿宋_GB2312" w:eastAsia="仿宋_GB2312" w:cs="仿宋_GB2312"/>
                <w:color w:val="000000"/>
                <w:sz w:val="32"/>
                <w:szCs w:val="32"/>
              </w:rPr>
            </w:pPr>
          </w:p>
        </w:tc>
        <w:tc>
          <w:tcPr>
            <w:tcW w:w="1633" w:type="dxa"/>
            <w:noWrap w:val="0"/>
            <w:vAlign w:val="center"/>
          </w:tcPr>
          <w:p w14:paraId="4F122489">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伤害</w:t>
            </w:r>
          </w:p>
        </w:tc>
        <w:tc>
          <w:tcPr>
            <w:tcW w:w="1846" w:type="dxa"/>
            <w:noWrap w:val="0"/>
            <w:vAlign w:val="center"/>
          </w:tcPr>
          <w:p w14:paraId="39FB2690">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职业相关病症</w:t>
            </w:r>
          </w:p>
        </w:tc>
        <w:tc>
          <w:tcPr>
            <w:tcW w:w="1674" w:type="dxa"/>
            <w:noWrap w:val="0"/>
            <w:vAlign w:val="top"/>
          </w:tcPr>
          <w:p w14:paraId="3FF7B0AE">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财产损失（元）</w:t>
            </w:r>
          </w:p>
        </w:tc>
        <w:tc>
          <w:tcPr>
            <w:tcW w:w="2156" w:type="dxa"/>
            <w:noWrap w:val="0"/>
            <w:vAlign w:val="top"/>
          </w:tcPr>
          <w:p w14:paraId="7FCFAE61">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环境影响</w:t>
            </w:r>
          </w:p>
        </w:tc>
      </w:tr>
      <w:tr w14:paraId="6118D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 w:hRule="atLeast"/>
          <w:jc w:val="center"/>
        </w:trPr>
        <w:tc>
          <w:tcPr>
            <w:tcW w:w="1050" w:type="dxa"/>
            <w:noWrap w:val="0"/>
            <w:vAlign w:val="center"/>
          </w:tcPr>
          <w:p w14:paraId="2250987F">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10</w:t>
            </w:r>
          </w:p>
        </w:tc>
        <w:tc>
          <w:tcPr>
            <w:tcW w:w="1633" w:type="dxa"/>
            <w:noWrap w:val="0"/>
            <w:vAlign w:val="center"/>
          </w:tcPr>
          <w:p w14:paraId="317FB073">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有多人死亡</w:t>
            </w:r>
          </w:p>
        </w:tc>
        <w:tc>
          <w:tcPr>
            <w:tcW w:w="1846" w:type="dxa"/>
            <w:noWrap w:val="0"/>
            <w:vAlign w:val="center"/>
          </w:tcPr>
          <w:p w14:paraId="717CC22F">
            <w:pPr>
              <w:ind w:firstLine="0" w:firstLineChars="0"/>
              <w:jc w:val="center"/>
              <w:rPr>
                <w:rFonts w:hint="eastAsia" w:ascii="仿宋_GB2312" w:hAnsi="仿宋_GB2312" w:eastAsia="仿宋_GB2312" w:cs="仿宋_GB2312"/>
                <w:color w:val="000000"/>
                <w:sz w:val="32"/>
                <w:szCs w:val="32"/>
              </w:rPr>
            </w:pPr>
          </w:p>
        </w:tc>
        <w:tc>
          <w:tcPr>
            <w:tcW w:w="1674" w:type="dxa"/>
            <w:noWrap w:val="0"/>
            <w:vAlign w:val="top"/>
          </w:tcPr>
          <w:p w14:paraId="3A5CD803">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＞1000万</w:t>
            </w:r>
          </w:p>
        </w:tc>
        <w:tc>
          <w:tcPr>
            <w:tcW w:w="2156" w:type="dxa"/>
            <w:noWrap w:val="0"/>
            <w:vAlign w:val="top"/>
          </w:tcPr>
          <w:p w14:paraId="62EEED17">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有重大环境影响的不可控排放</w:t>
            </w:r>
          </w:p>
        </w:tc>
      </w:tr>
      <w:tr w14:paraId="4478D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6" w:hRule="atLeast"/>
          <w:jc w:val="center"/>
        </w:trPr>
        <w:tc>
          <w:tcPr>
            <w:tcW w:w="1050" w:type="dxa"/>
            <w:noWrap w:val="0"/>
            <w:vAlign w:val="center"/>
          </w:tcPr>
          <w:p w14:paraId="3E4DAE43">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8</w:t>
            </w:r>
          </w:p>
        </w:tc>
        <w:tc>
          <w:tcPr>
            <w:tcW w:w="1633" w:type="dxa"/>
            <w:noWrap w:val="0"/>
            <w:vAlign w:val="center"/>
          </w:tcPr>
          <w:p w14:paraId="783F809D">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有1人死亡或多人永久失能</w:t>
            </w:r>
          </w:p>
        </w:tc>
        <w:tc>
          <w:tcPr>
            <w:tcW w:w="1846" w:type="dxa"/>
            <w:noWrap w:val="0"/>
            <w:vAlign w:val="center"/>
          </w:tcPr>
          <w:p w14:paraId="37186EA3">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职业病（多人）</w:t>
            </w:r>
          </w:p>
        </w:tc>
        <w:tc>
          <w:tcPr>
            <w:tcW w:w="1674" w:type="dxa"/>
            <w:noWrap w:val="0"/>
            <w:vAlign w:val="top"/>
          </w:tcPr>
          <w:p w14:paraId="38D08990">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100万-1000万</w:t>
            </w:r>
          </w:p>
        </w:tc>
        <w:tc>
          <w:tcPr>
            <w:tcW w:w="2156" w:type="dxa"/>
            <w:noWrap w:val="0"/>
            <w:vAlign w:val="top"/>
          </w:tcPr>
          <w:p w14:paraId="15D321EA">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有中等环境影响的不可控排放</w:t>
            </w:r>
          </w:p>
        </w:tc>
      </w:tr>
      <w:tr w14:paraId="3B3CD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 w:hRule="atLeast"/>
          <w:jc w:val="center"/>
        </w:trPr>
        <w:tc>
          <w:tcPr>
            <w:tcW w:w="1050" w:type="dxa"/>
            <w:noWrap w:val="0"/>
            <w:vAlign w:val="center"/>
          </w:tcPr>
          <w:p w14:paraId="6ACDDB7D">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4</w:t>
            </w:r>
          </w:p>
        </w:tc>
        <w:tc>
          <w:tcPr>
            <w:tcW w:w="1633" w:type="dxa"/>
            <w:noWrap w:val="0"/>
            <w:vAlign w:val="center"/>
          </w:tcPr>
          <w:p w14:paraId="65065B9C">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永久失能（1人）</w:t>
            </w:r>
          </w:p>
        </w:tc>
        <w:tc>
          <w:tcPr>
            <w:tcW w:w="1846" w:type="dxa"/>
            <w:noWrap w:val="0"/>
            <w:vAlign w:val="center"/>
          </w:tcPr>
          <w:p w14:paraId="03C11306">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职业病（1人）</w:t>
            </w:r>
          </w:p>
        </w:tc>
        <w:tc>
          <w:tcPr>
            <w:tcW w:w="1674" w:type="dxa"/>
            <w:noWrap w:val="0"/>
            <w:vAlign w:val="top"/>
          </w:tcPr>
          <w:p w14:paraId="3327D0BE">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10万-100万</w:t>
            </w:r>
          </w:p>
        </w:tc>
        <w:tc>
          <w:tcPr>
            <w:tcW w:w="2156" w:type="dxa"/>
            <w:noWrap w:val="0"/>
            <w:vAlign w:val="top"/>
          </w:tcPr>
          <w:p w14:paraId="415C650E">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有较轻环境影响的不可控排放</w:t>
            </w:r>
          </w:p>
        </w:tc>
      </w:tr>
      <w:tr w14:paraId="034A1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 w:hRule="atLeast"/>
          <w:jc w:val="center"/>
        </w:trPr>
        <w:tc>
          <w:tcPr>
            <w:tcW w:w="1050" w:type="dxa"/>
            <w:noWrap w:val="0"/>
            <w:vAlign w:val="center"/>
          </w:tcPr>
          <w:p w14:paraId="5CC7DE65">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2</w:t>
            </w:r>
          </w:p>
        </w:tc>
        <w:tc>
          <w:tcPr>
            <w:tcW w:w="1633" w:type="dxa"/>
            <w:noWrap w:val="0"/>
            <w:vAlign w:val="center"/>
          </w:tcPr>
          <w:p w14:paraId="312E67AA">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需医院治理，缺工</w:t>
            </w:r>
          </w:p>
        </w:tc>
        <w:tc>
          <w:tcPr>
            <w:tcW w:w="1846" w:type="dxa"/>
            <w:noWrap w:val="0"/>
            <w:vAlign w:val="center"/>
          </w:tcPr>
          <w:p w14:paraId="09CD5789">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职业性多发病</w:t>
            </w:r>
          </w:p>
        </w:tc>
        <w:tc>
          <w:tcPr>
            <w:tcW w:w="1674" w:type="dxa"/>
            <w:noWrap w:val="0"/>
            <w:vAlign w:val="top"/>
          </w:tcPr>
          <w:p w14:paraId="18539BD9">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1万-10万</w:t>
            </w:r>
          </w:p>
        </w:tc>
        <w:tc>
          <w:tcPr>
            <w:tcW w:w="2156" w:type="dxa"/>
            <w:noWrap w:val="0"/>
            <w:vAlign w:val="top"/>
          </w:tcPr>
          <w:p w14:paraId="24823ECD">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有局部环境影响的可控排放</w:t>
            </w:r>
          </w:p>
        </w:tc>
      </w:tr>
      <w:tr w14:paraId="29162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 w:hRule="atLeast"/>
          <w:jc w:val="center"/>
        </w:trPr>
        <w:tc>
          <w:tcPr>
            <w:tcW w:w="1050" w:type="dxa"/>
            <w:noWrap w:val="0"/>
            <w:vAlign w:val="center"/>
          </w:tcPr>
          <w:p w14:paraId="0E639039">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1</w:t>
            </w:r>
          </w:p>
        </w:tc>
        <w:tc>
          <w:tcPr>
            <w:tcW w:w="1633" w:type="dxa"/>
            <w:noWrap w:val="0"/>
            <w:vAlign w:val="center"/>
          </w:tcPr>
          <w:p w14:paraId="78CCFE3B">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轻微，近需急救</w:t>
            </w:r>
          </w:p>
        </w:tc>
        <w:tc>
          <w:tcPr>
            <w:tcW w:w="1846" w:type="dxa"/>
            <w:noWrap w:val="0"/>
            <w:vAlign w:val="center"/>
          </w:tcPr>
          <w:p w14:paraId="69C69E20">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职业因素引起的身体不适</w:t>
            </w:r>
          </w:p>
        </w:tc>
        <w:tc>
          <w:tcPr>
            <w:tcW w:w="1674" w:type="dxa"/>
            <w:noWrap w:val="0"/>
            <w:vAlign w:val="top"/>
          </w:tcPr>
          <w:p w14:paraId="3C53CDB7">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＜1万</w:t>
            </w:r>
          </w:p>
        </w:tc>
        <w:tc>
          <w:tcPr>
            <w:tcW w:w="2156" w:type="dxa"/>
            <w:noWrap w:val="0"/>
            <w:vAlign w:val="top"/>
          </w:tcPr>
          <w:p w14:paraId="6645DC37">
            <w:pPr>
              <w:ind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无环境影响</w:t>
            </w:r>
          </w:p>
        </w:tc>
      </w:tr>
      <w:tr w14:paraId="1A75E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8359" w:type="dxa"/>
            <w:gridSpan w:val="5"/>
            <w:noWrap w:val="0"/>
            <w:vAlign w:val="center"/>
          </w:tcPr>
          <w:p w14:paraId="7FD833A9">
            <w:pPr>
              <w:ind w:firstLine="0" w:firstLineChars="0"/>
              <w:jc w:val="left"/>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注：表中财产损失一栏的分档赋值，可根据行业和企业的特点进行适当调整。</w:t>
            </w:r>
          </w:p>
        </w:tc>
      </w:tr>
    </w:tbl>
    <w:p w14:paraId="1059D099">
      <w:pPr>
        <w:numPr>
          <w:ilvl w:val="0"/>
          <w:numId w:val="0"/>
        </w:numPr>
        <w:ind w:left="0" w:leftChars="0"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kern w:val="2"/>
          <w:sz w:val="32"/>
          <w:szCs w:val="32"/>
          <w:lang w:val="en-US" w:eastAsia="zh-CN" w:bidi="ar-SA"/>
        </w:rPr>
        <w:t>（二）</w:t>
      </w:r>
      <w:r>
        <w:rPr>
          <w:rFonts w:hint="eastAsia" w:ascii="仿宋_GB2312" w:hAnsi="仿宋_GB2312" w:eastAsia="仿宋_GB2312" w:cs="仿宋_GB2312"/>
          <w:color w:val="000000"/>
          <w:sz w:val="32"/>
          <w:szCs w:val="32"/>
        </w:rPr>
        <w:t>风险程度（R）：对人身伤害事故R= M•E•S</w:t>
      </w:r>
    </w:p>
    <w:p w14:paraId="566C4E07">
      <w:pPr>
        <w:spacing w:line="300" w:lineRule="auto"/>
        <w:ind w:firstLine="56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将控制措施的状态M、暴露的频繁程度E（E1或E2）/一旦发生事故会造成的损失后果S分别为若干等级，并赋予一定的相应分值。风险程度R为三者的乘积。将R亦分为若干等级。针对特定的作业条件，恰当选取M、E、S的值，根据相乘后的积确定风险程度R的级别（出现E1或E2任何一种情况，S四种情况下任何一种可能的后果）。风险程度的分级见下表。</w:t>
      </w:r>
    </w:p>
    <w:p w14:paraId="2BFD2A27">
      <w:pPr>
        <w:spacing w:line="340" w:lineRule="exact"/>
        <w:ind w:left="0" w:leftChars="0" w:firstLine="0" w:firstLineChars="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风险程度的分级</w:t>
      </w:r>
    </w:p>
    <w:tbl>
      <w:tblPr>
        <w:tblStyle w:val="13"/>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806"/>
        <w:gridCol w:w="3717"/>
      </w:tblGrid>
      <w:tr w14:paraId="5578359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06" w:type="dxa"/>
            <w:tcBorders>
              <w:left w:val="single" w:color="auto" w:sz="4" w:space="0"/>
            </w:tcBorders>
            <w:noWrap w:val="0"/>
            <w:vAlign w:val="top"/>
          </w:tcPr>
          <w:p w14:paraId="286A0D29">
            <w:pPr>
              <w:spacing w:line="340" w:lineRule="exact"/>
              <w:ind w:firstLine="48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R值</w:t>
            </w:r>
          </w:p>
        </w:tc>
        <w:tc>
          <w:tcPr>
            <w:tcW w:w="3717" w:type="dxa"/>
            <w:tcBorders>
              <w:right w:val="single" w:color="auto" w:sz="4" w:space="0"/>
            </w:tcBorders>
            <w:noWrap w:val="0"/>
            <w:vAlign w:val="top"/>
          </w:tcPr>
          <w:p w14:paraId="083863C0">
            <w:pPr>
              <w:spacing w:line="340" w:lineRule="exact"/>
              <w:ind w:firstLine="48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风险程度（等级）</w:t>
            </w:r>
          </w:p>
        </w:tc>
      </w:tr>
      <w:tr w14:paraId="177BB3C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806" w:type="dxa"/>
            <w:tcBorders>
              <w:left w:val="single" w:color="auto" w:sz="4" w:space="0"/>
            </w:tcBorders>
            <w:noWrap w:val="0"/>
            <w:vAlign w:val="top"/>
          </w:tcPr>
          <w:p w14:paraId="454E1C2F">
            <w:pPr>
              <w:spacing w:line="340" w:lineRule="exact"/>
              <w:ind w:firstLine="48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&gt;180</w:t>
            </w:r>
          </w:p>
        </w:tc>
        <w:tc>
          <w:tcPr>
            <w:tcW w:w="3717" w:type="dxa"/>
            <w:tcBorders>
              <w:right w:val="single" w:color="auto" w:sz="4" w:space="0"/>
            </w:tcBorders>
            <w:noWrap w:val="0"/>
            <w:vAlign w:val="top"/>
          </w:tcPr>
          <w:p w14:paraId="3B4B9B0E">
            <w:pPr>
              <w:spacing w:line="340" w:lineRule="exact"/>
              <w:ind w:firstLine="48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1级</w:t>
            </w:r>
          </w:p>
        </w:tc>
      </w:tr>
      <w:tr w14:paraId="683F5E1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806" w:type="dxa"/>
            <w:tcBorders>
              <w:left w:val="single" w:color="auto" w:sz="4" w:space="0"/>
            </w:tcBorders>
            <w:noWrap w:val="0"/>
            <w:vAlign w:val="top"/>
          </w:tcPr>
          <w:p w14:paraId="375AC6F8">
            <w:pPr>
              <w:spacing w:line="340" w:lineRule="exact"/>
              <w:ind w:firstLine="48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90—150</w:t>
            </w:r>
          </w:p>
        </w:tc>
        <w:tc>
          <w:tcPr>
            <w:tcW w:w="3717" w:type="dxa"/>
            <w:tcBorders>
              <w:right w:val="single" w:color="auto" w:sz="4" w:space="0"/>
            </w:tcBorders>
            <w:noWrap w:val="0"/>
            <w:vAlign w:val="top"/>
          </w:tcPr>
          <w:p w14:paraId="699005B7">
            <w:pPr>
              <w:spacing w:line="340" w:lineRule="exact"/>
              <w:ind w:firstLine="48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2级</w:t>
            </w:r>
          </w:p>
        </w:tc>
      </w:tr>
      <w:tr w14:paraId="470D191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806" w:type="dxa"/>
            <w:tcBorders>
              <w:left w:val="single" w:color="auto" w:sz="4" w:space="0"/>
            </w:tcBorders>
            <w:noWrap w:val="0"/>
            <w:vAlign w:val="top"/>
          </w:tcPr>
          <w:p w14:paraId="7996970E">
            <w:pPr>
              <w:spacing w:line="340" w:lineRule="exact"/>
              <w:ind w:firstLine="48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40—80</w:t>
            </w:r>
          </w:p>
        </w:tc>
        <w:tc>
          <w:tcPr>
            <w:tcW w:w="3717" w:type="dxa"/>
            <w:tcBorders>
              <w:right w:val="single" w:color="auto" w:sz="4" w:space="0"/>
            </w:tcBorders>
            <w:noWrap w:val="0"/>
            <w:vAlign w:val="top"/>
          </w:tcPr>
          <w:p w14:paraId="5EEF50F1">
            <w:pPr>
              <w:spacing w:line="340" w:lineRule="exact"/>
              <w:ind w:firstLine="48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3级</w:t>
            </w:r>
          </w:p>
        </w:tc>
      </w:tr>
      <w:tr w14:paraId="291C9E3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806" w:type="dxa"/>
            <w:tcBorders>
              <w:left w:val="single" w:color="auto" w:sz="4" w:space="0"/>
            </w:tcBorders>
            <w:noWrap w:val="0"/>
            <w:vAlign w:val="top"/>
          </w:tcPr>
          <w:p w14:paraId="59DF9487">
            <w:pPr>
              <w:spacing w:line="340" w:lineRule="exact"/>
              <w:ind w:firstLine="48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≤38</w:t>
            </w:r>
          </w:p>
        </w:tc>
        <w:tc>
          <w:tcPr>
            <w:tcW w:w="3717" w:type="dxa"/>
            <w:tcBorders>
              <w:right w:val="single" w:color="auto" w:sz="4" w:space="0"/>
            </w:tcBorders>
            <w:noWrap w:val="0"/>
            <w:vAlign w:val="top"/>
          </w:tcPr>
          <w:p w14:paraId="39611088">
            <w:pPr>
              <w:spacing w:line="340" w:lineRule="exact"/>
              <w:ind w:firstLine="480"/>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4级</w:t>
            </w:r>
          </w:p>
        </w:tc>
      </w:tr>
      <w:tr w14:paraId="513AB54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523" w:type="dxa"/>
            <w:gridSpan w:val="2"/>
            <w:tcBorders>
              <w:left w:val="single" w:color="auto" w:sz="4" w:space="0"/>
              <w:right w:val="single" w:color="auto" w:sz="4" w:space="0"/>
            </w:tcBorders>
            <w:noWrap w:val="0"/>
            <w:vAlign w:val="top"/>
          </w:tcPr>
          <w:p w14:paraId="21E9E460">
            <w:pPr>
              <w:spacing w:line="340" w:lineRule="exact"/>
              <w:ind w:firstLine="480"/>
              <w:jc w:val="left"/>
              <w:rPr>
                <w:rFonts w:hint="eastAsia" w:ascii="仿宋_GB2312" w:hAnsi="仿宋_GB2312" w:eastAsia="仿宋_GB2312" w:cs="仿宋_GB2312"/>
                <w:color w:val="FF0000"/>
                <w:sz w:val="32"/>
                <w:szCs w:val="32"/>
              </w:rPr>
            </w:pPr>
            <w:r>
              <w:rPr>
                <w:rFonts w:hint="eastAsia" w:ascii="仿宋_GB2312" w:hAnsi="仿宋_GB2312" w:eastAsia="仿宋_GB2312" w:cs="仿宋_GB2312"/>
                <w:color w:val="000000"/>
                <w:sz w:val="32"/>
                <w:szCs w:val="32"/>
              </w:rPr>
              <w:t>注：风险程度是可能性和后果的二元函数。当用两者的乘积反映风险程度的大小时，从数学上讲，乘积前面应当有一系数。但系数仅是乘积的一个倍数，不影响不同乘积间的比值；也就是说，不影响方向程度的相对比值。因此，为简单起见，将系数取为1。</w:t>
            </w:r>
          </w:p>
        </w:tc>
      </w:tr>
    </w:tbl>
    <w:p w14:paraId="69A3923D">
      <w:pPr>
        <w:numPr>
          <w:ilvl w:val="0"/>
          <w:numId w:val="0"/>
        </w:numPr>
        <w:tabs>
          <w:tab w:val="left" w:pos="0"/>
        </w:tabs>
        <w:spacing w:line="560" w:lineRule="exact"/>
        <w:ind w:firstLine="640" w:firstLineChars="200"/>
        <w:rPr>
          <w:szCs w:val="32"/>
        </w:rPr>
      </w:pPr>
      <w:r>
        <w:rPr>
          <w:rFonts w:hint="eastAsia" w:ascii="黑体" w:hAnsi="黑体" w:eastAsia="黑体" w:cs="黑体"/>
          <w:b w:val="0"/>
          <w:bCs w:val="0"/>
          <w:kern w:val="2"/>
          <w:sz w:val="32"/>
          <w:szCs w:val="32"/>
          <w:lang w:val="en-US" w:eastAsia="zh-CN" w:bidi="ar-SA"/>
        </w:rPr>
        <w:t xml:space="preserve">第二十三条 </w:t>
      </w:r>
      <w:r>
        <w:rPr>
          <w:szCs w:val="32"/>
        </w:rPr>
        <w:t>风险分级管控责任。</w:t>
      </w:r>
    </w:p>
    <w:p w14:paraId="74E75465">
      <w:pPr>
        <w:numPr>
          <w:ilvl w:val="0"/>
          <w:numId w:val="0"/>
        </w:numPr>
        <w:ind w:left="0" w:leftChars="0" w:firstLine="640" w:firstLineChars="200"/>
        <w:rPr>
          <w:rFonts w:hint="eastAsia" w:ascii="仿宋_GB2312" w:hAnsi="仿宋_GB2312" w:eastAsia="仿宋_GB2312" w:cs="仿宋_GB2312"/>
        </w:rPr>
      </w:pPr>
      <w:r>
        <w:rPr>
          <w:rFonts w:hint="eastAsia" w:ascii="仿宋_GB2312" w:hAnsi="仿宋_GB2312" w:eastAsia="仿宋_GB2312" w:cs="仿宋_GB2312"/>
          <w:kern w:val="2"/>
          <w:sz w:val="32"/>
          <w:lang w:val="en-US" w:eastAsia="zh-CN" w:bidi="ar-SA"/>
        </w:rPr>
        <w:t>（一）</w:t>
      </w:r>
      <w:r>
        <w:rPr>
          <w:rStyle w:val="19"/>
          <w:rFonts w:hint="eastAsia" w:ascii="仿宋_GB2312" w:hAnsi="仿宋_GB2312" w:eastAsia="仿宋_GB2312" w:cs="仿宋_GB2312"/>
        </w:rPr>
        <w:t>风险分级管控。</w:t>
      </w:r>
      <w:r>
        <w:rPr>
          <w:rFonts w:hint="eastAsia" w:ascii="仿宋_GB2312" w:hAnsi="仿宋_GB2312" w:eastAsia="仿宋_GB2312" w:cs="仿宋_GB2312"/>
        </w:rPr>
        <w:t>按照“领导负责、专业负责、分工负责、岗位负责、包保负责、监管负责”和“风险等级越高管控层级越高”的原则，对照安全生产职责，将风险管控责任逐层级分工，并落实到相应岗位。</w:t>
      </w:r>
    </w:p>
    <w:p w14:paraId="06D76411">
      <w:pPr>
        <w:pStyle w:val="5"/>
        <w:numPr>
          <w:ilvl w:val="0"/>
          <w:numId w:val="0"/>
        </w:numPr>
        <w:ind w:left="0" w:leftChars="0" w:firstLine="640" w:firstLineChars="200"/>
        <w:rPr>
          <w:rFonts w:hint="eastAsia" w:ascii="仿宋_GB2312" w:hAnsi="仿宋_GB2312" w:eastAsia="仿宋_GB2312" w:cs="仿宋_GB2312"/>
        </w:rPr>
      </w:pPr>
      <w:r>
        <w:rPr>
          <w:rFonts w:hint="eastAsia" w:ascii="仿宋_GB2312" w:hAnsi="仿宋_GB2312" w:eastAsia="仿宋_GB2312" w:cs="仿宋_GB2312"/>
          <w:kern w:val="2"/>
          <w:sz w:val="32"/>
          <w:lang w:val="en-US" w:eastAsia="zh-CN" w:bidi="ar-SA"/>
        </w:rPr>
        <w:t>（二）</w:t>
      </w:r>
      <w:r>
        <w:rPr>
          <w:rFonts w:hint="eastAsia" w:ascii="仿宋_GB2312" w:hAnsi="仿宋_GB2312" w:eastAsia="仿宋_GB2312" w:cs="仿宋_GB2312"/>
        </w:rPr>
        <w:t>岗位级管控标准及要求</w:t>
      </w:r>
    </w:p>
    <w:p w14:paraId="539EF6BF">
      <w:pPr>
        <w:spacing w:line="360" w:lineRule="auto"/>
        <w:ind w:firstLine="656"/>
        <w:rPr>
          <w:rFonts w:hint="eastAsia" w:ascii="仿宋_GB2312" w:hAnsi="仿宋_GB2312" w:eastAsia="仿宋_GB2312" w:cs="仿宋_GB2312"/>
          <w:spacing w:val="4"/>
          <w:szCs w:val="32"/>
        </w:rPr>
      </w:pPr>
      <w:r>
        <w:rPr>
          <w:rFonts w:hint="eastAsia" w:ascii="仿宋_GB2312" w:hAnsi="仿宋_GB2312" w:eastAsia="仿宋_GB2312" w:cs="仿宋_GB2312"/>
          <w:spacing w:val="4"/>
          <w:szCs w:val="32"/>
        </w:rPr>
        <w:t>1.各岗位应熟知本岗位的风险，严格履行岗位职责、作业标准和风险预控措施；</w:t>
      </w:r>
    </w:p>
    <w:p w14:paraId="25B59CF0">
      <w:pPr>
        <w:spacing w:line="360" w:lineRule="auto"/>
        <w:ind w:firstLine="656"/>
        <w:rPr>
          <w:rFonts w:hint="eastAsia" w:ascii="仿宋_GB2312" w:hAnsi="仿宋_GB2312" w:eastAsia="仿宋_GB2312" w:cs="仿宋_GB2312"/>
          <w:spacing w:val="4"/>
          <w:szCs w:val="32"/>
        </w:rPr>
      </w:pPr>
      <w:r>
        <w:rPr>
          <w:rFonts w:hint="eastAsia" w:ascii="仿宋_GB2312" w:hAnsi="仿宋_GB2312" w:eastAsia="仿宋_GB2312" w:cs="仿宋_GB2312"/>
          <w:spacing w:val="4"/>
          <w:szCs w:val="32"/>
        </w:rPr>
        <w:t>2.作业前，应针对作业内容、环境、设备设施等变化情况进行风险辨识；作业中，发现风险预控措施失效时应及时报告，危及人身安全时，必须立即停止作业；</w:t>
      </w:r>
    </w:p>
    <w:p w14:paraId="5A5C7314">
      <w:pPr>
        <w:spacing w:line="360" w:lineRule="auto"/>
        <w:ind w:firstLine="656"/>
        <w:rPr>
          <w:rFonts w:hint="eastAsia" w:ascii="仿宋_GB2312" w:hAnsi="仿宋_GB2312" w:eastAsia="仿宋_GB2312" w:cs="仿宋_GB2312"/>
          <w:spacing w:val="4"/>
          <w:szCs w:val="32"/>
        </w:rPr>
      </w:pPr>
      <w:r>
        <w:rPr>
          <w:rFonts w:hint="eastAsia" w:ascii="仿宋_GB2312" w:hAnsi="仿宋_GB2312" w:eastAsia="仿宋_GB2312" w:cs="仿宋_GB2312"/>
          <w:spacing w:val="4"/>
          <w:szCs w:val="32"/>
        </w:rPr>
        <w:t>3.发现新的风险时，应立即报告。</w:t>
      </w:r>
    </w:p>
    <w:p w14:paraId="4F6E31A9">
      <w:pPr>
        <w:spacing w:line="360" w:lineRule="auto"/>
        <w:ind w:firstLine="656"/>
        <w:rPr>
          <w:rFonts w:hint="eastAsia" w:ascii="仿宋_GB2312" w:hAnsi="仿宋_GB2312" w:eastAsia="仿宋_GB2312" w:cs="仿宋_GB2312"/>
          <w:spacing w:val="4"/>
          <w:szCs w:val="32"/>
        </w:rPr>
      </w:pPr>
      <w:r>
        <w:rPr>
          <w:rFonts w:hint="eastAsia" w:ascii="仿宋_GB2312" w:hAnsi="仿宋_GB2312" w:eastAsia="仿宋_GB2312" w:cs="仿宋_GB2312"/>
          <w:spacing w:val="4"/>
          <w:szCs w:val="32"/>
        </w:rPr>
        <w:t>4.各生产岗位每班对作业涉及风险的安全措施落实及效果情况全面检查，留存检查记录。</w:t>
      </w:r>
    </w:p>
    <w:p w14:paraId="5E958381">
      <w:pPr>
        <w:pStyle w:val="5"/>
        <w:numPr>
          <w:ilvl w:val="0"/>
          <w:numId w:val="0"/>
        </w:numPr>
        <w:ind w:left="0" w:leftChars="0" w:firstLine="640" w:firstLineChars="200"/>
        <w:rPr>
          <w:rFonts w:hint="eastAsia" w:ascii="仿宋_GB2312" w:hAnsi="仿宋_GB2312" w:eastAsia="仿宋_GB2312" w:cs="仿宋_GB2312"/>
        </w:rPr>
      </w:pPr>
      <w:r>
        <w:rPr>
          <w:rFonts w:hint="eastAsia" w:ascii="仿宋_GB2312" w:hAnsi="仿宋_GB2312" w:eastAsia="仿宋_GB2312" w:cs="仿宋_GB2312"/>
          <w:kern w:val="2"/>
          <w:sz w:val="32"/>
          <w:lang w:val="en-US" w:eastAsia="zh-CN" w:bidi="ar-SA"/>
        </w:rPr>
        <w:t>（三）</w:t>
      </w:r>
      <w:r>
        <w:rPr>
          <w:rFonts w:hint="eastAsia" w:ascii="仿宋_GB2312" w:hAnsi="仿宋_GB2312" w:eastAsia="仿宋_GB2312" w:cs="仿宋_GB2312"/>
        </w:rPr>
        <w:t>班组级管控标准及要求</w:t>
      </w:r>
    </w:p>
    <w:p w14:paraId="166D69CB">
      <w:pPr>
        <w:spacing w:line="360" w:lineRule="auto"/>
        <w:ind w:firstLine="656"/>
        <w:rPr>
          <w:rFonts w:hint="eastAsia" w:ascii="仿宋_GB2312" w:hAnsi="仿宋_GB2312" w:eastAsia="仿宋_GB2312" w:cs="仿宋_GB2312"/>
          <w:spacing w:val="4"/>
          <w:szCs w:val="32"/>
        </w:rPr>
      </w:pPr>
      <w:r>
        <w:rPr>
          <w:rFonts w:hint="eastAsia" w:ascii="仿宋_GB2312" w:hAnsi="仿宋_GB2312" w:eastAsia="仿宋_GB2312" w:cs="仿宋_GB2312"/>
          <w:spacing w:val="4"/>
          <w:szCs w:val="32"/>
        </w:rPr>
        <w:t>1.应严格履行各岗位职责、作业标准和风险预控措施；作业中，发现预控失效的风险应及时整改、上报，危及人身安全时，须停止作业；</w:t>
      </w:r>
    </w:p>
    <w:p w14:paraId="2D55B5A4">
      <w:pPr>
        <w:spacing w:line="360" w:lineRule="auto"/>
        <w:ind w:firstLine="656"/>
        <w:rPr>
          <w:rFonts w:hint="eastAsia" w:ascii="仿宋_GB2312" w:hAnsi="仿宋_GB2312" w:eastAsia="仿宋_GB2312" w:cs="仿宋_GB2312"/>
          <w:spacing w:val="4"/>
          <w:szCs w:val="32"/>
        </w:rPr>
      </w:pPr>
      <w:r>
        <w:rPr>
          <w:rFonts w:hint="eastAsia" w:ascii="仿宋_GB2312" w:hAnsi="仿宋_GB2312" w:eastAsia="仿宋_GB2312" w:cs="仿宋_GB2312"/>
          <w:spacing w:val="4"/>
          <w:szCs w:val="32"/>
        </w:rPr>
        <w:t>2.班组长安排出工前应结合工作内容、特点和重点，对可能预控失效的风险进行明示，并提出针对性控制措施；</w:t>
      </w:r>
    </w:p>
    <w:p w14:paraId="59BDF56D">
      <w:pPr>
        <w:spacing w:line="360" w:lineRule="auto"/>
        <w:ind w:firstLine="656"/>
        <w:rPr>
          <w:rFonts w:hint="eastAsia" w:ascii="仿宋_GB2312" w:hAnsi="仿宋_GB2312" w:eastAsia="仿宋_GB2312" w:cs="仿宋_GB2312"/>
          <w:spacing w:val="4"/>
          <w:szCs w:val="32"/>
        </w:rPr>
      </w:pPr>
      <w:r>
        <w:rPr>
          <w:rFonts w:hint="eastAsia" w:ascii="仿宋_GB2312" w:hAnsi="仿宋_GB2312" w:eastAsia="仿宋_GB2312" w:cs="仿宋_GB2312"/>
          <w:spacing w:val="4"/>
          <w:szCs w:val="32"/>
        </w:rPr>
        <w:t>3.班组每周至少对作业涉及风险的安全措施落实及效果情况全面检查；</w:t>
      </w:r>
    </w:p>
    <w:p w14:paraId="394F84DB">
      <w:pPr>
        <w:spacing w:line="360" w:lineRule="auto"/>
        <w:ind w:firstLine="656"/>
        <w:rPr>
          <w:rFonts w:hint="eastAsia" w:ascii="仿宋_GB2312" w:hAnsi="仿宋_GB2312" w:eastAsia="仿宋_GB2312" w:cs="仿宋_GB2312"/>
          <w:spacing w:val="4"/>
          <w:szCs w:val="32"/>
        </w:rPr>
      </w:pPr>
      <w:r>
        <w:rPr>
          <w:rFonts w:hint="eastAsia" w:ascii="仿宋_GB2312" w:hAnsi="仿宋_GB2312" w:eastAsia="仿宋_GB2312" w:cs="仿宋_GB2312"/>
          <w:spacing w:val="4"/>
          <w:szCs w:val="32"/>
        </w:rPr>
        <w:t>4.对新增的风险应及时采取能够保证安全的预控措施，对新增的一般及以上风险等级的风险应立即报告。</w:t>
      </w:r>
    </w:p>
    <w:p w14:paraId="280BE669">
      <w:pPr>
        <w:pStyle w:val="5"/>
        <w:numPr>
          <w:ilvl w:val="0"/>
          <w:numId w:val="0"/>
        </w:numPr>
        <w:ind w:left="0" w:leftChars="0" w:firstLine="640" w:firstLineChars="200"/>
        <w:rPr>
          <w:rFonts w:hint="eastAsia" w:ascii="仿宋_GB2312" w:hAnsi="仿宋_GB2312" w:eastAsia="仿宋_GB2312" w:cs="仿宋_GB2312"/>
        </w:rPr>
      </w:pPr>
      <w:r>
        <w:rPr>
          <w:rFonts w:hint="eastAsia" w:ascii="仿宋_GB2312" w:hAnsi="仿宋_GB2312" w:eastAsia="仿宋_GB2312" w:cs="仿宋_GB2312"/>
          <w:kern w:val="2"/>
          <w:sz w:val="32"/>
          <w:lang w:val="en-US" w:eastAsia="zh-CN" w:bidi="ar-SA"/>
        </w:rPr>
        <w:t>（四）委外</w:t>
      </w:r>
      <w:r>
        <w:rPr>
          <w:rFonts w:hint="eastAsia" w:ascii="仿宋_GB2312" w:hAnsi="仿宋_GB2312" w:eastAsia="仿宋_GB2312" w:cs="仿宋_GB2312"/>
        </w:rPr>
        <w:t>、物业单位管控标准及要求</w:t>
      </w:r>
    </w:p>
    <w:p w14:paraId="2AC5AC46">
      <w:pPr>
        <w:spacing w:line="360" w:lineRule="auto"/>
        <w:ind w:firstLine="656"/>
        <w:rPr>
          <w:rFonts w:hint="eastAsia" w:ascii="仿宋_GB2312" w:hAnsi="仿宋_GB2312" w:eastAsia="仿宋_GB2312" w:cs="仿宋_GB2312"/>
          <w:spacing w:val="4"/>
          <w:szCs w:val="32"/>
        </w:rPr>
      </w:pPr>
      <w:r>
        <w:rPr>
          <w:rFonts w:hint="eastAsia" w:ascii="仿宋_GB2312" w:hAnsi="仿宋_GB2312" w:eastAsia="仿宋_GB2312" w:cs="仿宋_GB2312"/>
          <w:spacing w:val="4"/>
          <w:szCs w:val="32"/>
        </w:rPr>
        <w:t>1.对各等级风险进行管控，每月至少全面检查一次；</w:t>
      </w:r>
    </w:p>
    <w:p w14:paraId="3F6E5E0F">
      <w:pPr>
        <w:spacing w:line="360" w:lineRule="auto"/>
        <w:ind w:firstLine="656"/>
        <w:rPr>
          <w:rFonts w:hint="eastAsia" w:ascii="仿宋_GB2312" w:hAnsi="仿宋_GB2312" w:eastAsia="仿宋_GB2312" w:cs="仿宋_GB2312"/>
          <w:spacing w:val="4"/>
          <w:szCs w:val="32"/>
        </w:rPr>
      </w:pPr>
      <w:r>
        <w:rPr>
          <w:rFonts w:hint="eastAsia" w:ascii="仿宋_GB2312" w:hAnsi="仿宋_GB2312" w:eastAsia="仿宋_GB2312" w:cs="仿宋_GB2312"/>
          <w:spacing w:val="4"/>
          <w:szCs w:val="32"/>
        </w:rPr>
        <w:t>2.根据风险管控状况，对预控失效的共性或频发性风险，应及时采取专项整治措施，或提出预控措施修改建议；</w:t>
      </w:r>
    </w:p>
    <w:p w14:paraId="320F7F64">
      <w:pPr>
        <w:spacing w:line="360" w:lineRule="auto"/>
        <w:ind w:firstLine="656"/>
        <w:rPr>
          <w:rFonts w:hint="eastAsia" w:ascii="仿宋_GB2312" w:hAnsi="仿宋_GB2312" w:eastAsia="仿宋_GB2312" w:cs="仿宋_GB2312"/>
          <w:spacing w:val="4"/>
          <w:szCs w:val="32"/>
        </w:rPr>
      </w:pPr>
      <w:r>
        <w:rPr>
          <w:rFonts w:hint="eastAsia" w:ascii="仿宋_GB2312" w:hAnsi="仿宋_GB2312" w:eastAsia="仿宋_GB2312" w:cs="仿宋_GB2312"/>
          <w:spacing w:val="4"/>
          <w:szCs w:val="32"/>
        </w:rPr>
        <w:t>3.根据检查情况和设备运用状态，结合各类设备故障信息、事件分析结果，每月对风险管控状况进行分析、总结，并提出改进措施；</w:t>
      </w:r>
    </w:p>
    <w:p w14:paraId="314334F5">
      <w:pPr>
        <w:spacing w:line="360" w:lineRule="auto"/>
        <w:ind w:firstLine="656"/>
        <w:rPr>
          <w:rFonts w:hint="eastAsia" w:ascii="仿宋_GB2312" w:hAnsi="仿宋_GB2312" w:eastAsia="仿宋_GB2312" w:cs="仿宋_GB2312"/>
          <w:spacing w:val="4"/>
          <w:szCs w:val="32"/>
        </w:rPr>
      </w:pPr>
      <w:r>
        <w:rPr>
          <w:rFonts w:hint="eastAsia" w:ascii="仿宋_GB2312" w:hAnsi="仿宋_GB2312" w:eastAsia="仿宋_GB2312" w:cs="仿宋_GB2312"/>
          <w:spacing w:val="4"/>
          <w:szCs w:val="32"/>
        </w:rPr>
        <w:t>4.对新增的风险应及时采取能够保证安全的预控措施，并应立即报告公司主管部门。</w:t>
      </w:r>
    </w:p>
    <w:p w14:paraId="7751868D">
      <w:pPr>
        <w:pStyle w:val="5"/>
        <w:numPr>
          <w:ilvl w:val="0"/>
          <w:numId w:val="0"/>
        </w:numPr>
        <w:ind w:left="0" w:leftChars="0" w:firstLine="640" w:firstLineChars="200"/>
        <w:rPr>
          <w:rFonts w:hint="eastAsia" w:ascii="仿宋_GB2312" w:hAnsi="仿宋_GB2312" w:eastAsia="仿宋_GB2312" w:cs="仿宋_GB2312"/>
        </w:rPr>
      </w:pPr>
      <w:r>
        <w:rPr>
          <w:rFonts w:hint="eastAsia" w:ascii="仿宋_GB2312" w:hAnsi="仿宋_GB2312" w:eastAsia="仿宋_GB2312" w:cs="仿宋_GB2312"/>
          <w:kern w:val="2"/>
          <w:sz w:val="32"/>
          <w:lang w:val="en-US" w:eastAsia="zh-CN" w:bidi="ar-SA"/>
        </w:rPr>
        <w:t>（五）</w:t>
      </w:r>
      <w:r>
        <w:rPr>
          <w:rFonts w:hint="eastAsia" w:ascii="仿宋_GB2312" w:hAnsi="仿宋_GB2312" w:eastAsia="仿宋_GB2312" w:cs="仿宋_GB2312"/>
        </w:rPr>
        <w:t>公司级管控标准及要求</w:t>
      </w:r>
    </w:p>
    <w:p w14:paraId="40026C6B">
      <w:pPr>
        <w:spacing w:line="360" w:lineRule="auto"/>
        <w:ind w:firstLine="656"/>
        <w:rPr>
          <w:rFonts w:hint="eastAsia" w:ascii="仿宋_GB2312" w:hAnsi="仿宋_GB2312" w:eastAsia="仿宋_GB2312" w:cs="仿宋_GB2312"/>
          <w:spacing w:val="4"/>
          <w:szCs w:val="32"/>
        </w:rPr>
      </w:pPr>
      <w:r>
        <w:rPr>
          <w:rFonts w:hint="eastAsia" w:ascii="仿宋_GB2312" w:hAnsi="仿宋_GB2312" w:eastAsia="仿宋_GB2312" w:cs="仿宋_GB2312"/>
          <w:spacing w:val="4"/>
          <w:szCs w:val="32"/>
        </w:rPr>
        <w:t>1.对重大风险、较大风险等级的风险应重点管控，每月至少全面检查一次；</w:t>
      </w:r>
    </w:p>
    <w:p w14:paraId="0A4607C8">
      <w:pPr>
        <w:spacing w:line="360" w:lineRule="auto"/>
        <w:ind w:firstLine="656"/>
        <w:rPr>
          <w:rFonts w:hint="eastAsia" w:ascii="仿宋_GB2312" w:hAnsi="仿宋_GB2312" w:eastAsia="仿宋_GB2312" w:cs="仿宋_GB2312"/>
          <w:spacing w:val="4"/>
          <w:szCs w:val="32"/>
        </w:rPr>
      </w:pPr>
      <w:r>
        <w:rPr>
          <w:rFonts w:hint="eastAsia" w:ascii="仿宋_GB2312" w:hAnsi="仿宋_GB2312" w:eastAsia="仿宋_GB2312" w:cs="仿宋_GB2312"/>
          <w:spacing w:val="4"/>
          <w:szCs w:val="32"/>
        </w:rPr>
        <w:t>2.对各单位风险辨识、风险评估及风险管控情况进行随机抽查；</w:t>
      </w:r>
    </w:p>
    <w:p w14:paraId="5B50D407">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after="400" w:line="560" w:lineRule="exact"/>
        <w:ind w:left="0" w:leftChars="0" w:firstLine="656" w:firstLineChars="200"/>
        <w:textAlignment w:val="auto"/>
        <w:rPr>
          <w:rFonts w:hint="eastAsia" w:ascii="仿宋_GB2312" w:hAnsi="仿宋_GB2312" w:eastAsia="仿宋_GB2312" w:cs="仿宋_GB2312"/>
          <w:spacing w:val="4"/>
          <w:szCs w:val="32"/>
        </w:rPr>
      </w:pPr>
      <w:r>
        <w:rPr>
          <w:rFonts w:hint="eastAsia" w:ascii="仿宋_GB2312" w:hAnsi="仿宋_GB2312" w:eastAsia="仿宋_GB2312" w:cs="仿宋_GB2312"/>
          <w:spacing w:val="4"/>
          <w:szCs w:val="32"/>
        </w:rPr>
        <w:t>3.各部门及</w:t>
      </w:r>
      <w:r>
        <w:rPr>
          <w:rFonts w:hint="eastAsia" w:ascii="仿宋_GB2312" w:hAnsi="仿宋_GB2312" w:cs="仿宋_GB2312"/>
          <w:spacing w:val="4"/>
          <w:szCs w:val="32"/>
          <w:lang w:val="en-US" w:eastAsia="zh-CN"/>
        </w:rPr>
        <w:t>委外</w:t>
      </w:r>
      <w:r>
        <w:rPr>
          <w:rFonts w:hint="eastAsia" w:ascii="仿宋_GB2312" w:hAnsi="仿宋_GB2312" w:eastAsia="仿宋_GB2312" w:cs="仿宋_GB2312"/>
          <w:spacing w:val="4"/>
          <w:szCs w:val="32"/>
        </w:rPr>
        <w:t>单位每年将风险辨识和风险评估结果报</w:t>
      </w:r>
      <w:r>
        <w:rPr>
          <w:rFonts w:hint="eastAsia" w:ascii="仿宋_GB2312" w:hAnsi="仿宋_GB2312" w:eastAsia="仿宋_GB2312" w:cs="仿宋_GB2312"/>
          <w:spacing w:val="4"/>
          <w:szCs w:val="32"/>
          <w:lang w:eastAsia="zh-CN"/>
        </w:rPr>
        <w:t>安全环保监察部</w:t>
      </w:r>
      <w:r>
        <w:rPr>
          <w:rFonts w:hint="eastAsia" w:ascii="仿宋_GB2312" w:hAnsi="仿宋_GB2312" w:eastAsia="仿宋_GB2312" w:cs="仿宋_GB2312"/>
          <w:spacing w:val="4"/>
          <w:szCs w:val="32"/>
        </w:rPr>
        <w:t>，汇编形成《</w:t>
      </w:r>
      <w:r>
        <w:rPr>
          <w:rFonts w:hint="eastAsia" w:ascii="仿宋_GB2312" w:hAnsi="仿宋_GB2312" w:eastAsia="仿宋_GB2312" w:cs="仿宋_GB2312"/>
          <w:spacing w:val="4"/>
          <w:szCs w:val="32"/>
          <w:lang w:eastAsia="zh-CN"/>
        </w:rPr>
        <w:t>中铁物总供应链科技（山东）</w:t>
      </w:r>
      <w:r>
        <w:rPr>
          <w:rFonts w:hint="eastAsia" w:ascii="仿宋_GB2312" w:hAnsi="仿宋_GB2312" w:eastAsia="仿宋_GB2312" w:cs="仿宋_GB2312"/>
          <w:spacing w:val="4"/>
          <w:szCs w:val="32"/>
        </w:rPr>
        <w:t>有限公司风险预控</w:t>
      </w:r>
      <w:r>
        <w:rPr>
          <w:rFonts w:hint="eastAsia" w:ascii="仿宋_GB2312" w:hAnsi="仿宋_GB2312" w:eastAsia="仿宋_GB2312" w:cs="仿宋_GB2312"/>
        </w:rPr>
        <w:t>管理</w:t>
      </w:r>
      <w:r>
        <w:rPr>
          <w:rFonts w:hint="eastAsia" w:ascii="仿宋_GB2312" w:hAnsi="仿宋_GB2312" w:eastAsia="仿宋_GB2312" w:cs="仿宋_GB2312"/>
          <w:spacing w:val="4"/>
          <w:szCs w:val="32"/>
        </w:rPr>
        <w:t>手册》。</w:t>
      </w:r>
    </w:p>
    <w:p w14:paraId="0097C532">
      <w:pPr>
        <w:numPr>
          <w:ilvl w:val="0"/>
          <w:numId w:val="0"/>
        </w:numPr>
        <w:tabs>
          <w:tab w:val="left" w:pos="0"/>
        </w:tabs>
        <w:spacing w:line="560" w:lineRule="exact"/>
        <w:ind w:firstLine="640" w:firstLineChars="200"/>
        <w:rPr>
          <w:szCs w:val="32"/>
        </w:rPr>
      </w:pPr>
      <w:r>
        <w:rPr>
          <w:rFonts w:hint="eastAsia" w:ascii="黑体" w:hAnsi="黑体" w:eastAsia="黑体" w:cs="黑体"/>
          <w:b w:val="0"/>
          <w:bCs w:val="0"/>
          <w:kern w:val="2"/>
          <w:sz w:val="32"/>
          <w:szCs w:val="32"/>
          <w:lang w:val="en-US" w:eastAsia="zh-CN" w:bidi="ar-SA"/>
        </w:rPr>
        <w:t xml:space="preserve">第二十四条 </w:t>
      </w:r>
      <w:r>
        <w:rPr>
          <w:szCs w:val="32"/>
        </w:rPr>
        <w:t>风险库</w:t>
      </w:r>
    </w:p>
    <w:p w14:paraId="20C8A0DB">
      <w:pPr>
        <w:numPr>
          <w:ilvl w:val="0"/>
          <w:numId w:val="0"/>
        </w:numPr>
        <w:tabs>
          <w:tab w:val="left" w:pos="0"/>
        </w:tabs>
        <w:spacing w:line="560" w:lineRule="exact"/>
        <w:ind w:firstLine="640" w:firstLineChars="200"/>
        <w:rPr>
          <w:szCs w:val="32"/>
        </w:rPr>
      </w:pPr>
      <w:r>
        <w:rPr>
          <w:szCs w:val="32"/>
        </w:rPr>
        <w:t>风险库是风险日常管理和风险研判基础数据的管理手段，实施专人负责，动态维护。</w:t>
      </w:r>
    </w:p>
    <w:p w14:paraId="32FEE5EE">
      <w:pPr>
        <w:numPr>
          <w:ilvl w:val="0"/>
          <w:numId w:val="6"/>
        </w:numPr>
        <w:ind w:left="0" w:leftChars="0" w:firstLine="640" w:firstLineChars="200"/>
        <w:rPr>
          <w:rStyle w:val="19"/>
          <w:rFonts w:hint="eastAsia" w:ascii="仿宋_GB2312" w:hAnsi="仿宋_GB2312" w:eastAsia="仿宋_GB2312" w:cs="仿宋_GB2312"/>
        </w:rPr>
      </w:pPr>
      <w:r>
        <w:rPr>
          <w:rStyle w:val="19"/>
          <w:rFonts w:hint="eastAsia" w:ascii="仿宋_GB2312" w:hAnsi="仿宋_GB2312" w:eastAsia="仿宋_GB2312" w:cs="仿宋_GB2312"/>
        </w:rPr>
        <w:t>风险库管理</w:t>
      </w:r>
    </w:p>
    <w:p w14:paraId="167F4927">
      <w:pPr>
        <w:numPr>
          <w:ilvl w:val="-1"/>
          <w:numId w:val="0"/>
        </w:numPr>
        <w:ind w:left="640" w:leftChars="200" w:firstLine="0" w:firstLineChars="0"/>
        <w:rPr>
          <w:rFonts w:hint="eastAsia" w:ascii="仿宋_GB2312" w:hAnsi="仿宋_GB2312" w:eastAsia="仿宋_GB2312" w:cs="仿宋_GB2312"/>
        </w:rPr>
      </w:pPr>
      <w:r>
        <w:rPr>
          <w:rFonts w:hint="eastAsia" w:ascii="仿宋_GB2312" w:hAnsi="仿宋_GB2312" w:eastAsia="仿宋_GB2312" w:cs="仿宋_GB2312"/>
        </w:rPr>
        <w:t>公司、</w:t>
      </w:r>
      <w:r>
        <w:rPr>
          <w:rFonts w:hint="eastAsia" w:ascii="仿宋_GB2312" w:hAnsi="仿宋_GB2312" w:cs="仿宋_GB2312"/>
          <w:lang w:val="en-US" w:eastAsia="zh-CN"/>
        </w:rPr>
        <w:t>委外</w:t>
      </w:r>
      <w:r>
        <w:rPr>
          <w:rFonts w:hint="eastAsia" w:ascii="仿宋_GB2312" w:hAnsi="仿宋_GB2312" w:eastAsia="仿宋_GB2312" w:cs="仿宋_GB2312"/>
        </w:rPr>
        <w:t>单位、物业单位、班组应分别建立风险库。</w:t>
      </w:r>
    </w:p>
    <w:p w14:paraId="6B803D09">
      <w:pPr>
        <w:spacing w:line="560" w:lineRule="exact"/>
        <w:ind w:firstLine="640"/>
        <w:rPr>
          <w:rFonts w:hint="eastAsia" w:ascii="仿宋_GB2312" w:hAnsi="仿宋_GB2312" w:eastAsia="仿宋_GB2312" w:cs="仿宋_GB2312"/>
          <w:szCs w:val="32"/>
        </w:rPr>
      </w:pPr>
      <w:r>
        <w:rPr>
          <w:rFonts w:hint="eastAsia" w:ascii="仿宋_GB2312" w:hAnsi="仿宋_GB2312" w:eastAsia="仿宋_GB2312" w:cs="仿宋_GB2312"/>
          <w:szCs w:val="32"/>
        </w:rPr>
        <w:t>1. 公司、</w:t>
      </w:r>
      <w:r>
        <w:rPr>
          <w:rFonts w:hint="eastAsia" w:ascii="仿宋_GB2312" w:hAnsi="仿宋_GB2312" w:cs="仿宋_GB2312"/>
          <w:szCs w:val="32"/>
          <w:lang w:val="en-US" w:eastAsia="zh-CN"/>
        </w:rPr>
        <w:t>委外</w:t>
      </w:r>
      <w:r>
        <w:rPr>
          <w:rFonts w:hint="eastAsia" w:ascii="仿宋_GB2312" w:hAnsi="仿宋_GB2312" w:eastAsia="仿宋_GB2312" w:cs="仿宋_GB2312"/>
          <w:color w:val="000000"/>
        </w:rPr>
        <w:t>单位、</w:t>
      </w:r>
      <w:r>
        <w:rPr>
          <w:rFonts w:hint="eastAsia" w:ascii="仿宋_GB2312" w:hAnsi="仿宋_GB2312" w:eastAsia="仿宋_GB2312" w:cs="仿宋_GB2312"/>
          <w:szCs w:val="32"/>
        </w:rPr>
        <w:t>物业单位、班组应将管理范围内的重大、较大、一般、低安全风险纳入本级风险库实施管理。</w:t>
      </w:r>
    </w:p>
    <w:p w14:paraId="4693858A">
      <w:pPr>
        <w:spacing w:line="560" w:lineRule="exact"/>
        <w:ind w:firstLine="640"/>
        <w:rPr>
          <w:rFonts w:hint="eastAsia" w:ascii="仿宋_GB2312" w:hAnsi="仿宋_GB2312" w:eastAsia="仿宋_GB2312" w:cs="仿宋_GB2312"/>
          <w:szCs w:val="32"/>
        </w:rPr>
      </w:pPr>
      <w:r>
        <w:rPr>
          <w:rFonts w:hint="eastAsia" w:ascii="仿宋_GB2312" w:hAnsi="仿宋_GB2312" w:eastAsia="仿宋_GB2312" w:cs="仿宋_GB2312"/>
          <w:szCs w:val="32"/>
        </w:rPr>
        <w:t>2. 下级风险库应承接但不仅限于上级风险库确定的风险，可有针对性地外延本层级风险。</w:t>
      </w:r>
    </w:p>
    <w:p w14:paraId="0E65EA63">
      <w:pPr>
        <w:spacing w:line="560" w:lineRule="exact"/>
        <w:ind w:firstLine="640"/>
        <w:rPr>
          <w:rFonts w:hint="eastAsia" w:ascii="仿宋_GB2312" w:hAnsi="仿宋_GB2312" w:eastAsia="仿宋_GB2312" w:cs="仿宋_GB2312"/>
          <w:szCs w:val="32"/>
        </w:rPr>
      </w:pPr>
      <w:r>
        <w:rPr>
          <w:rStyle w:val="19"/>
          <w:rFonts w:hint="eastAsia" w:ascii="仿宋_GB2312" w:hAnsi="仿宋_GB2312" w:eastAsia="仿宋_GB2312" w:cs="仿宋_GB2312"/>
        </w:rPr>
        <w:t>（二）风险库的内容。</w:t>
      </w:r>
      <w:r>
        <w:rPr>
          <w:rFonts w:hint="eastAsia" w:ascii="仿宋_GB2312" w:hAnsi="仿宋_GB2312" w:eastAsia="仿宋_GB2312" w:cs="仿宋_GB2312"/>
          <w:szCs w:val="32"/>
        </w:rPr>
        <w:t>应根据风险研判、管控、评价等需求确定，主要有：风险类别、风险编号、风险名称、风险描述、可能造成的后果、风险等级、所在作业环节、风险地点，岗位控制措施、控制人，管控措施、管控</w:t>
      </w:r>
      <w:r>
        <w:rPr>
          <w:rFonts w:hint="eastAsia" w:ascii="仿宋_GB2312" w:hAnsi="仿宋_GB2312" w:eastAsia="仿宋_GB2312" w:cs="仿宋_GB2312"/>
          <w:kern w:val="0"/>
          <w:szCs w:val="32"/>
        </w:rPr>
        <w:t>责任部门（单位）</w:t>
      </w:r>
      <w:r>
        <w:rPr>
          <w:rFonts w:hint="eastAsia" w:ascii="仿宋_GB2312" w:hAnsi="仿宋_GB2312" w:eastAsia="仿宋_GB2312" w:cs="仿宋_GB2312"/>
          <w:szCs w:val="32"/>
        </w:rPr>
        <w:t>、管控</w:t>
      </w:r>
      <w:r>
        <w:rPr>
          <w:rFonts w:hint="eastAsia" w:ascii="仿宋_GB2312" w:hAnsi="仿宋_GB2312" w:eastAsia="仿宋_GB2312" w:cs="仿宋_GB2312"/>
          <w:kern w:val="0"/>
          <w:szCs w:val="32"/>
        </w:rPr>
        <w:t>责任人、评价结论</w:t>
      </w:r>
      <w:r>
        <w:rPr>
          <w:rFonts w:hint="eastAsia" w:ascii="仿宋_GB2312" w:hAnsi="仿宋_GB2312" w:eastAsia="仿宋_GB2312" w:cs="仿宋_GB2312"/>
          <w:szCs w:val="32"/>
        </w:rPr>
        <w:t>等内容。</w:t>
      </w:r>
    </w:p>
    <w:p w14:paraId="5EC660CA">
      <w:pPr>
        <w:keepNext w:val="0"/>
        <w:keepLines w:val="0"/>
        <w:pageBreakBefore w:val="0"/>
        <w:widowControl w:val="0"/>
        <w:kinsoku/>
        <w:wordWrap/>
        <w:overflowPunct/>
        <w:topLinePunct w:val="0"/>
        <w:autoSpaceDE/>
        <w:autoSpaceDN/>
        <w:bidi w:val="0"/>
        <w:adjustRightInd/>
        <w:snapToGrid/>
        <w:spacing w:after="400" w:line="560" w:lineRule="exact"/>
        <w:ind w:firstLine="640"/>
        <w:textAlignment w:val="auto"/>
        <w:rPr>
          <w:rFonts w:hint="eastAsia" w:ascii="仿宋_GB2312" w:hAnsi="仿宋_GB2312" w:eastAsia="仿宋_GB2312" w:cs="仿宋_GB2312"/>
          <w:szCs w:val="32"/>
        </w:rPr>
      </w:pPr>
      <w:r>
        <w:rPr>
          <w:rStyle w:val="19"/>
          <w:rFonts w:hint="eastAsia" w:ascii="仿宋_GB2312" w:hAnsi="仿宋_GB2312" w:eastAsia="仿宋_GB2312" w:cs="仿宋_GB2312"/>
        </w:rPr>
        <w:t>（三）风险库维护。</w:t>
      </w:r>
      <w:r>
        <w:rPr>
          <w:rFonts w:hint="eastAsia" w:ascii="仿宋_GB2312" w:hAnsi="仿宋_GB2312" w:eastAsia="仿宋_GB2312" w:cs="仿宋_GB2312"/>
          <w:szCs w:val="32"/>
        </w:rPr>
        <w:t>公司</w:t>
      </w:r>
      <w:r>
        <w:rPr>
          <w:rFonts w:hint="eastAsia" w:ascii="仿宋_GB2312" w:hAnsi="仿宋_GB2312" w:eastAsia="仿宋_GB2312" w:cs="仿宋_GB2312"/>
          <w:szCs w:val="32"/>
          <w:lang w:eastAsia="zh-CN"/>
        </w:rPr>
        <w:t>安全环保监察部</w:t>
      </w:r>
      <w:r>
        <w:rPr>
          <w:rFonts w:hint="eastAsia" w:ascii="仿宋_GB2312" w:hAnsi="仿宋_GB2312" w:eastAsia="仿宋_GB2312" w:cs="仿宋_GB2312"/>
          <w:szCs w:val="32"/>
        </w:rPr>
        <w:t>负责风险库的公布和动态管理。每次风险辨识研判结束后，</w:t>
      </w:r>
      <w:r>
        <w:rPr>
          <w:rFonts w:hint="eastAsia" w:ascii="仿宋_GB2312" w:hAnsi="仿宋_GB2312" w:cs="仿宋_GB2312"/>
          <w:szCs w:val="32"/>
          <w:lang w:val="en-US" w:eastAsia="zh-CN"/>
        </w:rPr>
        <w:t>委外</w:t>
      </w:r>
      <w:r>
        <w:rPr>
          <w:rFonts w:hint="eastAsia" w:ascii="仿宋_GB2312" w:hAnsi="仿宋_GB2312" w:eastAsia="仿宋_GB2312" w:cs="仿宋_GB2312"/>
        </w:rPr>
        <w:t>单位、</w:t>
      </w:r>
      <w:r>
        <w:rPr>
          <w:rFonts w:hint="eastAsia" w:ascii="仿宋_GB2312" w:hAnsi="仿宋_GB2312" w:eastAsia="仿宋_GB2312" w:cs="仿宋_GB2312"/>
          <w:szCs w:val="32"/>
        </w:rPr>
        <w:t>物业单位、班组要及时更新本层级风险库。各层级对安全风险数量、管控措施修订较多时，应及时重新公布。每月对新增风险及时纳入风险库。</w:t>
      </w:r>
    </w:p>
    <w:p w14:paraId="0DE6100E">
      <w:pPr>
        <w:numPr>
          <w:ilvl w:val="0"/>
          <w:numId w:val="0"/>
        </w:numPr>
        <w:tabs>
          <w:tab w:val="left" w:pos="0"/>
        </w:tabs>
        <w:adjustRightInd w:val="0"/>
        <w:snapToGrid w:val="0"/>
        <w:spacing w:line="560" w:lineRule="exact"/>
        <w:ind w:firstLine="640" w:firstLineChars="200"/>
        <w:rPr>
          <w:szCs w:val="32"/>
        </w:rPr>
      </w:pPr>
      <w:r>
        <w:rPr>
          <w:rFonts w:hint="eastAsia" w:ascii="黑体" w:hAnsi="黑体" w:eastAsia="黑体" w:cs="黑体"/>
          <w:b w:val="0"/>
          <w:bCs w:val="0"/>
          <w:kern w:val="2"/>
          <w:sz w:val="32"/>
          <w:szCs w:val="32"/>
          <w:lang w:val="en-US" w:eastAsia="zh-CN" w:bidi="ar-SA"/>
        </w:rPr>
        <w:t xml:space="preserve">第二十五条 </w:t>
      </w:r>
      <w:r>
        <w:rPr>
          <w:szCs w:val="32"/>
        </w:rPr>
        <w:t>公告警示风险。</w:t>
      </w:r>
    </w:p>
    <w:p w14:paraId="5F13AD83">
      <w:pPr>
        <w:numPr>
          <w:ilvl w:val="0"/>
          <w:numId w:val="0"/>
        </w:numPr>
        <w:adjustRightInd w:val="0"/>
        <w:snapToGrid w:val="0"/>
        <w:spacing w:line="560" w:lineRule="exact"/>
        <w:ind w:firstLine="640" w:firstLineChars="200"/>
        <w:rPr>
          <w:szCs w:val="32"/>
        </w:rPr>
      </w:pPr>
      <w:r>
        <w:rPr>
          <w:rFonts w:hint="eastAsia" w:ascii="Times New Roman" w:hAnsi="Times New Roman" w:eastAsia="仿宋_GB2312" w:cs="Times New Roman"/>
          <w:kern w:val="2"/>
          <w:sz w:val="32"/>
          <w:szCs w:val="32"/>
          <w:lang w:val="en-US" w:eastAsia="zh-CN" w:bidi="ar-SA"/>
        </w:rPr>
        <w:t>（一）</w:t>
      </w:r>
      <w:r>
        <w:rPr>
          <w:szCs w:val="32"/>
        </w:rPr>
        <w:t>每年末，各部门</w:t>
      </w:r>
      <w:r>
        <w:rPr>
          <w:rFonts w:hint="eastAsia"/>
          <w:szCs w:val="32"/>
        </w:rPr>
        <w:t>、</w:t>
      </w:r>
      <w:r>
        <w:rPr>
          <w:rFonts w:hint="eastAsia"/>
          <w:szCs w:val="32"/>
          <w:lang w:val="en-US" w:eastAsia="zh-CN"/>
        </w:rPr>
        <w:t>委外</w:t>
      </w:r>
      <w:r>
        <w:rPr>
          <w:rFonts w:hint="eastAsia"/>
          <w:szCs w:val="32"/>
        </w:rPr>
        <w:t>单位</w:t>
      </w:r>
      <w:r>
        <w:rPr>
          <w:szCs w:val="32"/>
        </w:rPr>
        <w:t>确定次年度风险库后，</w:t>
      </w:r>
      <w:r>
        <w:rPr>
          <w:rFonts w:hint="eastAsia"/>
          <w:szCs w:val="32"/>
        </w:rPr>
        <w:t>公司</w:t>
      </w:r>
      <w:r>
        <w:rPr>
          <w:rFonts w:hint="eastAsia"/>
          <w:szCs w:val="32"/>
          <w:lang w:eastAsia="zh-CN"/>
        </w:rPr>
        <w:t>安全环保监察部</w:t>
      </w:r>
      <w:r>
        <w:rPr>
          <w:szCs w:val="32"/>
        </w:rPr>
        <w:t>汇总行文公布。</w:t>
      </w:r>
    </w:p>
    <w:p w14:paraId="4A8C0CBD">
      <w:pPr>
        <w:numPr>
          <w:ilvl w:val="0"/>
          <w:numId w:val="0"/>
        </w:numPr>
        <w:adjustRightInd w:val="0"/>
        <w:snapToGrid w:val="0"/>
        <w:spacing w:line="560" w:lineRule="exact"/>
        <w:ind w:firstLine="640" w:firstLineChars="200"/>
        <w:rPr>
          <w:szCs w:val="32"/>
        </w:rPr>
      </w:pPr>
      <w:r>
        <w:rPr>
          <w:rFonts w:hint="eastAsia" w:ascii="Times New Roman" w:hAnsi="Times New Roman" w:eastAsia="仿宋_GB2312" w:cs="Times New Roman"/>
          <w:kern w:val="2"/>
          <w:sz w:val="32"/>
          <w:szCs w:val="32"/>
          <w:lang w:val="en-US" w:eastAsia="zh-CN" w:bidi="ar-SA"/>
        </w:rPr>
        <w:t>（二）</w:t>
      </w:r>
      <w:r>
        <w:rPr>
          <w:rFonts w:hint="eastAsia"/>
          <w:szCs w:val="32"/>
        </w:rPr>
        <w:t>公司</w:t>
      </w:r>
      <w:r>
        <w:rPr>
          <w:szCs w:val="32"/>
        </w:rPr>
        <w:t>、</w:t>
      </w:r>
      <w:r>
        <w:rPr>
          <w:rFonts w:hint="eastAsia"/>
          <w:szCs w:val="32"/>
          <w:lang w:eastAsia="zh-CN"/>
        </w:rPr>
        <w:t>委外单位</w:t>
      </w:r>
      <w:r>
        <w:rPr>
          <w:rFonts w:hint="eastAsia"/>
          <w:szCs w:val="32"/>
        </w:rPr>
        <w:t>、物业单位</w:t>
      </w:r>
      <w:r>
        <w:rPr>
          <w:szCs w:val="32"/>
        </w:rPr>
        <w:t>、班组应通过公告栏、办公网络和岗位告知卡等各种有效手段，明示作业岗位存在的主要安全风险、风险描述及危害程度、管控措施、应急处置等内容</w:t>
      </w:r>
      <w:r>
        <w:rPr>
          <w:rFonts w:hint="eastAsia"/>
          <w:szCs w:val="32"/>
        </w:rPr>
        <w:t>（见附件3）</w:t>
      </w:r>
      <w:r>
        <w:rPr>
          <w:szCs w:val="32"/>
        </w:rPr>
        <w:t>。</w:t>
      </w:r>
    </w:p>
    <w:p w14:paraId="6FCF51D4">
      <w:pPr>
        <w:keepNext w:val="0"/>
        <w:keepLines w:val="0"/>
        <w:pageBreakBefore w:val="0"/>
        <w:widowControl w:val="0"/>
        <w:kinsoku/>
        <w:wordWrap/>
        <w:overflowPunct/>
        <w:topLinePunct w:val="0"/>
        <w:autoSpaceDE/>
        <w:autoSpaceDN/>
        <w:bidi w:val="0"/>
        <w:adjustRightInd w:val="0"/>
        <w:snapToGrid w:val="0"/>
        <w:spacing w:after="400" w:line="560" w:lineRule="exact"/>
        <w:ind w:firstLine="640"/>
        <w:textAlignment w:val="auto"/>
        <w:rPr>
          <w:szCs w:val="32"/>
        </w:rPr>
      </w:pPr>
      <w:r>
        <w:rPr>
          <w:szCs w:val="32"/>
        </w:rPr>
        <w:t>（三）在铁路平过道、通道门、作业门、</w:t>
      </w:r>
      <w:r>
        <w:rPr>
          <w:rFonts w:hint="eastAsia"/>
          <w:szCs w:val="32"/>
        </w:rPr>
        <w:t>重点作业区域</w:t>
      </w:r>
      <w:r>
        <w:rPr>
          <w:szCs w:val="32"/>
        </w:rPr>
        <w:t>、电梯、危险化学品储藏场所、重点防火区域等重点部位，存在重大安全风险的工作场所和岗位，要设置明显的警示标志或安全风险公告栏</w:t>
      </w:r>
      <w:r>
        <w:rPr>
          <w:rFonts w:hint="eastAsia"/>
          <w:szCs w:val="32"/>
        </w:rPr>
        <w:t>（见附件3）</w:t>
      </w:r>
      <w:r>
        <w:rPr>
          <w:szCs w:val="32"/>
        </w:rPr>
        <w:t>。</w:t>
      </w:r>
    </w:p>
    <w:p w14:paraId="788925EA">
      <w:pPr>
        <w:numPr>
          <w:ilvl w:val="0"/>
          <w:numId w:val="0"/>
        </w:numPr>
        <w:tabs>
          <w:tab w:val="left" w:pos="0"/>
        </w:tabs>
        <w:adjustRightInd w:val="0"/>
        <w:snapToGrid w:val="0"/>
        <w:spacing w:line="560" w:lineRule="exact"/>
        <w:ind w:firstLine="640" w:firstLineChars="200"/>
        <w:rPr>
          <w:bCs/>
          <w:szCs w:val="32"/>
        </w:rPr>
      </w:pPr>
      <w:r>
        <w:rPr>
          <w:rFonts w:hint="eastAsia" w:ascii="黑体" w:hAnsi="黑体" w:eastAsia="黑体" w:cs="黑体"/>
          <w:b w:val="0"/>
          <w:bCs w:val="0"/>
          <w:kern w:val="2"/>
          <w:sz w:val="32"/>
          <w:szCs w:val="32"/>
          <w:lang w:val="en-US" w:eastAsia="zh-CN" w:bidi="ar-SA"/>
        </w:rPr>
        <w:t xml:space="preserve">第二十六条 </w:t>
      </w:r>
      <w:r>
        <w:rPr>
          <w:bCs/>
          <w:szCs w:val="32"/>
        </w:rPr>
        <w:t>风险预警。</w:t>
      </w:r>
    </w:p>
    <w:p w14:paraId="68FCC61A">
      <w:pPr>
        <w:adjustRightInd w:val="0"/>
        <w:snapToGrid w:val="0"/>
        <w:spacing w:line="560" w:lineRule="exact"/>
        <w:ind w:firstLine="640"/>
        <w:rPr>
          <w:kern w:val="0"/>
          <w:szCs w:val="32"/>
        </w:rPr>
      </w:pPr>
      <w:r>
        <w:rPr>
          <w:bCs/>
          <w:szCs w:val="32"/>
        </w:rPr>
        <w:t>（一）</w:t>
      </w:r>
      <w:r>
        <w:rPr>
          <w:rFonts w:hint="eastAsia"/>
          <w:bCs/>
          <w:color w:val="000000"/>
          <w:szCs w:val="32"/>
        </w:rPr>
        <w:t>公司各</w:t>
      </w:r>
      <w:r>
        <w:rPr>
          <w:bCs/>
          <w:color w:val="000000"/>
          <w:szCs w:val="32"/>
        </w:rPr>
        <w:t>部门</w:t>
      </w:r>
      <w:r>
        <w:rPr>
          <w:rFonts w:hint="eastAsia"/>
          <w:bCs/>
          <w:szCs w:val="32"/>
        </w:rPr>
        <w:t>、各单位</w:t>
      </w:r>
      <w:r>
        <w:rPr>
          <w:bCs/>
          <w:color w:val="000000"/>
          <w:szCs w:val="32"/>
        </w:rPr>
        <w:t>要</w:t>
      </w:r>
      <w:r>
        <w:rPr>
          <w:color w:val="000000"/>
          <w:szCs w:val="32"/>
        </w:rPr>
        <w:t>准</w:t>
      </w:r>
      <w:r>
        <w:rPr>
          <w:szCs w:val="32"/>
        </w:rPr>
        <w:t>确把握安全趋势，及时对风险进行分析、评估，</w:t>
      </w:r>
      <w:r>
        <w:rPr>
          <w:bCs/>
          <w:szCs w:val="32"/>
        </w:rPr>
        <w:t>对风险变化转移或风险管控效果不好、安全问题凸显，有可能导致事故发生的，按照</w:t>
      </w:r>
      <w:r>
        <w:rPr>
          <w:szCs w:val="32"/>
        </w:rPr>
        <w:t>红色、橙色、黄色、蓝色预警四个</w:t>
      </w:r>
      <w:r>
        <w:rPr>
          <w:bCs/>
          <w:szCs w:val="32"/>
        </w:rPr>
        <w:t>等级</w:t>
      </w:r>
      <w:r>
        <w:rPr>
          <w:szCs w:val="32"/>
        </w:rPr>
        <w:t>实施风险预警。对</w:t>
      </w:r>
      <w:r>
        <w:rPr>
          <w:rFonts w:hint="eastAsia"/>
          <w:szCs w:val="32"/>
        </w:rPr>
        <w:t>各</w:t>
      </w:r>
      <w:r>
        <w:rPr>
          <w:rFonts w:hint="eastAsia"/>
          <w:szCs w:val="32"/>
          <w:lang w:eastAsia="zh-CN"/>
        </w:rPr>
        <w:t>委外单位</w:t>
      </w:r>
      <w:r>
        <w:rPr>
          <w:szCs w:val="32"/>
        </w:rPr>
        <w:t>以风险预警通知书的形式启动风险预警，明示存在的风险、等级、可能导致的危害，提出加强风险管控的要求和时限</w:t>
      </w:r>
      <w:r>
        <w:rPr>
          <w:kern w:val="0"/>
          <w:szCs w:val="32"/>
        </w:rPr>
        <w:t>。</w:t>
      </w:r>
    </w:p>
    <w:p w14:paraId="20DE5E45">
      <w:pPr>
        <w:adjustRightInd w:val="0"/>
        <w:snapToGrid w:val="0"/>
        <w:spacing w:line="560" w:lineRule="exact"/>
        <w:ind w:firstLine="640"/>
        <w:rPr>
          <w:color w:val="000000"/>
          <w:kern w:val="0"/>
          <w:szCs w:val="32"/>
        </w:rPr>
      </w:pPr>
      <w:r>
        <w:rPr>
          <w:kern w:val="0"/>
          <w:szCs w:val="32"/>
        </w:rPr>
        <w:t>（二）被预警</w:t>
      </w:r>
      <w:r>
        <w:rPr>
          <w:rFonts w:hint="eastAsia"/>
          <w:szCs w:val="32"/>
        </w:rPr>
        <w:t>单位或班组</w:t>
      </w:r>
      <w:r>
        <w:rPr>
          <w:kern w:val="0"/>
          <w:szCs w:val="32"/>
        </w:rPr>
        <w:t>针对预警内容，排查风险管控疏漏和薄弱环节，有针对性地补强和完善风险管控措施</w:t>
      </w:r>
      <w:r>
        <w:rPr>
          <w:color w:val="000000"/>
          <w:kern w:val="0"/>
          <w:szCs w:val="32"/>
        </w:rPr>
        <w:t>。接到上级预警通知书时，</w:t>
      </w:r>
      <w:r>
        <w:rPr>
          <w:rFonts w:hint="eastAsia"/>
          <w:color w:val="000000"/>
          <w:kern w:val="0"/>
          <w:szCs w:val="32"/>
        </w:rPr>
        <w:t>公司</w:t>
      </w:r>
      <w:r>
        <w:rPr>
          <w:color w:val="000000"/>
          <w:kern w:val="0"/>
          <w:szCs w:val="32"/>
        </w:rPr>
        <w:t>主要领导组织召开专题分析会，研究制定整改措施。</w:t>
      </w:r>
    </w:p>
    <w:p w14:paraId="4856352B">
      <w:pPr>
        <w:adjustRightInd w:val="0"/>
        <w:snapToGrid w:val="0"/>
        <w:spacing w:line="560" w:lineRule="exact"/>
        <w:ind w:firstLine="640"/>
        <w:rPr>
          <w:szCs w:val="32"/>
        </w:rPr>
      </w:pPr>
      <w:r>
        <w:rPr>
          <w:color w:val="000000"/>
          <w:szCs w:val="32"/>
        </w:rPr>
        <w:t>（三）风险预警应诊断验收、闭环管理，</w:t>
      </w:r>
      <w:r>
        <w:rPr>
          <w:szCs w:val="32"/>
        </w:rPr>
        <w:t>根据验收结论确定取消或延长预警。</w:t>
      </w:r>
    </w:p>
    <w:p w14:paraId="6E9D3AB0">
      <w:pPr>
        <w:keepNext w:val="0"/>
        <w:keepLines w:val="0"/>
        <w:pageBreakBefore w:val="0"/>
        <w:widowControl w:val="0"/>
        <w:kinsoku/>
        <w:wordWrap/>
        <w:overflowPunct/>
        <w:topLinePunct w:val="0"/>
        <w:autoSpaceDE/>
        <w:autoSpaceDN/>
        <w:bidi w:val="0"/>
        <w:adjustRightInd w:val="0"/>
        <w:snapToGrid w:val="0"/>
        <w:spacing w:after="400" w:line="560" w:lineRule="exact"/>
        <w:ind w:firstLine="640"/>
        <w:textAlignment w:val="auto"/>
        <w:rPr>
          <w:szCs w:val="32"/>
        </w:rPr>
      </w:pPr>
      <w:r>
        <w:rPr>
          <w:szCs w:val="32"/>
        </w:rPr>
        <w:t>（四）风险预警通知书应在信息系统中下发，填写相关整改、验收等资料</w:t>
      </w:r>
      <w:r>
        <w:rPr>
          <w:szCs w:val="32"/>
          <w:lang w:val="zh-CN"/>
        </w:rPr>
        <w:t>。</w:t>
      </w:r>
      <w:r>
        <w:rPr>
          <w:kern w:val="0"/>
          <w:szCs w:val="32"/>
        </w:rPr>
        <w:t>上级预警通知书和</w:t>
      </w:r>
      <w:r>
        <w:rPr>
          <w:rFonts w:hint="eastAsia"/>
          <w:kern w:val="0"/>
          <w:szCs w:val="32"/>
        </w:rPr>
        <w:t>公司</w:t>
      </w:r>
      <w:r>
        <w:rPr>
          <w:szCs w:val="32"/>
        </w:rPr>
        <w:t>红色、橙色预警通知书及相关资料保存期不少于两年。</w:t>
      </w:r>
    </w:p>
    <w:p w14:paraId="675A0A75">
      <w:pPr>
        <w:numPr>
          <w:ilvl w:val="0"/>
          <w:numId w:val="0"/>
        </w:numPr>
        <w:tabs>
          <w:tab w:val="left" w:pos="0"/>
        </w:tabs>
        <w:spacing w:line="560" w:lineRule="exact"/>
        <w:ind w:firstLine="640" w:firstLineChars="200"/>
        <w:rPr>
          <w:color w:val="000000"/>
          <w:szCs w:val="32"/>
        </w:rPr>
      </w:pPr>
      <w:r>
        <w:rPr>
          <w:rFonts w:hint="eastAsia" w:ascii="黑体" w:hAnsi="黑体" w:eastAsia="黑体" w:cs="黑体"/>
          <w:b w:val="0"/>
          <w:bCs w:val="0"/>
          <w:color w:val="000000"/>
          <w:kern w:val="2"/>
          <w:sz w:val="32"/>
          <w:szCs w:val="32"/>
          <w:lang w:val="en-US" w:eastAsia="zh-CN" w:bidi="ar-SA"/>
        </w:rPr>
        <w:t xml:space="preserve">第二十七条 </w:t>
      </w:r>
      <w:r>
        <w:rPr>
          <w:bCs/>
          <w:szCs w:val="32"/>
        </w:rPr>
        <w:t>风险管控</w:t>
      </w:r>
      <w:r>
        <w:rPr>
          <w:szCs w:val="32"/>
        </w:rPr>
        <w:t>效果</w:t>
      </w:r>
      <w:r>
        <w:rPr>
          <w:bCs/>
          <w:szCs w:val="32"/>
        </w:rPr>
        <w:t>评价</w:t>
      </w:r>
      <w:r>
        <w:rPr>
          <w:szCs w:val="32"/>
        </w:rPr>
        <w:t>。各管理层级要定期组织风险管控效果评价，重点关注运营状况和危险源变化后的风险状况，通过查找漏洞和缺陷，持续优化风险辨识研判、组织落实等环节的流程、</w:t>
      </w:r>
      <w:r>
        <w:rPr>
          <w:color w:val="000000"/>
          <w:szCs w:val="32"/>
        </w:rPr>
        <w:t>方法和手段，</w:t>
      </w:r>
      <w:r>
        <w:rPr>
          <w:bCs/>
          <w:color w:val="000000"/>
          <w:szCs w:val="32"/>
        </w:rPr>
        <w:t>准确研判风险、健全管控措施，</w:t>
      </w:r>
      <w:r>
        <w:rPr>
          <w:color w:val="000000"/>
          <w:szCs w:val="32"/>
        </w:rPr>
        <w:t>提升风险全过程管控的针对性和有效性。</w:t>
      </w:r>
    </w:p>
    <w:p w14:paraId="3FFC4101">
      <w:pPr>
        <w:spacing w:line="560" w:lineRule="exact"/>
        <w:ind w:firstLine="640"/>
        <w:rPr>
          <w:bCs/>
          <w:color w:val="000000"/>
          <w:szCs w:val="32"/>
        </w:rPr>
      </w:pPr>
      <w:r>
        <w:rPr>
          <w:bCs/>
          <w:color w:val="000000"/>
          <w:szCs w:val="32"/>
        </w:rPr>
        <w:t>（一）</w:t>
      </w:r>
      <w:r>
        <w:rPr>
          <w:rFonts w:hint="eastAsia"/>
          <w:bCs/>
          <w:color w:val="000000"/>
          <w:szCs w:val="32"/>
        </w:rPr>
        <w:t>公司</w:t>
      </w:r>
      <w:r>
        <w:rPr>
          <w:rFonts w:hint="eastAsia"/>
          <w:bCs/>
          <w:szCs w:val="32"/>
        </w:rPr>
        <w:t>各</w:t>
      </w:r>
      <w:r>
        <w:rPr>
          <w:bCs/>
          <w:szCs w:val="32"/>
        </w:rPr>
        <w:t>部门</w:t>
      </w:r>
      <w:r>
        <w:rPr>
          <w:rFonts w:hint="eastAsia"/>
          <w:bCs/>
          <w:szCs w:val="32"/>
        </w:rPr>
        <w:t>、各单位</w:t>
      </w:r>
      <w:r>
        <w:rPr>
          <w:bCs/>
          <w:szCs w:val="32"/>
        </w:rPr>
        <w:t>按每个</w:t>
      </w:r>
      <w:r>
        <w:rPr>
          <w:bCs/>
          <w:color w:val="000000"/>
          <w:szCs w:val="32"/>
        </w:rPr>
        <w:t>项点规定的检查周期和频次进行覆盖检查，对重大、较大、一般以及专业管理全过程的安全风险管控效果，每季度进行一次评价。</w:t>
      </w:r>
    </w:p>
    <w:p w14:paraId="390C03D6">
      <w:pPr>
        <w:spacing w:line="560" w:lineRule="exact"/>
        <w:ind w:firstLine="640"/>
        <w:rPr>
          <w:bCs/>
          <w:color w:val="000000"/>
          <w:szCs w:val="32"/>
        </w:rPr>
      </w:pPr>
      <w:r>
        <w:rPr>
          <w:bCs/>
          <w:color w:val="000000"/>
          <w:szCs w:val="32"/>
        </w:rPr>
        <w:t>（二）安全关键环节问题凸显、同类安全问题重复发生时，</w:t>
      </w:r>
      <w:r>
        <w:rPr>
          <w:rFonts w:hint="eastAsia"/>
          <w:color w:val="000000"/>
          <w:szCs w:val="32"/>
        </w:rPr>
        <w:t>公司各</w:t>
      </w:r>
      <w:r>
        <w:rPr>
          <w:color w:val="000000"/>
          <w:szCs w:val="32"/>
        </w:rPr>
        <w:t>部</w:t>
      </w:r>
      <w:r>
        <w:rPr>
          <w:szCs w:val="32"/>
        </w:rPr>
        <w:t>门</w:t>
      </w:r>
      <w:r>
        <w:rPr>
          <w:rFonts w:hint="eastAsia"/>
          <w:szCs w:val="32"/>
        </w:rPr>
        <w:t>、各单位</w:t>
      </w:r>
      <w:r>
        <w:rPr>
          <w:bCs/>
          <w:szCs w:val="32"/>
        </w:rPr>
        <w:t>要及</w:t>
      </w:r>
      <w:r>
        <w:rPr>
          <w:bCs/>
          <w:color w:val="000000"/>
          <w:szCs w:val="32"/>
        </w:rPr>
        <w:t>时开展风险管控效果诊断评价。</w:t>
      </w:r>
    </w:p>
    <w:p w14:paraId="6F915EBE">
      <w:pPr>
        <w:pStyle w:val="3"/>
        <w:keepNext/>
        <w:keepLines/>
        <w:pageBreakBefore w:val="0"/>
        <w:widowControl w:val="0"/>
        <w:numPr>
          <w:ilvl w:val="0"/>
          <w:numId w:val="1"/>
        </w:numPr>
        <w:kinsoku/>
        <w:wordWrap/>
        <w:overflowPunct/>
        <w:topLinePunct w:val="0"/>
        <w:autoSpaceDE/>
        <w:autoSpaceDN/>
        <w:bidi w:val="0"/>
        <w:adjustRightInd/>
        <w:snapToGrid/>
        <w:spacing w:before="600" w:after="600" w:line="240" w:lineRule="auto"/>
        <w:ind w:firstLine="0" w:firstLineChars="0"/>
        <w:textAlignment w:val="auto"/>
      </w:pPr>
      <w:r>
        <w:t>隐患</w:t>
      </w:r>
      <w:r>
        <w:rPr>
          <w:rFonts w:hint="eastAsia"/>
        </w:rPr>
        <w:t>排查治理</w:t>
      </w:r>
    </w:p>
    <w:p w14:paraId="2C33BA31">
      <w:pPr>
        <w:keepNext w:val="0"/>
        <w:keepLines w:val="0"/>
        <w:pageBreakBefore w:val="0"/>
        <w:widowControl w:val="0"/>
        <w:kinsoku/>
        <w:wordWrap/>
        <w:overflowPunct/>
        <w:topLinePunct w:val="0"/>
        <w:autoSpaceDE/>
        <w:autoSpaceDN/>
        <w:bidi w:val="0"/>
        <w:adjustRightInd/>
        <w:snapToGrid/>
        <w:spacing w:after="400" w:line="560" w:lineRule="exact"/>
        <w:ind w:firstLine="640"/>
        <w:textAlignment w:val="auto"/>
        <w:rPr>
          <w:szCs w:val="32"/>
        </w:rPr>
      </w:pPr>
      <w:r>
        <w:rPr>
          <w:rFonts w:hint="eastAsia" w:ascii="黑体" w:hAnsi="黑体" w:eastAsia="黑体" w:cs="黑体"/>
          <w:b w:val="0"/>
          <w:bCs w:val="0"/>
          <w:kern w:val="2"/>
          <w:sz w:val="32"/>
          <w:szCs w:val="32"/>
          <w:lang w:val="en-US" w:eastAsia="zh-CN" w:bidi="ar-SA"/>
        </w:rPr>
        <w:t xml:space="preserve">第二十八条 </w:t>
      </w:r>
      <w:r>
        <w:rPr>
          <w:szCs w:val="32"/>
        </w:rPr>
        <w:t>隐患排查。隐患排查治理责任应纳入全员安全生产责任制，以风险辨识管控为基础，对照已经辨识的安全风险，制定符合工作实际的隐患排查清单，并与各类安全监督检查、安全信息和故障调查、安全评估评价、专项整治攻关、设备质量鉴定、阶段性安全大检查等工作有机结合，排查每个岗位、每项</w:t>
      </w:r>
      <w:r>
        <w:rPr>
          <w:szCs w:val="32"/>
          <w:lang w:val="zh-CN"/>
        </w:rPr>
        <w:t>流程、每个环节、每个生产场所等可能存在的隐患</w:t>
      </w:r>
      <w:r>
        <w:rPr>
          <w:szCs w:val="32"/>
        </w:rPr>
        <w:t>。</w:t>
      </w:r>
    </w:p>
    <w:p w14:paraId="48481CA5">
      <w:pPr>
        <w:numPr>
          <w:ilvl w:val="0"/>
          <w:numId w:val="0"/>
        </w:numPr>
        <w:tabs>
          <w:tab w:val="left" w:pos="0"/>
        </w:tabs>
        <w:autoSpaceDE w:val="0"/>
        <w:autoSpaceDN w:val="0"/>
        <w:adjustRightInd w:val="0"/>
        <w:spacing w:line="560" w:lineRule="exact"/>
        <w:ind w:firstLine="640" w:firstLineChars="200"/>
        <w:jc w:val="left"/>
        <w:rPr>
          <w:color w:val="000000"/>
        </w:rPr>
      </w:pPr>
      <w:r>
        <w:rPr>
          <w:rFonts w:hint="eastAsia" w:ascii="黑体" w:hAnsi="黑体" w:eastAsia="黑体" w:cs="黑体"/>
          <w:b w:val="0"/>
          <w:bCs w:val="0"/>
          <w:color w:val="000000"/>
          <w:kern w:val="2"/>
          <w:sz w:val="32"/>
          <w:szCs w:val="32"/>
          <w:lang w:val="en-US" w:eastAsia="zh-CN" w:bidi="ar-SA"/>
        </w:rPr>
        <w:t xml:space="preserve">第二十九条 </w:t>
      </w:r>
      <w:r>
        <w:rPr>
          <w:rFonts w:hint="eastAsia" w:ascii="仿宋_GB2312" w:hAnsi="仿宋_GB2312" w:cs="仿宋_GB2312"/>
          <w:color w:val="000000"/>
          <w:spacing w:val="4"/>
          <w:szCs w:val="32"/>
        </w:rPr>
        <w:t>隐患排查分为日常排查、定期排查、专项排查。</w:t>
      </w:r>
    </w:p>
    <w:p w14:paraId="002830E4">
      <w:pPr>
        <w:spacing w:line="360" w:lineRule="auto"/>
        <w:ind w:firstLine="640"/>
        <w:rPr>
          <w:rFonts w:hint="eastAsia" w:ascii="仿宋_GB2312" w:hAnsi="仿宋_GB2312" w:eastAsia="仿宋_GB2312" w:cs="仿宋_GB2312"/>
          <w:color w:val="000000"/>
          <w:spacing w:val="4"/>
          <w:szCs w:val="32"/>
        </w:rPr>
      </w:pPr>
      <w:r>
        <w:rPr>
          <w:rStyle w:val="19"/>
          <w:rFonts w:hint="eastAsia" w:ascii="仿宋_GB2312" w:hAnsi="仿宋_GB2312" w:eastAsia="仿宋_GB2312" w:cs="仿宋_GB2312"/>
        </w:rPr>
        <w:t>（一）日常排查。</w:t>
      </w:r>
      <w:r>
        <w:rPr>
          <w:rFonts w:hint="eastAsia" w:ascii="仿宋_GB2312" w:hAnsi="仿宋_GB2312" w:eastAsia="仿宋_GB2312" w:cs="仿宋_GB2312"/>
          <w:szCs w:val="32"/>
        </w:rPr>
        <w:t>是指结合日常工作，组织和开展的经常性隐患排查，排查范围应当覆盖日常生产作业环节、生产岗位、设备设施、生产活动区域和外部环境。</w:t>
      </w:r>
      <w:r>
        <w:rPr>
          <w:rFonts w:hint="eastAsia" w:ascii="仿宋_GB2312" w:hAnsi="仿宋_GB2312" w:eastAsia="仿宋_GB2312" w:cs="仿宋_GB2312"/>
          <w:color w:val="000000"/>
          <w:spacing w:val="4"/>
          <w:szCs w:val="32"/>
        </w:rPr>
        <w:t>主要内容包括：</w:t>
      </w:r>
    </w:p>
    <w:p w14:paraId="5790CDFB">
      <w:pPr>
        <w:spacing w:line="360" w:lineRule="auto"/>
        <w:ind w:firstLine="656"/>
        <w:rPr>
          <w:rFonts w:hint="eastAsia" w:ascii="仿宋_GB2312" w:hAnsi="仿宋_GB2312" w:eastAsia="仿宋_GB2312" w:cs="仿宋_GB2312"/>
          <w:color w:val="000000"/>
          <w:spacing w:val="4"/>
          <w:szCs w:val="32"/>
        </w:rPr>
      </w:pPr>
      <w:r>
        <w:rPr>
          <w:rFonts w:hint="eastAsia" w:ascii="仿宋_GB2312" w:hAnsi="仿宋_GB2312" w:eastAsia="仿宋_GB2312" w:cs="仿宋_GB2312"/>
          <w:color w:val="000000"/>
          <w:spacing w:val="4"/>
          <w:szCs w:val="32"/>
        </w:rPr>
        <w:t>1.管理人员的现场检查、值班检查、安全包保的履职性检查等。</w:t>
      </w:r>
    </w:p>
    <w:p w14:paraId="390A4A0A">
      <w:pPr>
        <w:spacing w:line="360" w:lineRule="auto"/>
        <w:ind w:firstLine="656"/>
        <w:rPr>
          <w:rFonts w:hint="eastAsia" w:ascii="仿宋_GB2312" w:hAnsi="仿宋_GB2312" w:eastAsia="仿宋_GB2312" w:cs="仿宋_GB2312"/>
          <w:color w:val="000000"/>
          <w:spacing w:val="4"/>
          <w:szCs w:val="32"/>
        </w:rPr>
      </w:pPr>
      <w:r>
        <w:rPr>
          <w:rFonts w:hint="eastAsia" w:ascii="仿宋_GB2312" w:hAnsi="仿宋_GB2312" w:eastAsia="仿宋_GB2312" w:cs="仿宋_GB2312"/>
          <w:color w:val="000000"/>
          <w:spacing w:val="4"/>
          <w:szCs w:val="32"/>
        </w:rPr>
        <w:t>2.作业人员设备维护、巡视、检查、检测等作业要求的检查。</w:t>
      </w:r>
    </w:p>
    <w:p w14:paraId="781AF2E0">
      <w:pPr>
        <w:spacing w:line="360" w:lineRule="auto"/>
        <w:ind w:firstLine="656"/>
        <w:rPr>
          <w:rFonts w:hint="eastAsia" w:ascii="仿宋_GB2312" w:hAnsi="仿宋_GB2312" w:eastAsia="仿宋_GB2312" w:cs="仿宋_GB2312"/>
          <w:color w:val="000000"/>
          <w:spacing w:val="4"/>
          <w:szCs w:val="32"/>
        </w:rPr>
      </w:pPr>
      <w:r>
        <w:rPr>
          <w:rFonts w:hint="eastAsia" w:ascii="仿宋_GB2312" w:hAnsi="仿宋_GB2312" w:eastAsia="仿宋_GB2312" w:cs="仿宋_GB2312"/>
          <w:color w:val="000000"/>
          <w:spacing w:val="4"/>
          <w:szCs w:val="32"/>
        </w:rPr>
        <w:t>3.设备设施动态监测、实时分析隐患排查。</w:t>
      </w:r>
    </w:p>
    <w:p w14:paraId="54A21C38">
      <w:pPr>
        <w:spacing w:line="360" w:lineRule="auto"/>
        <w:ind w:firstLine="656"/>
        <w:rPr>
          <w:rFonts w:hint="eastAsia" w:ascii="仿宋_GB2312" w:hAnsi="仿宋_GB2312" w:eastAsia="仿宋_GB2312" w:cs="仿宋_GB2312"/>
          <w:color w:val="000000"/>
          <w:spacing w:val="4"/>
          <w:szCs w:val="32"/>
        </w:rPr>
      </w:pPr>
      <w:r>
        <w:rPr>
          <w:rFonts w:hint="eastAsia" w:ascii="仿宋_GB2312" w:hAnsi="仿宋_GB2312" w:eastAsia="仿宋_GB2312" w:cs="仿宋_GB2312"/>
          <w:color w:val="000000"/>
          <w:spacing w:val="4"/>
          <w:szCs w:val="32"/>
        </w:rPr>
        <w:t>4.其他隐患排查。</w:t>
      </w:r>
    </w:p>
    <w:p w14:paraId="089A48DE">
      <w:pPr>
        <w:numPr>
          <w:ilvl w:val="0"/>
          <w:numId w:val="0"/>
        </w:numPr>
        <w:spacing w:line="360" w:lineRule="auto"/>
        <w:ind w:firstLine="640" w:firstLineChars="200"/>
        <w:rPr>
          <w:rFonts w:hint="eastAsia" w:ascii="仿宋_GB2312" w:hAnsi="仿宋_GB2312" w:eastAsia="仿宋_GB2312" w:cs="仿宋_GB2312"/>
          <w:szCs w:val="32"/>
        </w:rPr>
      </w:pPr>
      <w:r>
        <w:rPr>
          <w:rFonts w:hint="eastAsia" w:ascii="仿宋_GB2312" w:hAnsi="仿宋_GB2312" w:eastAsia="仿宋_GB2312" w:cs="仿宋_GB2312"/>
          <w:kern w:val="2"/>
          <w:sz w:val="32"/>
          <w:szCs w:val="32"/>
          <w:lang w:val="en-US" w:eastAsia="zh-CN" w:bidi="ar-SA"/>
        </w:rPr>
        <w:t>（二）</w:t>
      </w:r>
      <w:r>
        <w:rPr>
          <w:rStyle w:val="19"/>
          <w:rFonts w:hint="eastAsia" w:ascii="仿宋_GB2312" w:hAnsi="仿宋_GB2312" w:eastAsia="仿宋_GB2312" w:cs="仿宋_GB2312"/>
        </w:rPr>
        <w:t>定期排查。</w:t>
      </w:r>
      <w:r>
        <w:rPr>
          <w:rFonts w:hint="eastAsia" w:ascii="仿宋_GB2312" w:hAnsi="仿宋_GB2312" w:eastAsia="仿宋_GB2312" w:cs="仿宋_GB2312"/>
          <w:szCs w:val="32"/>
        </w:rPr>
        <w:t xml:space="preserve">指根据生产经营活动，结合设备特点，按相关规定组织开展涵盖全部生产经营领域、环节的隐患排查。定期排查是对日常排查不足的补充及工作的复查。 </w:t>
      </w:r>
    </w:p>
    <w:p w14:paraId="4D31BF80">
      <w:pPr>
        <w:spacing w:line="360" w:lineRule="auto"/>
        <w:ind w:firstLine="656"/>
        <w:rPr>
          <w:rFonts w:hint="eastAsia" w:ascii="仿宋_GB2312" w:hAnsi="仿宋_GB2312" w:eastAsia="仿宋_GB2312" w:cs="仿宋_GB2312"/>
          <w:spacing w:val="4"/>
          <w:szCs w:val="32"/>
        </w:rPr>
      </w:pPr>
      <w:r>
        <w:rPr>
          <w:rFonts w:hint="eastAsia" w:ascii="仿宋_GB2312" w:hAnsi="仿宋_GB2312" w:eastAsia="仿宋_GB2312" w:cs="仿宋_GB2312"/>
          <w:spacing w:val="4"/>
          <w:szCs w:val="32"/>
        </w:rPr>
        <w:t>每季度至少由公司总经理组织</w:t>
      </w:r>
      <w:r>
        <w:rPr>
          <w:rFonts w:hint="eastAsia" w:ascii="仿宋_GB2312" w:hAnsi="仿宋_GB2312" w:eastAsia="仿宋_GB2312" w:cs="仿宋_GB2312"/>
          <w:spacing w:val="4"/>
          <w:szCs w:val="32"/>
          <w:lang w:val="zh-CN"/>
        </w:rPr>
        <w:t>开展一次全面隐患排查。</w:t>
      </w:r>
      <w:r>
        <w:rPr>
          <w:rFonts w:hint="eastAsia" w:ascii="仿宋_GB2312" w:hAnsi="仿宋_GB2312" w:eastAsia="仿宋_GB2312" w:cs="仿宋_GB2312"/>
          <w:spacing w:val="4"/>
          <w:szCs w:val="32"/>
        </w:rPr>
        <w:t>公司</w:t>
      </w:r>
      <w:r>
        <w:rPr>
          <w:rFonts w:hint="eastAsia" w:ascii="仿宋_GB2312" w:hAnsi="仿宋_GB2312" w:eastAsia="仿宋_GB2312" w:cs="仿宋_GB2312"/>
          <w:spacing w:val="4"/>
          <w:szCs w:val="32"/>
          <w:lang w:eastAsia="zh-CN"/>
        </w:rPr>
        <w:t>安全环保监察部</w:t>
      </w:r>
      <w:r>
        <w:rPr>
          <w:rFonts w:hint="eastAsia" w:ascii="仿宋_GB2312" w:hAnsi="仿宋_GB2312" w:eastAsia="仿宋_GB2312" w:cs="仿宋_GB2312"/>
          <w:spacing w:val="4"/>
          <w:szCs w:val="32"/>
        </w:rPr>
        <w:t>组织各部门及各单位每月至少开展一次全面的隐患排查，并分析隐患排查落实、整改、量化完成等情况形成总结或者通报备查。</w:t>
      </w:r>
    </w:p>
    <w:p w14:paraId="0A9526C6">
      <w:pPr>
        <w:spacing w:line="360" w:lineRule="auto"/>
        <w:ind w:firstLine="640"/>
        <w:rPr>
          <w:rFonts w:hint="eastAsia" w:ascii="仿宋_GB2312" w:hAnsi="仿宋_GB2312" w:cs="仿宋_GB2312"/>
          <w:color w:val="000000"/>
          <w:spacing w:val="4"/>
          <w:szCs w:val="32"/>
        </w:rPr>
      </w:pPr>
      <w:r>
        <w:rPr>
          <w:rStyle w:val="19"/>
          <w:rFonts w:hint="eastAsia" w:ascii="仿宋_GB2312" w:hAnsi="仿宋_GB2312" w:eastAsia="仿宋_GB2312" w:cs="仿宋_GB2312"/>
        </w:rPr>
        <w:t>（三）专项排查。</w:t>
      </w:r>
      <w:r>
        <w:rPr>
          <w:rFonts w:hint="eastAsia" w:ascii="仿宋_GB2312" w:hAnsi="仿宋_GB2312" w:eastAsia="仿宋_GB2312" w:cs="仿宋_GB2312"/>
          <w:color w:val="000000"/>
          <w:spacing w:val="4"/>
          <w:szCs w:val="32"/>
        </w:rPr>
        <w:t>是指在一定范围、领域组织开展的针对</w:t>
      </w:r>
      <w:r>
        <w:rPr>
          <w:rFonts w:hint="eastAsia" w:ascii="仿宋_GB2312" w:hAnsi="仿宋_GB2312" w:cs="仿宋_GB2312"/>
          <w:color w:val="000000"/>
          <w:spacing w:val="4"/>
          <w:szCs w:val="32"/>
        </w:rPr>
        <w:t>特定隐患的排查。遇到以下情况之一的，应当开展专项排查： </w:t>
      </w:r>
    </w:p>
    <w:p w14:paraId="2801176B">
      <w:pPr>
        <w:spacing w:line="360" w:lineRule="auto"/>
        <w:ind w:firstLine="656"/>
        <w:rPr>
          <w:rFonts w:hint="eastAsia" w:ascii="仿宋_GB2312" w:hAnsi="仿宋_GB2312" w:cs="仿宋_GB2312"/>
          <w:color w:val="000000"/>
          <w:spacing w:val="4"/>
          <w:szCs w:val="32"/>
        </w:rPr>
      </w:pPr>
      <w:r>
        <w:rPr>
          <w:rFonts w:hint="eastAsia" w:ascii="仿宋_GB2312" w:hAnsi="仿宋_GB2312" w:cs="仿宋_GB2312"/>
          <w:color w:val="000000"/>
          <w:spacing w:val="4"/>
          <w:szCs w:val="32"/>
        </w:rPr>
        <w:t>1.季节性隐患排查：防汛、防台风、防寒过冬等隐患排查。</w:t>
      </w:r>
    </w:p>
    <w:p w14:paraId="7E40A70B">
      <w:pPr>
        <w:spacing w:line="360" w:lineRule="auto"/>
        <w:ind w:firstLine="656"/>
        <w:rPr>
          <w:rFonts w:hint="eastAsia" w:ascii="仿宋_GB2312" w:hAnsi="仿宋_GB2312" w:cs="仿宋_GB2312"/>
          <w:color w:val="000000"/>
          <w:spacing w:val="4"/>
          <w:szCs w:val="32"/>
        </w:rPr>
      </w:pPr>
      <w:r>
        <w:rPr>
          <w:rFonts w:hint="eastAsia" w:ascii="仿宋_GB2312" w:hAnsi="仿宋_GB2312" w:cs="仿宋_GB2312"/>
          <w:color w:val="000000"/>
          <w:spacing w:val="4"/>
          <w:szCs w:val="32"/>
        </w:rPr>
        <w:t>2.重要时期隐患排查：主要节假日和国家重大政治活动期间、重要安全生产活动及恶劣天气、自然灾害和沿线周边环境变化等重要时期隐患排查。</w:t>
      </w:r>
    </w:p>
    <w:p w14:paraId="6AB5DF2E">
      <w:pPr>
        <w:spacing w:line="360" w:lineRule="auto"/>
        <w:ind w:firstLine="656"/>
        <w:rPr>
          <w:rFonts w:hint="eastAsia" w:ascii="仿宋_GB2312" w:hAnsi="仿宋_GB2312" w:cs="仿宋_GB2312"/>
          <w:color w:val="000000"/>
          <w:spacing w:val="4"/>
          <w:szCs w:val="32"/>
        </w:rPr>
      </w:pPr>
      <w:r>
        <w:rPr>
          <w:rFonts w:hint="eastAsia" w:ascii="仿宋_GB2312" w:hAnsi="仿宋_GB2312" w:cs="仿宋_GB2312"/>
          <w:color w:val="000000"/>
          <w:spacing w:val="4"/>
          <w:szCs w:val="32"/>
        </w:rPr>
        <w:t>3.重要变更隐患排查：安全生产法律、法规、规章、标准、规程及公司安全生产管理制度变化，组织机构变化，生产组织方式调整，开复工、生产任务及主要设备变化等可能影响安全生产的重要变更；新项目、新技术、新材料、新工艺及新设备准备实施前及投用后等。</w:t>
      </w:r>
    </w:p>
    <w:p w14:paraId="0BD9451C">
      <w:pPr>
        <w:spacing w:line="360" w:lineRule="auto"/>
        <w:ind w:firstLine="656"/>
        <w:rPr>
          <w:rFonts w:hint="eastAsia" w:ascii="仿宋_GB2312" w:hAnsi="仿宋_GB2312" w:cs="仿宋_GB2312"/>
          <w:color w:val="000000"/>
          <w:spacing w:val="4"/>
          <w:szCs w:val="32"/>
        </w:rPr>
      </w:pPr>
      <w:r>
        <w:rPr>
          <w:rFonts w:hint="eastAsia" w:ascii="仿宋_GB2312" w:hAnsi="仿宋_GB2312" w:cs="仿宋_GB2312"/>
          <w:color w:val="000000"/>
          <w:spacing w:val="4"/>
          <w:szCs w:val="32"/>
        </w:rPr>
        <w:t>4.类比隐患排查：结合相关行业生产安全事故致因、专项安全评估检查及发生生产等安全事故后，开展同类隐患专项排查。</w:t>
      </w:r>
    </w:p>
    <w:p w14:paraId="38D1F02E">
      <w:pPr>
        <w:keepNext w:val="0"/>
        <w:keepLines w:val="0"/>
        <w:pageBreakBefore w:val="0"/>
        <w:widowControl w:val="0"/>
        <w:kinsoku/>
        <w:wordWrap/>
        <w:overflowPunct/>
        <w:topLinePunct w:val="0"/>
        <w:autoSpaceDE/>
        <w:autoSpaceDN/>
        <w:bidi w:val="0"/>
        <w:adjustRightInd/>
        <w:snapToGrid/>
        <w:spacing w:after="400" w:line="560" w:lineRule="exact"/>
        <w:ind w:firstLine="640"/>
        <w:textAlignment w:val="auto"/>
        <w:rPr>
          <w:rFonts w:hint="eastAsia" w:ascii="仿宋_GB2312" w:hAnsi="仿宋_GB2312" w:cs="仿宋_GB2312"/>
          <w:color w:val="000000"/>
          <w:spacing w:val="4"/>
          <w:szCs w:val="32"/>
        </w:rPr>
      </w:pPr>
      <w:r>
        <w:rPr>
          <w:rFonts w:hint="eastAsia" w:ascii="仿宋_GB2312" w:hAnsi="仿宋_GB2312" w:cs="仿宋_GB2312"/>
          <w:color w:val="000000"/>
          <w:spacing w:val="4"/>
          <w:szCs w:val="32"/>
        </w:rPr>
        <w:t>5.其他隐患排查：</w:t>
      </w:r>
      <w:r>
        <w:rPr>
          <w:rFonts w:hint="eastAsia"/>
          <w:szCs w:val="32"/>
          <w:lang w:val="zh-CN"/>
        </w:rPr>
        <w:t>其他</w:t>
      </w:r>
      <w:r>
        <w:rPr>
          <w:rFonts w:hint="eastAsia" w:ascii="仿宋_GB2312" w:hAnsi="仿宋_GB2312" w:cs="仿宋_GB2312"/>
          <w:color w:val="000000"/>
          <w:spacing w:val="4"/>
          <w:szCs w:val="32"/>
        </w:rPr>
        <w:t>临时安排的专项隐患排查。</w:t>
      </w:r>
    </w:p>
    <w:p w14:paraId="1E3C3AB5">
      <w:pPr>
        <w:pStyle w:val="22"/>
        <w:numPr>
          <w:ilvl w:val="0"/>
          <w:numId w:val="0"/>
        </w:numPr>
        <w:tabs>
          <w:tab w:val="left" w:pos="0"/>
        </w:tabs>
        <w:spacing w:line="560" w:lineRule="exact"/>
        <w:ind w:firstLine="640" w:firstLineChars="200"/>
        <w:rPr>
          <w:rFonts w:eastAsia="仿宋_GB2312" w:cs="Times New Roman"/>
          <w:sz w:val="32"/>
          <w:szCs w:val="32"/>
        </w:rPr>
      </w:pPr>
      <w:r>
        <w:rPr>
          <w:rFonts w:hint="eastAsia" w:ascii="黑体" w:hAnsi="黑体" w:eastAsia="黑体" w:cs="黑体"/>
          <w:b w:val="0"/>
          <w:bCs w:val="0"/>
          <w:kern w:val="0"/>
          <w:sz w:val="32"/>
          <w:szCs w:val="32"/>
          <w:lang w:val="en-US" w:eastAsia="zh-CN" w:bidi="ar-SA"/>
        </w:rPr>
        <w:t>第三十条</w:t>
      </w:r>
      <w:r>
        <w:rPr>
          <w:rFonts w:eastAsia="仿宋_GB2312" w:cs="Times New Roman"/>
          <w:sz w:val="32"/>
          <w:szCs w:val="32"/>
        </w:rPr>
        <w:t>安全隐患分级分类管理。</w:t>
      </w:r>
    </w:p>
    <w:p w14:paraId="2467C609">
      <w:pPr>
        <w:autoSpaceDE w:val="0"/>
        <w:autoSpaceDN w:val="0"/>
        <w:adjustRightInd w:val="0"/>
        <w:spacing w:line="560" w:lineRule="exact"/>
        <w:ind w:firstLine="640"/>
        <w:jc w:val="left"/>
        <w:rPr>
          <w:rFonts w:hint="eastAsia" w:ascii="仿宋_GB2312" w:hAnsi="仿宋_GB2312" w:eastAsia="仿宋_GB2312" w:cs="仿宋_GB2312"/>
          <w:bCs/>
          <w:szCs w:val="32"/>
        </w:rPr>
      </w:pPr>
      <w:r>
        <w:rPr>
          <w:rStyle w:val="19"/>
          <w:rFonts w:hint="eastAsia" w:ascii="仿宋_GB2312" w:hAnsi="仿宋_GB2312" w:eastAsia="仿宋_GB2312" w:cs="仿宋_GB2312"/>
        </w:rPr>
        <w:t>（一）隐患等级</w:t>
      </w:r>
      <w:r>
        <w:rPr>
          <w:rFonts w:hint="eastAsia" w:ascii="仿宋_GB2312" w:hAnsi="仿宋_GB2312" w:eastAsia="仿宋_GB2312" w:cs="仿宋_GB2312"/>
          <w:bCs/>
          <w:szCs w:val="32"/>
        </w:rPr>
        <w:t>。隐患分为一般隐患和重大隐患。</w:t>
      </w:r>
    </w:p>
    <w:p w14:paraId="0DC9D766">
      <w:pPr>
        <w:pStyle w:val="22"/>
        <w:spacing w:line="560" w:lineRule="exact"/>
        <w:ind w:firstLine="64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1.重大隐患是指危害程度极大，可能导致生产安全重特大事故发生、整改难度较大并经过一段时间整改治理方能排除的，或者因外部因素影响致使企业自身难以排除的严重隐患。</w:t>
      </w:r>
    </w:p>
    <w:p w14:paraId="66F9C996">
      <w:pPr>
        <w:pStyle w:val="22"/>
        <w:widowControl w:val="0"/>
        <w:spacing w:line="560" w:lineRule="exact"/>
        <w:ind w:firstLine="64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2.一般隐患是指危害程度和整改难度较小，发现后能够及时整改排除的隐患。</w:t>
      </w:r>
    </w:p>
    <w:p w14:paraId="3240330A">
      <w:pPr>
        <w:pStyle w:val="22"/>
        <w:spacing w:line="560" w:lineRule="exact"/>
        <w:ind w:firstLine="64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3.严重危及公司运营安全以及可能造成人员群死群伤和重大经济损失的突出隐患，经公司安委会评估确认后，可列为重大隐患管理。</w:t>
      </w:r>
      <w:r>
        <w:rPr>
          <w:rFonts w:hint="eastAsia" w:ascii="仿宋_GB2312" w:hAnsi="仿宋_GB2312" w:eastAsia="仿宋_GB2312" w:cs="仿宋_GB2312"/>
          <w:sz w:val="32"/>
          <w:szCs w:val="32"/>
          <w:lang w:val="zh-CN"/>
        </w:rPr>
        <w:t>隐患级别难以确定的，由</w:t>
      </w:r>
      <w:r>
        <w:rPr>
          <w:rFonts w:hint="eastAsia" w:ascii="仿宋_GB2312" w:hAnsi="仿宋_GB2312" w:eastAsia="仿宋_GB2312" w:cs="仿宋_GB2312"/>
          <w:sz w:val="32"/>
          <w:szCs w:val="32"/>
        </w:rPr>
        <w:t>公司</w:t>
      </w:r>
      <w:r>
        <w:rPr>
          <w:rFonts w:hint="eastAsia" w:ascii="仿宋_GB2312" w:hAnsi="仿宋_GB2312" w:eastAsia="仿宋_GB2312" w:cs="仿宋_GB2312"/>
          <w:sz w:val="32"/>
          <w:szCs w:val="32"/>
          <w:lang w:val="zh-CN"/>
        </w:rPr>
        <w:t>组织相关安全管理、技术部门，以及第三方安全评价、检测、检验机构等进行评估，提出确定隐患级别的意见建议，经公司安委会研究审核确认。</w:t>
      </w:r>
    </w:p>
    <w:p w14:paraId="6677B60D">
      <w:pPr>
        <w:keepNext w:val="0"/>
        <w:keepLines w:val="0"/>
        <w:pageBreakBefore w:val="0"/>
        <w:widowControl w:val="0"/>
        <w:kinsoku/>
        <w:wordWrap/>
        <w:overflowPunct/>
        <w:topLinePunct w:val="0"/>
        <w:autoSpaceDE/>
        <w:autoSpaceDN/>
        <w:bidi w:val="0"/>
        <w:adjustRightInd/>
        <w:snapToGrid/>
        <w:spacing w:after="400" w:line="560" w:lineRule="exact"/>
        <w:ind w:firstLine="640"/>
        <w:textAlignment w:val="auto"/>
        <w:rPr>
          <w:rFonts w:hint="eastAsia" w:ascii="仿宋_GB2312" w:hAnsi="仿宋_GB2312" w:eastAsia="仿宋_GB2312" w:cs="仿宋_GB2312"/>
          <w:sz w:val="32"/>
          <w:szCs w:val="32"/>
        </w:rPr>
      </w:pPr>
      <w:r>
        <w:rPr>
          <w:rStyle w:val="19"/>
          <w:rFonts w:hint="eastAsia" w:ascii="仿宋_GB2312" w:hAnsi="仿宋_GB2312" w:eastAsia="仿宋_GB2312" w:cs="仿宋_GB2312"/>
        </w:rPr>
        <w:t>（二）隐患类别。</w:t>
      </w:r>
      <w:r>
        <w:rPr>
          <w:rFonts w:hint="eastAsia" w:ascii="仿宋_GB2312" w:hAnsi="仿宋_GB2312" w:eastAsia="仿宋_GB2312" w:cs="仿宋_GB2312"/>
          <w:bCs/>
          <w:sz w:val="32"/>
          <w:szCs w:val="32"/>
        </w:rPr>
        <w:t>隐患分类方法</w:t>
      </w:r>
      <w:r>
        <w:rPr>
          <w:rFonts w:hint="eastAsia" w:ascii="仿宋_GB2312" w:hAnsi="仿宋_GB2312" w:eastAsia="仿宋_GB2312" w:cs="仿宋_GB2312"/>
          <w:sz w:val="32"/>
          <w:szCs w:val="32"/>
        </w:rPr>
        <w:t>对应安全风险，划分为行车安全、人身安全、外部环境与综合治理、工程建设、特种设备、食品卫生、消防安全、规章制度、综合保障、结合部十个类别，建立起风险管控与隐患排查关联关系，</w:t>
      </w:r>
      <w:r>
        <w:rPr>
          <w:rFonts w:hint="eastAsia" w:ascii="仿宋_GB2312" w:hAnsi="仿宋_GB2312" w:eastAsia="仿宋_GB2312" w:cs="仿宋_GB2312"/>
          <w:bCs/>
          <w:sz w:val="32"/>
          <w:szCs w:val="32"/>
        </w:rPr>
        <w:t>实现从风险到隐患的系统</w:t>
      </w:r>
      <w:r>
        <w:rPr>
          <w:rFonts w:hint="eastAsia" w:ascii="仿宋_GB2312" w:hAnsi="仿宋_GB2312" w:eastAsia="仿宋_GB2312" w:cs="仿宋_GB2312"/>
          <w:szCs w:val="32"/>
          <w:lang w:val="zh-CN"/>
        </w:rPr>
        <w:t>运作</w:t>
      </w:r>
      <w:r>
        <w:rPr>
          <w:rFonts w:hint="eastAsia" w:ascii="仿宋_GB2312" w:hAnsi="仿宋_GB2312" w:eastAsia="仿宋_GB2312" w:cs="仿宋_GB2312"/>
          <w:sz w:val="32"/>
          <w:szCs w:val="32"/>
        </w:rPr>
        <w:t>。</w:t>
      </w:r>
    </w:p>
    <w:p w14:paraId="351956D3">
      <w:pPr>
        <w:numPr>
          <w:ilvl w:val="0"/>
          <w:numId w:val="0"/>
        </w:numPr>
        <w:tabs>
          <w:tab w:val="left" w:pos="0"/>
        </w:tabs>
        <w:spacing w:line="560" w:lineRule="exact"/>
        <w:ind w:firstLine="640" w:firstLineChars="200"/>
        <w:rPr>
          <w:kern w:val="0"/>
          <w:szCs w:val="32"/>
        </w:rPr>
      </w:pPr>
      <w:r>
        <w:rPr>
          <w:rFonts w:hint="eastAsia" w:ascii="黑体" w:hAnsi="黑体" w:eastAsia="黑体" w:cs="黑体"/>
          <w:b w:val="0"/>
          <w:bCs w:val="0"/>
          <w:kern w:val="0"/>
          <w:sz w:val="32"/>
          <w:szCs w:val="32"/>
          <w:lang w:val="en-US" w:eastAsia="zh-CN" w:bidi="ar-SA"/>
        </w:rPr>
        <w:t xml:space="preserve">第三十一条 </w:t>
      </w:r>
      <w:r>
        <w:rPr>
          <w:kern w:val="0"/>
          <w:szCs w:val="32"/>
        </w:rPr>
        <w:t>安全隐患库管理。</w:t>
      </w:r>
    </w:p>
    <w:p w14:paraId="11550A56">
      <w:pPr>
        <w:spacing w:line="560" w:lineRule="exact"/>
        <w:ind w:firstLine="640"/>
        <w:rPr>
          <w:szCs w:val="32"/>
        </w:rPr>
      </w:pPr>
      <w:r>
        <w:rPr>
          <w:kern w:val="0"/>
          <w:szCs w:val="32"/>
        </w:rPr>
        <w:t>（一）</w:t>
      </w:r>
      <w:r>
        <w:rPr>
          <w:rFonts w:hint="eastAsia"/>
          <w:szCs w:val="32"/>
        </w:rPr>
        <w:t>公司</w:t>
      </w:r>
      <w:r>
        <w:rPr>
          <w:rFonts w:hint="eastAsia"/>
          <w:szCs w:val="32"/>
          <w:lang w:eastAsia="zh-CN"/>
        </w:rPr>
        <w:t>安全环保监察部</w:t>
      </w:r>
      <w:r>
        <w:rPr>
          <w:rFonts w:hint="eastAsia"/>
          <w:szCs w:val="32"/>
        </w:rPr>
        <w:t>统一</w:t>
      </w:r>
      <w:r>
        <w:rPr>
          <w:szCs w:val="32"/>
        </w:rPr>
        <w:t>建立安全隐患库。</w:t>
      </w:r>
    </w:p>
    <w:p w14:paraId="04FF5F7E">
      <w:pPr>
        <w:spacing w:line="560" w:lineRule="exact"/>
        <w:ind w:firstLine="640"/>
        <w:rPr>
          <w:kern w:val="0"/>
          <w:szCs w:val="32"/>
        </w:rPr>
      </w:pPr>
      <w:r>
        <w:rPr>
          <w:kern w:val="0"/>
          <w:szCs w:val="32"/>
        </w:rPr>
        <w:t>（二）</w:t>
      </w:r>
      <w:r>
        <w:rPr>
          <w:szCs w:val="32"/>
        </w:rPr>
        <w:t>对排查出或接到报告的安全隐患（问题）进行全面梳理汇总，逐件确定</w:t>
      </w:r>
      <w:r>
        <w:rPr>
          <w:szCs w:val="32"/>
          <w:lang w:val="zh-CN"/>
        </w:rPr>
        <w:t>隐患内容、隐患等级、整治措施、责任</w:t>
      </w:r>
      <w:r>
        <w:rPr>
          <w:rFonts w:hint="eastAsia"/>
          <w:szCs w:val="32"/>
        </w:rPr>
        <w:t>单位</w:t>
      </w:r>
      <w:r>
        <w:rPr>
          <w:szCs w:val="32"/>
          <w:lang w:val="zh-CN"/>
        </w:rPr>
        <w:t>（部门）、责任领导、整改时限、整治进展、销号情况等内容，经</w:t>
      </w:r>
      <w:r>
        <w:rPr>
          <w:rFonts w:hint="eastAsia"/>
          <w:szCs w:val="32"/>
          <w:lang w:val="zh-CN"/>
        </w:rPr>
        <w:t>公司</w:t>
      </w:r>
      <w:r>
        <w:rPr>
          <w:szCs w:val="32"/>
          <w:lang w:val="zh-CN"/>
        </w:rPr>
        <w:t>分管领导同意后，纳入隐患库，</w:t>
      </w:r>
      <w:r>
        <w:rPr>
          <w:kern w:val="0"/>
          <w:szCs w:val="32"/>
        </w:rPr>
        <w:t>动态更新整治进展和录入新发现隐患，并全过程跟踪排查治理情况</w:t>
      </w:r>
      <w:r>
        <w:rPr>
          <w:szCs w:val="32"/>
        </w:rPr>
        <w:t>。日常安全信息追</w:t>
      </w:r>
      <w:r>
        <w:rPr>
          <w:kern w:val="0"/>
          <w:szCs w:val="32"/>
        </w:rPr>
        <w:t>踪分析、典型事故</w:t>
      </w:r>
      <w:r>
        <w:rPr>
          <w:rFonts w:hint="eastAsia"/>
          <w:kern w:val="0"/>
          <w:szCs w:val="32"/>
        </w:rPr>
        <w:t>或</w:t>
      </w:r>
      <w:r>
        <w:rPr>
          <w:kern w:val="0"/>
          <w:szCs w:val="32"/>
        </w:rPr>
        <w:t>故障暴露的突出隐患和常态化检查发现的隐患要及时纳入隐患库。已销号问题在隐患库中要长期存查。</w:t>
      </w:r>
    </w:p>
    <w:p w14:paraId="29E98650">
      <w:pPr>
        <w:numPr>
          <w:ilvl w:val="0"/>
          <w:numId w:val="0"/>
        </w:numPr>
        <w:tabs>
          <w:tab w:val="left" w:pos="0"/>
        </w:tabs>
        <w:autoSpaceDE w:val="0"/>
        <w:autoSpaceDN w:val="0"/>
        <w:adjustRightInd w:val="0"/>
        <w:spacing w:line="560" w:lineRule="exact"/>
        <w:ind w:firstLine="640" w:firstLineChars="200"/>
        <w:jc w:val="left"/>
        <w:rPr>
          <w:bCs/>
          <w:szCs w:val="32"/>
        </w:rPr>
      </w:pPr>
      <w:r>
        <w:rPr>
          <w:rFonts w:hint="eastAsia" w:ascii="黑体" w:hAnsi="黑体" w:eastAsia="黑体" w:cs="黑体"/>
          <w:b w:val="0"/>
          <w:bCs w:val="0"/>
          <w:kern w:val="2"/>
          <w:sz w:val="32"/>
          <w:szCs w:val="32"/>
          <w:lang w:val="en-US" w:eastAsia="zh-CN" w:bidi="ar-SA"/>
        </w:rPr>
        <w:t xml:space="preserve">第三十二条 </w:t>
      </w:r>
      <w:r>
        <w:rPr>
          <w:bCs/>
          <w:szCs w:val="32"/>
        </w:rPr>
        <w:t>闭环治理隐患。隐患治理应分析隐患产生的具体原因，重点从技术和管理手段等方面制定治理措施。治理措施应包括针对隐患的纠正措施和预防措施，应融入现有的工作程序、标准中，确保措施的持续有效实施。</w:t>
      </w:r>
    </w:p>
    <w:p w14:paraId="1BE5F61B">
      <w:pPr>
        <w:autoSpaceDE w:val="0"/>
        <w:autoSpaceDN w:val="0"/>
        <w:adjustRightInd w:val="0"/>
        <w:spacing w:line="560" w:lineRule="exact"/>
        <w:ind w:firstLine="640"/>
        <w:jc w:val="left"/>
        <w:rPr>
          <w:rFonts w:hint="eastAsia" w:ascii="仿宋_GB2312" w:hAnsi="仿宋_GB2312" w:eastAsia="仿宋_GB2312" w:cs="仿宋_GB2312"/>
          <w:bCs/>
          <w:szCs w:val="32"/>
        </w:rPr>
      </w:pPr>
      <w:r>
        <w:rPr>
          <w:rStyle w:val="19"/>
          <w:rFonts w:hint="eastAsia" w:ascii="仿宋_GB2312" w:hAnsi="仿宋_GB2312" w:eastAsia="仿宋_GB2312" w:cs="仿宋_GB2312"/>
        </w:rPr>
        <w:t>（一）重大隐患治理</w:t>
      </w:r>
      <w:r>
        <w:rPr>
          <w:rFonts w:hint="eastAsia" w:ascii="仿宋_GB2312" w:hAnsi="仿宋_GB2312" w:eastAsia="仿宋_GB2312" w:cs="仿宋_GB2312"/>
          <w:bCs/>
          <w:szCs w:val="32"/>
        </w:rPr>
        <w:t>。</w:t>
      </w:r>
      <w:r>
        <w:rPr>
          <w:rFonts w:hint="eastAsia" w:ascii="仿宋_GB2312" w:hAnsi="仿宋_GB2312" w:eastAsia="仿宋_GB2312" w:cs="仿宋_GB2312"/>
          <w:bCs/>
          <w:szCs w:val="32"/>
          <w:lang w:val="zh-CN"/>
        </w:rPr>
        <w:t>重</w:t>
      </w:r>
      <w:r>
        <w:rPr>
          <w:rFonts w:hint="eastAsia" w:ascii="仿宋_GB2312" w:hAnsi="仿宋_GB2312" w:eastAsia="仿宋_GB2312" w:cs="仿宋_GB2312"/>
          <w:bCs/>
          <w:szCs w:val="32"/>
        </w:rPr>
        <w:t>大隐患治理要专题立案，由公司分管安全副总经理组织制定专项治理方案，按照人防、物防、技防三位一体、综合施策的原则组织实施，</w:t>
      </w:r>
      <w:r>
        <w:rPr>
          <w:rFonts w:hint="eastAsia" w:ascii="仿宋_GB2312" w:hAnsi="仿宋_GB2312" w:eastAsia="仿宋_GB2312" w:cs="仿宋_GB2312"/>
          <w:szCs w:val="32"/>
        </w:rPr>
        <w:t>纳入安委会挂牌督办，督导治理，限期整改，完成时限原则上不超过三个月，整改难度较大的可分阶段细化整治措施。</w:t>
      </w:r>
      <w:r>
        <w:rPr>
          <w:rFonts w:hint="eastAsia" w:ascii="仿宋_GB2312" w:hAnsi="仿宋_GB2312" w:eastAsia="仿宋_GB2312" w:cs="仿宋_GB2312"/>
          <w:bCs/>
          <w:szCs w:val="32"/>
        </w:rPr>
        <w:t>重大隐患治理实行“一事一档”管理，档案应包含从隐患发现到整治方案制订、实施、验收销号全过程的相关资料、文件、纪要、记录和影像资料等</w:t>
      </w:r>
      <w:r>
        <w:rPr>
          <w:rFonts w:hint="eastAsia" w:ascii="仿宋_GB2312" w:hAnsi="仿宋_GB2312" w:eastAsia="仿宋_GB2312" w:cs="仿宋_GB2312"/>
          <w:szCs w:val="32"/>
        </w:rPr>
        <w:t>，资料长期保存</w:t>
      </w:r>
      <w:r>
        <w:rPr>
          <w:rFonts w:hint="eastAsia" w:ascii="仿宋_GB2312" w:hAnsi="仿宋_GB2312" w:eastAsia="仿宋_GB2312" w:cs="仿宋_GB2312"/>
          <w:bCs/>
          <w:szCs w:val="32"/>
        </w:rPr>
        <w:t>。</w:t>
      </w:r>
    </w:p>
    <w:p w14:paraId="6E7F1735">
      <w:pPr>
        <w:keepNext w:val="0"/>
        <w:keepLines w:val="0"/>
        <w:pageBreakBefore w:val="0"/>
        <w:widowControl w:val="0"/>
        <w:kinsoku/>
        <w:wordWrap/>
        <w:overflowPunct/>
        <w:topLinePunct w:val="0"/>
        <w:autoSpaceDE/>
        <w:autoSpaceDN/>
        <w:bidi w:val="0"/>
        <w:adjustRightInd/>
        <w:snapToGrid/>
        <w:spacing w:after="400" w:line="560" w:lineRule="exact"/>
        <w:ind w:firstLine="640"/>
        <w:textAlignment w:val="auto"/>
        <w:rPr>
          <w:rFonts w:hint="eastAsia" w:ascii="仿宋_GB2312" w:hAnsi="仿宋_GB2312" w:eastAsia="仿宋_GB2312" w:cs="仿宋_GB2312"/>
          <w:kern w:val="0"/>
          <w:szCs w:val="32"/>
        </w:rPr>
      </w:pPr>
      <w:r>
        <w:rPr>
          <w:rStyle w:val="19"/>
          <w:rFonts w:hint="eastAsia" w:ascii="仿宋_GB2312" w:hAnsi="仿宋_GB2312" w:eastAsia="仿宋_GB2312" w:cs="仿宋_GB2312"/>
        </w:rPr>
        <w:t>（二）一般隐患治理。</w:t>
      </w:r>
      <w:r>
        <w:rPr>
          <w:rFonts w:hint="eastAsia" w:ascii="仿宋_GB2312" w:hAnsi="仿宋_GB2312" w:eastAsia="仿宋_GB2312" w:cs="仿宋_GB2312"/>
          <w:bCs/>
          <w:szCs w:val="32"/>
          <w:lang w:val="zh-CN"/>
        </w:rPr>
        <w:t>一般隐患要</w:t>
      </w:r>
      <w:r>
        <w:rPr>
          <w:rFonts w:hint="eastAsia" w:ascii="仿宋_GB2312" w:hAnsi="仿宋_GB2312" w:eastAsia="仿宋_GB2312" w:cs="仿宋_GB2312"/>
          <w:bCs/>
          <w:szCs w:val="32"/>
        </w:rPr>
        <w:t>按照责任分工立即或限期组织治理，</w:t>
      </w:r>
      <w:r>
        <w:rPr>
          <w:rFonts w:hint="eastAsia" w:ascii="仿宋_GB2312" w:hAnsi="仿宋_GB2312" w:eastAsia="仿宋_GB2312" w:cs="仿宋_GB2312"/>
          <w:szCs w:val="32"/>
        </w:rPr>
        <w:t>并注重源头治理，杜绝</w:t>
      </w:r>
      <w:r>
        <w:rPr>
          <w:rFonts w:hint="eastAsia" w:ascii="仿宋_GB2312" w:hAnsi="仿宋_GB2312" w:eastAsia="仿宋_GB2312" w:cs="仿宋_GB2312"/>
          <w:szCs w:val="32"/>
          <w:lang w:val="zh-CN"/>
        </w:rPr>
        <w:t>问题</w:t>
      </w:r>
      <w:r>
        <w:rPr>
          <w:rFonts w:hint="eastAsia" w:ascii="仿宋_GB2312" w:hAnsi="仿宋_GB2312" w:eastAsia="仿宋_GB2312" w:cs="仿宋_GB2312"/>
          <w:szCs w:val="32"/>
        </w:rPr>
        <w:t>重复发生。</w:t>
      </w:r>
    </w:p>
    <w:p w14:paraId="55574917">
      <w:pPr>
        <w:numPr>
          <w:ilvl w:val="0"/>
          <w:numId w:val="0"/>
        </w:numPr>
        <w:tabs>
          <w:tab w:val="left" w:pos="0"/>
        </w:tabs>
        <w:spacing w:line="560" w:lineRule="exact"/>
        <w:ind w:firstLine="640" w:firstLineChars="200"/>
        <w:rPr>
          <w:szCs w:val="32"/>
        </w:rPr>
      </w:pPr>
      <w:r>
        <w:rPr>
          <w:rFonts w:hint="eastAsia" w:ascii="黑体" w:hAnsi="黑体" w:eastAsia="黑体" w:cs="黑体"/>
          <w:b w:val="0"/>
          <w:bCs w:val="0"/>
          <w:kern w:val="2"/>
          <w:sz w:val="32"/>
          <w:szCs w:val="32"/>
          <w:lang w:val="en-US" w:eastAsia="zh-CN" w:bidi="ar-SA"/>
        </w:rPr>
        <w:t xml:space="preserve">第三十三条 </w:t>
      </w:r>
      <w:r>
        <w:rPr>
          <w:szCs w:val="32"/>
        </w:rPr>
        <w:t>落实隐患治理责任。</w:t>
      </w:r>
    </w:p>
    <w:p w14:paraId="6D4F559B">
      <w:pPr>
        <w:spacing w:line="560" w:lineRule="exact"/>
        <w:ind w:firstLine="640"/>
        <w:rPr>
          <w:szCs w:val="32"/>
        </w:rPr>
      </w:pPr>
      <w:r>
        <w:rPr>
          <w:szCs w:val="32"/>
        </w:rPr>
        <w:t>（一）各级管理人员和现场作业人员均负有隐患排查治理责任，纳入各级管理人员和作业人员的安全生产职责中。</w:t>
      </w:r>
    </w:p>
    <w:p w14:paraId="3B20633D">
      <w:pPr>
        <w:spacing w:line="560" w:lineRule="exact"/>
        <w:ind w:firstLine="640"/>
        <w:rPr>
          <w:szCs w:val="32"/>
        </w:rPr>
      </w:pPr>
      <w:r>
        <w:rPr>
          <w:bCs/>
          <w:szCs w:val="32"/>
        </w:rPr>
        <w:t>（二）重大隐患须采取全部或局部停产停业、停止运营等强制措施。在隐患治理过程中，应视情采取停止作业、现场监控、干部盯控等安全控制措施。隐患排除前或排除过程中无法保证安全的，须采取全部或局部停产停业，以及从危险区域撤出人员等强制措施。</w:t>
      </w:r>
    </w:p>
    <w:p w14:paraId="264F28A0">
      <w:pPr>
        <w:keepNext w:val="0"/>
        <w:keepLines w:val="0"/>
        <w:pageBreakBefore w:val="0"/>
        <w:widowControl w:val="0"/>
        <w:kinsoku/>
        <w:wordWrap/>
        <w:overflowPunct/>
        <w:topLinePunct w:val="0"/>
        <w:autoSpaceDE/>
        <w:autoSpaceDN/>
        <w:bidi w:val="0"/>
        <w:adjustRightInd/>
        <w:snapToGrid/>
        <w:spacing w:after="400" w:line="560" w:lineRule="exact"/>
        <w:ind w:firstLine="640"/>
        <w:textAlignment w:val="auto"/>
        <w:rPr>
          <w:rFonts w:eastAsia="楷体_GB2312"/>
          <w:szCs w:val="32"/>
        </w:rPr>
      </w:pPr>
      <w:r>
        <w:rPr>
          <w:szCs w:val="32"/>
        </w:rPr>
        <w:t>（三）</w:t>
      </w:r>
      <w:r>
        <w:rPr>
          <w:rFonts w:hint="eastAsia"/>
          <w:szCs w:val="32"/>
        </w:rPr>
        <w:t>公司</w:t>
      </w:r>
      <w:r>
        <w:rPr>
          <w:bCs/>
          <w:color w:val="000000"/>
          <w:szCs w:val="32"/>
        </w:rPr>
        <w:t>财务</w:t>
      </w:r>
      <w:r>
        <w:rPr>
          <w:rFonts w:hint="eastAsia"/>
          <w:bCs/>
          <w:color w:val="000000"/>
          <w:szCs w:val="32"/>
          <w:lang w:val="en-US" w:eastAsia="zh-CN"/>
        </w:rPr>
        <w:t>管理</w:t>
      </w:r>
      <w:r>
        <w:rPr>
          <w:rFonts w:hint="eastAsia"/>
          <w:bCs/>
          <w:color w:val="000000"/>
          <w:szCs w:val="32"/>
        </w:rPr>
        <w:t>部</w:t>
      </w:r>
      <w:r>
        <w:rPr>
          <w:bCs/>
          <w:color w:val="000000"/>
          <w:szCs w:val="32"/>
        </w:rPr>
        <w:t>等综合部门应</w:t>
      </w:r>
      <w:r>
        <w:rPr>
          <w:bCs/>
          <w:szCs w:val="32"/>
        </w:rPr>
        <w:t>做好安全投入等综合保障工作，在年度安全生产费用中保证隐患排查治理所需的资金，建立资金使用专项制度，做到专款专用。隐患排查治理资金需求超出年度安全生产费用使用计划的，应当及时调整。</w:t>
      </w:r>
    </w:p>
    <w:p w14:paraId="5C1523CB">
      <w:pPr>
        <w:numPr>
          <w:ilvl w:val="0"/>
          <w:numId w:val="0"/>
        </w:numPr>
        <w:tabs>
          <w:tab w:val="left" w:pos="0"/>
        </w:tabs>
        <w:autoSpaceDE w:val="0"/>
        <w:autoSpaceDN w:val="0"/>
        <w:adjustRightInd w:val="0"/>
        <w:spacing w:line="560" w:lineRule="exact"/>
        <w:ind w:firstLine="640" w:firstLineChars="200"/>
        <w:jc w:val="left"/>
        <w:rPr>
          <w:rFonts w:eastAsia="楷体_GB2312"/>
          <w:b/>
          <w:szCs w:val="32"/>
        </w:rPr>
      </w:pPr>
      <w:r>
        <w:rPr>
          <w:rFonts w:hint="eastAsia" w:ascii="黑体" w:hAnsi="黑体" w:eastAsia="黑体" w:cs="黑体"/>
          <w:b w:val="0"/>
          <w:bCs w:val="0"/>
          <w:kern w:val="2"/>
          <w:sz w:val="32"/>
          <w:szCs w:val="32"/>
          <w:lang w:val="en-US" w:eastAsia="zh-CN" w:bidi="ar-SA"/>
        </w:rPr>
        <w:t xml:space="preserve">第三十四条 </w:t>
      </w:r>
      <w:r>
        <w:rPr>
          <w:bCs/>
          <w:szCs w:val="32"/>
        </w:rPr>
        <w:t>隐患治理效果评价。</w:t>
      </w:r>
    </w:p>
    <w:p w14:paraId="6938E36D">
      <w:pPr>
        <w:numPr>
          <w:ilvl w:val="0"/>
          <w:numId w:val="0"/>
        </w:numPr>
        <w:ind w:left="0" w:leftChars="0" w:firstLine="640" w:firstLineChars="200"/>
      </w:pPr>
      <w:r>
        <w:rPr>
          <w:rFonts w:hint="eastAsia" w:ascii="Times New Roman" w:hAnsi="Times New Roman" w:eastAsia="仿宋_GB2312" w:cs="Times New Roman"/>
          <w:kern w:val="2"/>
          <w:sz w:val="32"/>
          <w:lang w:val="en-US" w:eastAsia="zh-CN" w:bidi="ar-SA"/>
        </w:rPr>
        <w:t>（一）</w:t>
      </w:r>
      <w:r>
        <w:t>重大隐患治理工作完成后，</w:t>
      </w:r>
      <w:r>
        <w:rPr>
          <w:rFonts w:hint="eastAsia"/>
        </w:rPr>
        <w:t>各部门、</w:t>
      </w:r>
      <w:r>
        <w:rPr>
          <w:rFonts w:hint="eastAsia"/>
          <w:lang w:eastAsia="zh-CN"/>
        </w:rPr>
        <w:t>委外单位</w:t>
      </w:r>
      <w:r>
        <w:rPr>
          <w:rFonts w:hint="eastAsia"/>
        </w:rPr>
        <w:t>、物业公司</w:t>
      </w:r>
      <w:r>
        <w:t>上报</w:t>
      </w:r>
      <w:r>
        <w:rPr>
          <w:rFonts w:hint="eastAsia"/>
        </w:rPr>
        <w:t>双控机制领导组办公室</w:t>
      </w:r>
      <w:r>
        <w:t>，接受公司相关部室隐患治理情况的现场验证。</w:t>
      </w:r>
    </w:p>
    <w:p w14:paraId="04F46F67">
      <w:pPr>
        <w:numPr>
          <w:ilvl w:val="0"/>
          <w:numId w:val="0"/>
        </w:numPr>
        <w:ind w:left="0" w:leftChars="0" w:firstLine="640" w:firstLineChars="200"/>
      </w:pPr>
      <w:r>
        <w:rPr>
          <w:rFonts w:hint="eastAsia" w:ascii="Times New Roman" w:hAnsi="Times New Roman" w:eastAsia="仿宋_GB2312" w:cs="Times New Roman"/>
          <w:kern w:val="2"/>
          <w:sz w:val="32"/>
          <w:lang w:val="en-US" w:eastAsia="zh-CN" w:bidi="ar-SA"/>
        </w:rPr>
        <w:t>（二）</w:t>
      </w:r>
      <w:r>
        <w:t>一般隐患</w:t>
      </w:r>
      <w:r>
        <w:rPr>
          <w:rFonts w:hint="eastAsia"/>
          <w:lang w:val="en-US" w:eastAsia="zh-CN"/>
        </w:rPr>
        <w:t>治理</w:t>
      </w:r>
      <w:r>
        <w:t>工作完成后，</w:t>
      </w:r>
      <w:r>
        <w:rPr>
          <w:rFonts w:hint="eastAsia"/>
        </w:rPr>
        <w:t>各部门、</w:t>
      </w:r>
      <w:r>
        <w:rPr>
          <w:rFonts w:hint="eastAsia"/>
          <w:lang w:eastAsia="zh-CN"/>
        </w:rPr>
        <w:t>委外单位</w:t>
      </w:r>
      <w:r>
        <w:rPr>
          <w:rFonts w:hint="eastAsia"/>
        </w:rPr>
        <w:t>、物业单位</w:t>
      </w:r>
      <w:r>
        <w:t>应组织安全、技术人员及其他相关人员对隐患治理情况进行效果评价。</w:t>
      </w:r>
    </w:p>
    <w:p w14:paraId="6E693382">
      <w:pPr>
        <w:keepNext w:val="0"/>
        <w:keepLines w:val="0"/>
        <w:pageBreakBefore w:val="0"/>
        <w:widowControl w:val="0"/>
        <w:numPr>
          <w:ilvl w:val="0"/>
          <w:numId w:val="0"/>
        </w:numPr>
        <w:kinsoku/>
        <w:wordWrap/>
        <w:overflowPunct/>
        <w:topLinePunct w:val="0"/>
        <w:autoSpaceDE/>
        <w:autoSpaceDN/>
        <w:bidi w:val="0"/>
        <w:adjustRightInd/>
        <w:snapToGrid/>
        <w:spacing w:after="400"/>
        <w:ind w:left="0" w:leftChars="0" w:firstLine="640" w:firstLineChars="200"/>
        <w:textAlignment w:val="auto"/>
      </w:pPr>
      <w:r>
        <w:rPr>
          <w:rFonts w:hint="eastAsia" w:ascii="Times New Roman" w:hAnsi="Times New Roman" w:eastAsia="仿宋_GB2312" w:cs="Times New Roman"/>
          <w:kern w:val="2"/>
          <w:sz w:val="32"/>
          <w:lang w:val="en-US" w:eastAsia="zh-CN" w:bidi="ar-SA"/>
        </w:rPr>
        <w:t>（三）</w:t>
      </w:r>
      <w:r>
        <w:t>隐患治理经效果评价未达到治理目标的，</w:t>
      </w:r>
      <w:r>
        <w:rPr>
          <w:rFonts w:hint="eastAsia"/>
        </w:rPr>
        <w:t>各部门、</w:t>
      </w:r>
      <w:r>
        <w:rPr>
          <w:rFonts w:hint="eastAsia"/>
          <w:lang w:eastAsia="zh-CN"/>
        </w:rPr>
        <w:t>委外单位</w:t>
      </w:r>
      <w:r>
        <w:rPr>
          <w:rFonts w:hint="eastAsia"/>
        </w:rPr>
        <w:t>、物业单位</w:t>
      </w:r>
      <w:r>
        <w:t>应当继续整改。</w:t>
      </w:r>
    </w:p>
    <w:p w14:paraId="0B858DD9">
      <w:pPr>
        <w:numPr>
          <w:ilvl w:val="0"/>
          <w:numId w:val="0"/>
        </w:numPr>
        <w:tabs>
          <w:tab w:val="left" w:pos="0"/>
        </w:tabs>
        <w:autoSpaceDE w:val="0"/>
        <w:autoSpaceDN w:val="0"/>
        <w:adjustRightInd w:val="0"/>
        <w:spacing w:line="560" w:lineRule="exact"/>
        <w:ind w:firstLine="640" w:firstLineChars="200"/>
        <w:jc w:val="left"/>
        <w:rPr>
          <w:szCs w:val="32"/>
          <w:lang w:val="zh-CN"/>
        </w:rPr>
      </w:pPr>
      <w:r>
        <w:rPr>
          <w:rFonts w:hint="eastAsia" w:ascii="黑体" w:hAnsi="黑体" w:eastAsia="黑体" w:cs="黑体"/>
          <w:b w:val="0"/>
          <w:bCs w:val="0"/>
          <w:kern w:val="2"/>
          <w:sz w:val="32"/>
          <w:szCs w:val="32"/>
          <w:lang w:val="zh-CN" w:eastAsia="zh-CN" w:bidi="ar-SA"/>
        </w:rPr>
        <w:t xml:space="preserve">第三十五条 </w:t>
      </w:r>
      <w:r>
        <w:rPr>
          <w:szCs w:val="32"/>
          <w:lang w:val="zh-CN"/>
        </w:rPr>
        <w:t>安全隐患管理制度。</w:t>
      </w:r>
    </w:p>
    <w:p w14:paraId="04600A98">
      <w:pPr>
        <w:autoSpaceDE w:val="0"/>
        <w:autoSpaceDN w:val="0"/>
        <w:adjustRightInd w:val="0"/>
        <w:spacing w:line="560" w:lineRule="exact"/>
        <w:ind w:firstLine="640"/>
        <w:jc w:val="left"/>
        <w:rPr>
          <w:rFonts w:hint="eastAsia" w:ascii="仿宋_GB2312" w:hAnsi="仿宋_GB2312" w:eastAsia="仿宋_GB2312" w:cs="仿宋_GB2312"/>
          <w:szCs w:val="32"/>
        </w:rPr>
      </w:pPr>
      <w:r>
        <w:rPr>
          <w:rStyle w:val="19"/>
          <w:rFonts w:hint="eastAsia" w:ascii="仿宋_GB2312" w:hAnsi="仿宋_GB2312" w:eastAsia="仿宋_GB2312" w:cs="仿宋_GB2312"/>
        </w:rPr>
        <w:t>（一）立即报告制度</w:t>
      </w:r>
      <w:r>
        <w:rPr>
          <w:rStyle w:val="19"/>
          <w:rFonts w:hint="eastAsia" w:ascii="仿宋_GB2312" w:hAnsi="仿宋_GB2312" w:eastAsia="仿宋_GB2312" w:cs="仿宋_GB2312"/>
          <w:lang w:val="zh-CN"/>
        </w:rPr>
        <w:t>。</w:t>
      </w:r>
      <w:r>
        <w:rPr>
          <w:rFonts w:hint="eastAsia" w:ascii="仿宋_GB2312" w:hAnsi="仿宋_GB2312" w:eastAsia="仿宋_GB2312" w:cs="仿宋_GB2312"/>
          <w:szCs w:val="32"/>
          <w:lang w:val="zh-CN"/>
        </w:rPr>
        <w:t>任何</w:t>
      </w:r>
      <w:r>
        <w:rPr>
          <w:rFonts w:hint="eastAsia" w:ascii="仿宋_GB2312" w:hAnsi="仿宋_GB2312" w:eastAsia="仿宋_GB2312" w:cs="仿宋_GB2312"/>
          <w:bCs/>
          <w:szCs w:val="32"/>
        </w:rPr>
        <w:t>部门、</w:t>
      </w:r>
      <w:r>
        <w:rPr>
          <w:rFonts w:hint="eastAsia" w:ascii="仿宋_GB2312" w:hAnsi="仿宋_GB2312" w:cs="仿宋_GB2312"/>
          <w:bCs/>
          <w:szCs w:val="32"/>
          <w:lang w:eastAsia="zh-CN"/>
        </w:rPr>
        <w:t>委外单位</w:t>
      </w:r>
      <w:r>
        <w:rPr>
          <w:rFonts w:hint="eastAsia" w:ascii="仿宋_GB2312" w:hAnsi="仿宋_GB2312" w:eastAsia="仿宋_GB2312" w:cs="仿宋_GB2312"/>
          <w:bCs/>
          <w:szCs w:val="32"/>
        </w:rPr>
        <w:t>、物业单位、</w:t>
      </w:r>
      <w:r>
        <w:rPr>
          <w:rFonts w:hint="eastAsia" w:ascii="仿宋_GB2312" w:hAnsi="仿宋_GB2312" w:eastAsia="仿宋_GB2312" w:cs="仿宋_GB2312"/>
          <w:szCs w:val="32"/>
          <w:lang w:val="zh-CN"/>
        </w:rPr>
        <w:t>个人发现危及生产安全的隐患，均有责任和义务向公司、</w:t>
      </w:r>
      <w:r>
        <w:rPr>
          <w:rFonts w:hint="eastAsia" w:ascii="仿宋_GB2312" w:hAnsi="仿宋_GB2312" w:cs="仿宋_GB2312"/>
          <w:szCs w:val="32"/>
          <w:lang w:eastAsia="zh-CN"/>
        </w:rPr>
        <w:t>委外单位</w:t>
      </w:r>
      <w:r>
        <w:rPr>
          <w:rFonts w:hint="eastAsia" w:ascii="仿宋_GB2312" w:hAnsi="仿宋_GB2312" w:eastAsia="仿宋_GB2312" w:cs="仿宋_GB2312"/>
          <w:szCs w:val="32"/>
        </w:rPr>
        <w:t>、物业单位</w:t>
      </w:r>
      <w:r>
        <w:rPr>
          <w:rFonts w:hint="eastAsia" w:ascii="仿宋_GB2312" w:hAnsi="仿宋_GB2312" w:eastAsia="仿宋_GB2312" w:cs="仿宋_GB2312"/>
          <w:szCs w:val="32"/>
          <w:lang w:val="zh-CN"/>
        </w:rPr>
        <w:t>报告。相关</w:t>
      </w:r>
      <w:r>
        <w:rPr>
          <w:rFonts w:hint="eastAsia" w:ascii="仿宋_GB2312" w:hAnsi="仿宋_GB2312" w:eastAsia="仿宋_GB2312" w:cs="仿宋_GB2312"/>
          <w:bCs/>
          <w:szCs w:val="32"/>
        </w:rPr>
        <w:t>部门、</w:t>
      </w:r>
      <w:r>
        <w:rPr>
          <w:rFonts w:hint="eastAsia" w:ascii="仿宋_GB2312" w:hAnsi="仿宋_GB2312" w:cs="仿宋_GB2312"/>
          <w:bCs/>
          <w:szCs w:val="32"/>
          <w:lang w:eastAsia="zh-CN"/>
        </w:rPr>
        <w:t>委外单位</w:t>
      </w:r>
      <w:r>
        <w:rPr>
          <w:rFonts w:hint="eastAsia" w:ascii="仿宋_GB2312" w:hAnsi="仿宋_GB2312" w:eastAsia="仿宋_GB2312" w:cs="仿宋_GB2312"/>
          <w:bCs/>
          <w:szCs w:val="32"/>
        </w:rPr>
        <w:t>、物业单位</w:t>
      </w:r>
      <w:r>
        <w:rPr>
          <w:rFonts w:hint="eastAsia" w:ascii="仿宋_GB2312" w:hAnsi="仿宋_GB2312" w:eastAsia="仿宋_GB2312" w:cs="仿宋_GB2312"/>
          <w:szCs w:val="32"/>
          <w:lang w:val="zh-CN"/>
        </w:rPr>
        <w:t>接到隐患报告后，应立即组织调查核实；发现所报告隐患应当由其</w:t>
      </w:r>
      <w:r>
        <w:rPr>
          <w:rFonts w:hint="eastAsia" w:ascii="仿宋_GB2312" w:hAnsi="仿宋_GB2312" w:eastAsia="仿宋_GB2312" w:cs="仿宋_GB2312"/>
          <w:color w:val="000000"/>
          <w:szCs w:val="32"/>
          <w:lang w:val="zh-CN"/>
        </w:rPr>
        <w:t>他单位</w:t>
      </w:r>
      <w:r>
        <w:rPr>
          <w:rFonts w:hint="eastAsia" w:ascii="仿宋_GB2312" w:hAnsi="仿宋_GB2312" w:eastAsia="仿宋_GB2312" w:cs="仿宋_GB2312"/>
          <w:bCs/>
          <w:color w:val="000000"/>
          <w:szCs w:val="32"/>
        </w:rPr>
        <w:t>（部门）</w:t>
      </w:r>
      <w:r>
        <w:rPr>
          <w:rFonts w:hint="eastAsia" w:ascii="仿宋_GB2312" w:hAnsi="仿宋_GB2312" w:eastAsia="仿宋_GB2312" w:cs="仿宋_GB2312"/>
          <w:color w:val="000000"/>
          <w:szCs w:val="32"/>
          <w:lang w:val="zh-CN"/>
        </w:rPr>
        <w:t>处理的，向上级主管部门报告。</w:t>
      </w:r>
      <w:r>
        <w:rPr>
          <w:rFonts w:hint="eastAsia" w:ascii="仿宋_GB2312" w:hAnsi="仿宋_GB2312" w:eastAsia="仿宋_GB2312" w:cs="仿宋_GB2312"/>
          <w:color w:val="000000"/>
          <w:szCs w:val="32"/>
        </w:rPr>
        <w:t>报告的主要内容应包括：隐患现状及其产生原因、危害程度和整改难</w:t>
      </w:r>
      <w:r>
        <w:rPr>
          <w:rFonts w:hint="eastAsia" w:ascii="仿宋_GB2312" w:hAnsi="仿宋_GB2312" w:eastAsia="仿宋_GB2312" w:cs="仿宋_GB2312"/>
          <w:szCs w:val="32"/>
        </w:rPr>
        <w:t>易程度分析、治理建议方案等（见附件4）。</w:t>
      </w:r>
    </w:p>
    <w:p w14:paraId="7A27F807">
      <w:pPr>
        <w:autoSpaceDE w:val="0"/>
        <w:autoSpaceDN w:val="0"/>
        <w:adjustRightInd w:val="0"/>
        <w:spacing w:line="560" w:lineRule="exact"/>
        <w:ind w:firstLine="640"/>
        <w:jc w:val="left"/>
        <w:rPr>
          <w:rFonts w:hint="eastAsia" w:ascii="仿宋_GB2312" w:hAnsi="仿宋_GB2312" w:eastAsia="仿宋_GB2312" w:cs="仿宋_GB2312"/>
          <w:szCs w:val="32"/>
        </w:rPr>
      </w:pPr>
      <w:r>
        <w:rPr>
          <w:rFonts w:hint="eastAsia" w:ascii="仿宋_GB2312" w:hAnsi="仿宋_GB2312" w:cs="仿宋_GB2312"/>
          <w:szCs w:val="32"/>
          <w:lang w:val="en-US" w:eastAsia="zh-CN"/>
        </w:rPr>
        <w:t>公司内部无法</w:t>
      </w:r>
      <w:r>
        <w:rPr>
          <w:rFonts w:hint="eastAsia" w:ascii="仿宋_GB2312" w:hAnsi="仿宋_GB2312" w:eastAsia="仿宋_GB2312" w:cs="仿宋_GB2312"/>
          <w:szCs w:val="32"/>
        </w:rPr>
        <w:t>解决的，</w:t>
      </w:r>
      <w:r>
        <w:rPr>
          <w:rFonts w:hint="eastAsia" w:ascii="仿宋_GB2312" w:hAnsi="仿宋_GB2312" w:eastAsia="仿宋_GB2312" w:cs="仿宋_GB2312"/>
          <w:szCs w:val="32"/>
          <w:lang w:val="zh-CN"/>
        </w:rPr>
        <w:t>应</w:t>
      </w:r>
      <w:r>
        <w:rPr>
          <w:rFonts w:hint="eastAsia" w:ascii="仿宋_GB2312" w:hAnsi="仿宋_GB2312" w:cs="仿宋_GB2312"/>
          <w:szCs w:val="32"/>
          <w:lang w:val="en-US" w:eastAsia="zh-CN"/>
        </w:rPr>
        <w:t>立即报告上级部门或地方政府，积极协调其他单位，</w:t>
      </w:r>
      <w:r>
        <w:rPr>
          <w:rFonts w:hint="eastAsia" w:ascii="仿宋_GB2312" w:hAnsi="仿宋_GB2312" w:eastAsia="仿宋_GB2312" w:cs="仿宋_GB2312"/>
          <w:szCs w:val="32"/>
          <w:lang w:val="zh-CN"/>
        </w:rPr>
        <w:t>落实整改措施。</w:t>
      </w:r>
    </w:p>
    <w:p w14:paraId="05B5E3B4">
      <w:pPr>
        <w:autoSpaceDE w:val="0"/>
        <w:autoSpaceDN w:val="0"/>
        <w:adjustRightInd w:val="0"/>
        <w:spacing w:line="560" w:lineRule="exact"/>
        <w:ind w:firstLine="640"/>
        <w:jc w:val="left"/>
        <w:rPr>
          <w:rFonts w:hint="eastAsia" w:ascii="仿宋_GB2312" w:hAnsi="仿宋_GB2312" w:eastAsia="仿宋_GB2312" w:cs="仿宋_GB2312"/>
          <w:b/>
        </w:rPr>
      </w:pPr>
      <w:r>
        <w:rPr>
          <w:rFonts w:hint="eastAsia" w:ascii="仿宋_GB2312" w:hAnsi="仿宋_GB2312" w:eastAsia="仿宋_GB2312" w:cs="仿宋_GB2312"/>
          <w:bCs/>
          <w:szCs w:val="32"/>
        </w:rPr>
        <w:t>（二）定期报告制度。</w:t>
      </w:r>
      <w:r>
        <w:rPr>
          <w:rFonts w:hint="eastAsia" w:ascii="仿宋_GB2312" w:hAnsi="仿宋_GB2312" w:eastAsia="仿宋_GB2312" w:cs="仿宋_GB2312"/>
          <w:bCs/>
          <w:color w:val="000000"/>
          <w:szCs w:val="32"/>
        </w:rPr>
        <w:t>公司各</w:t>
      </w:r>
      <w:r>
        <w:rPr>
          <w:rFonts w:hint="eastAsia" w:ascii="仿宋_GB2312" w:hAnsi="仿宋_GB2312" w:cs="仿宋_GB2312"/>
          <w:bCs/>
          <w:color w:val="000000"/>
          <w:szCs w:val="32"/>
          <w:lang w:eastAsia="zh-CN"/>
        </w:rPr>
        <w:t>委外单位</w:t>
      </w:r>
      <w:r>
        <w:rPr>
          <w:rFonts w:hint="eastAsia" w:ascii="仿宋_GB2312" w:hAnsi="仿宋_GB2312" w:eastAsia="仿宋_GB2312" w:cs="仿宋_GB2312"/>
          <w:bCs/>
          <w:color w:val="000000"/>
          <w:szCs w:val="32"/>
        </w:rPr>
        <w:t>、</w:t>
      </w:r>
      <w:r>
        <w:rPr>
          <w:rFonts w:hint="eastAsia" w:ascii="仿宋_GB2312" w:hAnsi="仿宋_GB2312" w:eastAsia="仿宋_GB2312" w:cs="仿宋_GB2312"/>
          <w:bCs/>
          <w:szCs w:val="32"/>
        </w:rPr>
        <w:t>物业单位每月25日前</w:t>
      </w:r>
      <w:r>
        <w:rPr>
          <w:rFonts w:hint="eastAsia" w:ascii="仿宋_GB2312" w:hAnsi="仿宋_GB2312" w:eastAsia="仿宋_GB2312" w:cs="仿宋_GB2312"/>
          <w:bCs/>
          <w:color w:val="000000"/>
          <w:szCs w:val="32"/>
        </w:rPr>
        <w:t>向公司</w:t>
      </w:r>
      <w:r>
        <w:rPr>
          <w:rFonts w:hint="eastAsia" w:ascii="仿宋_GB2312" w:hAnsi="仿宋_GB2312" w:eastAsia="仿宋_GB2312" w:cs="仿宋_GB2312"/>
          <w:bCs/>
          <w:color w:val="000000"/>
          <w:szCs w:val="32"/>
          <w:lang w:eastAsia="zh-CN"/>
        </w:rPr>
        <w:t>安全环保监察部</w:t>
      </w:r>
      <w:r>
        <w:rPr>
          <w:rFonts w:hint="eastAsia" w:ascii="仿宋_GB2312" w:hAnsi="仿宋_GB2312" w:eastAsia="仿宋_GB2312" w:cs="仿宋_GB2312"/>
          <w:bCs/>
          <w:color w:val="000000"/>
          <w:szCs w:val="32"/>
        </w:rPr>
        <w:t>报告隐患排查治理情况（附件5）。</w:t>
      </w:r>
    </w:p>
    <w:p w14:paraId="635FE12A">
      <w:pPr>
        <w:autoSpaceDE w:val="0"/>
        <w:autoSpaceDN w:val="0"/>
        <w:adjustRightInd w:val="0"/>
        <w:spacing w:line="560" w:lineRule="exact"/>
        <w:ind w:firstLine="640"/>
        <w:jc w:val="left"/>
        <w:rPr>
          <w:rFonts w:hint="eastAsia" w:ascii="仿宋_GB2312" w:hAnsi="仿宋_GB2312" w:eastAsia="仿宋_GB2312" w:cs="仿宋_GB2312"/>
        </w:rPr>
      </w:pPr>
      <w:r>
        <w:rPr>
          <w:rStyle w:val="18"/>
          <w:rFonts w:hint="eastAsia" w:ascii="仿宋_GB2312" w:hAnsi="仿宋_GB2312" w:eastAsia="仿宋_GB2312" w:cs="仿宋_GB2312"/>
        </w:rPr>
        <w:t>（三）重大隐患挂牌督办。</w:t>
      </w:r>
      <w:r>
        <w:rPr>
          <w:rFonts w:hint="eastAsia" w:ascii="仿宋_GB2312" w:hAnsi="仿宋_GB2312" w:eastAsia="仿宋_GB2312" w:cs="仿宋_GB2312"/>
        </w:rPr>
        <w:t>重大隐患治理实行挂牌督办制度，定期通报治理情况，逐级上报备案，挂牌督办</w:t>
      </w:r>
      <w:r>
        <w:rPr>
          <w:rFonts w:hint="eastAsia" w:ascii="仿宋_GB2312" w:hAnsi="仿宋_GB2312" w:eastAsia="仿宋_GB2312" w:cs="仿宋_GB2312"/>
          <w:bCs/>
        </w:rPr>
        <w:t>完成时限原则上不超过三个月，整改难度较大的可分阶段细化治理措施。</w:t>
      </w:r>
      <w:r>
        <w:rPr>
          <w:rFonts w:hint="eastAsia" w:ascii="仿宋_GB2312" w:hAnsi="仿宋_GB2312" w:eastAsia="仿宋_GB2312" w:cs="仿宋_GB2312"/>
        </w:rPr>
        <w:t>公司</w:t>
      </w:r>
      <w:r>
        <w:rPr>
          <w:rFonts w:hint="eastAsia" w:ascii="仿宋_GB2312" w:hAnsi="仿宋_GB2312" w:eastAsia="仿宋_GB2312" w:cs="仿宋_GB2312"/>
          <w:lang w:eastAsia="zh-CN"/>
        </w:rPr>
        <w:t>安全环保监察部</w:t>
      </w:r>
      <w:r>
        <w:rPr>
          <w:rFonts w:hint="eastAsia" w:ascii="仿宋_GB2312" w:hAnsi="仿宋_GB2312" w:eastAsia="仿宋_GB2312" w:cs="仿宋_GB2312"/>
        </w:rPr>
        <w:t>作为督办部门，每月汇总</w:t>
      </w:r>
      <w:r>
        <w:rPr>
          <w:rFonts w:hint="eastAsia" w:ascii="仿宋_GB2312" w:hAnsi="仿宋_GB2312" w:eastAsia="仿宋_GB2312" w:cs="仿宋_GB2312"/>
          <w:color w:val="000000"/>
        </w:rPr>
        <w:t>重大隐患治理工作落实情况，公布督办项目和销号情况，督促牵头治理部门和整治责任单位落实隐患治理方案，协调解决治理工作中存在的问题，督促按期完成，并在安委会上提出重大隐患挂牌督办落实</w:t>
      </w:r>
      <w:r>
        <w:rPr>
          <w:rFonts w:hint="eastAsia" w:ascii="仿宋_GB2312" w:hAnsi="仿宋_GB2312" w:eastAsia="仿宋_GB2312" w:cs="仿宋_GB2312"/>
        </w:rPr>
        <w:t>情况和存在重要问题的处理意见建议。</w:t>
      </w:r>
    </w:p>
    <w:p w14:paraId="22B93D0C">
      <w:pPr>
        <w:pStyle w:val="3"/>
        <w:keepNext/>
        <w:keepLines/>
        <w:pageBreakBefore w:val="0"/>
        <w:widowControl w:val="0"/>
        <w:numPr>
          <w:ilvl w:val="0"/>
          <w:numId w:val="1"/>
        </w:numPr>
        <w:kinsoku/>
        <w:wordWrap/>
        <w:overflowPunct/>
        <w:topLinePunct w:val="0"/>
        <w:autoSpaceDE/>
        <w:autoSpaceDN/>
        <w:bidi w:val="0"/>
        <w:adjustRightInd/>
        <w:snapToGrid/>
        <w:spacing w:before="600" w:after="600" w:line="240" w:lineRule="auto"/>
        <w:ind w:firstLine="0" w:firstLineChars="0"/>
        <w:textAlignment w:val="auto"/>
      </w:pPr>
      <w:r>
        <w:t>信息化建设</w:t>
      </w:r>
    </w:p>
    <w:p w14:paraId="3BE60CAA">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after="400" w:line="560" w:lineRule="exact"/>
        <w:ind w:firstLine="640" w:firstLineChars="200"/>
        <w:textAlignment w:val="auto"/>
        <w:rPr>
          <w:rStyle w:val="23"/>
          <w:rFonts w:hint="default" w:ascii="Times New Roman"/>
        </w:rPr>
      </w:pPr>
      <w:r>
        <w:rPr>
          <w:rFonts w:hint="eastAsia" w:ascii="黑体" w:hAnsi="黑体" w:eastAsia="黑体" w:cs="黑体"/>
          <w:b w:val="0"/>
          <w:bCs w:val="0"/>
          <w:color w:val="000000"/>
          <w:kern w:val="2"/>
          <w:sz w:val="32"/>
          <w:szCs w:val="32"/>
          <w:lang w:val="en-US" w:eastAsia="zh-CN" w:bidi="ar-SA"/>
        </w:rPr>
        <w:t xml:space="preserve">第三十六条 </w:t>
      </w:r>
      <w:r>
        <w:rPr>
          <w:rStyle w:val="23"/>
          <w:rFonts w:hint="default"/>
        </w:rPr>
        <w:t>公司</w:t>
      </w:r>
      <w:r>
        <w:rPr>
          <w:rStyle w:val="23"/>
          <w:rFonts w:hint="eastAsia"/>
          <w:lang w:eastAsia="zh-CN"/>
        </w:rPr>
        <w:t>安全环保监察部</w:t>
      </w:r>
      <w:r>
        <w:rPr>
          <w:rStyle w:val="23"/>
          <w:rFonts w:hint="default"/>
        </w:rPr>
        <w:t>负责收集汇总各部门、</w:t>
      </w:r>
      <w:r>
        <w:rPr>
          <w:rStyle w:val="23"/>
          <w:rFonts w:hint="eastAsia"/>
          <w:lang w:eastAsia="zh-CN"/>
        </w:rPr>
        <w:t>委外单位</w:t>
      </w:r>
      <w:r>
        <w:rPr>
          <w:rStyle w:val="23"/>
          <w:rFonts w:hint="default"/>
        </w:rPr>
        <w:t>、</w:t>
      </w:r>
      <w:r>
        <w:rPr>
          <w:rStyle w:val="23"/>
          <w:rFonts w:hint="default"/>
          <w:color w:val="auto"/>
        </w:rPr>
        <w:t>物业单位</w:t>
      </w:r>
      <w:r>
        <w:rPr>
          <w:rStyle w:val="23"/>
          <w:rFonts w:hint="default"/>
        </w:rPr>
        <w:t>上报的风险辨识与评估和隐患排查治理情况报表，形成公司风险库和安全隐患库。</w:t>
      </w:r>
    </w:p>
    <w:p w14:paraId="43C8EB50">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after="400" w:line="560" w:lineRule="exact"/>
        <w:ind w:firstLine="640" w:firstLineChars="200"/>
        <w:textAlignment w:val="auto"/>
        <w:rPr>
          <w:rStyle w:val="23"/>
          <w:rFonts w:hint="default" w:ascii="Times New Roman"/>
        </w:rPr>
      </w:pPr>
      <w:r>
        <w:rPr>
          <w:rFonts w:hint="eastAsia" w:ascii="黑体" w:hAnsi="黑体" w:eastAsia="黑体" w:cs="黑体"/>
          <w:b w:val="0"/>
          <w:bCs w:val="0"/>
          <w:color w:val="000000"/>
          <w:kern w:val="2"/>
          <w:sz w:val="32"/>
          <w:szCs w:val="32"/>
          <w:lang w:val="en-US" w:eastAsia="zh-CN" w:bidi="ar-SA"/>
        </w:rPr>
        <w:t xml:space="preserve">第三十七条 </w:t>
      </w:r>
      <w:r>
        <w:rPr>
          <w:rFonts w:hint="eastAsia"/>
          <w:szCs w:val="32"/>
        </w:rPr>
        <w:t>双控</w:t>
      </w:r>
      <w:r>
        <w:rPr>
          <w:szCs w:val="32"/>
        </w:rPr>
        <w:t>机制信息化建设应以</w:t>
      </w:r>
      <w:r>
        <w:rPr>
          <w:rStyle w:val="23"/>
          <w:rFonts w:hint="default" w:ascii="Times New Roman"/>
        </w:rPr>
        <w:t>风险库、隐患库管理为核心，与既有安全信息管理办法界定的管理、作业、设备等负面清单（安全问题库）有机衔接，动态分析、全过程记录管理和评价，并实现较大及以上风险和</w:t>
      </w:r>
      <w:r>
        <w:rPr>
          <w:rStyle w:val="23"/>
          <w:rFonts w:hint="default"/>
        </w:rPr>
        <w:t>重大</w:t>
      </w:r>
      <w:r>
        <w:rPr>
          <w:rStyle w:val="23"/>
          <w:rFonts w:hint="default" w:ascii="Times New Roman"/>
        </w:rPr>
        <w:t>隐患治理信息逐级上传，共享风险研判和隐患排查治理成果。</w:t>
      </w:r>
    </w:p>
    <w:p w14:paraId="569D8CA0">
      <w:pPr>
        <w:numPr>
          <w:ilvl w:val="0"/>
          <w:numId w:val="0"/>
        </w:numPr>
        <w:tabs>
          <w:tab w:val="left" w:pos="0"/>
        </w:tabs>
        <w:spacing w:line="560" w:lineRule="exact"/>
        <w:ind w:firstLine="640" w:firstLineChars="200"/>
        <w:rPr>
          <w:rStyle w:val="23"/>
          <w:rFonts w:hint="default" w:ascii="Times New Roman"/>
        </w:rPr>
      </w:pPr>
      <w:r>
        <w:rPr>
          <w:rFonts w:hint="eastAsia" w:ascii="黑体" w:hAnsi="黑体" w:eastAsia="黑体" w:cs="黑体"/>
          <w:b w:val="0"/>
          <w:bCs w:val="0"/>
          <w:color w:val="000000"/>
          <w:kern w:val="2"/>
          <w:sz w:val="32"/>
          <w:szCs w:val="32"/>
          <w:lang w:val="en-US" w:eastAsia="zh-CN" w:bidi="ar-SA"/>
        </w:rPr>
        <w:t xml:space="preserve">第三十八条 </w:t>
      </w:r>
      <w:r>
        <w:rPr>
          <w:rStyle w:val="23"/>
          <w:rFonts w:hint="default" w:ascii="Times New Roman"/>
        </w:rPr>
        <w:t>公司相关</w:t>
      </w:r>
      <w:r>
        <w:rPr>
          <w:bCs/>
          <w:szCs w:val="32"/>
        </w:rPr>
        <w:t>部门、</w:t>
      </w:r>
      <w:r>
        <w:rPr>
          <w:rFonts w:hint="eastAsia"/>
          <w:bCs/>
          <w:szCs w:val="32"/>
          <w:lang w:eastAsia="zh-CN"/>
        </w:rPr>
        <w:t>委外单位</w:t>
      </w:r>
      <w:r>
        <w:rPr>
          <w:rFonts w:hint="eastAsia"/>
          <w:bCs/>
          <w:szCs w:val="32"/>
        </w:rPr>
        <w:t>、物业单位</w:t>
      </w:r>
      <w:r>
        <w:rPr>
          <w:bCs/>
          <w:szCs w:val="32"/>
        </w:rPr>
        <w:t>要指定专人</w:t>
      </w:r>
      <w:r>
        <w:rPr>
          <w:rStyle w:val="23"/>
          <w:rFonts w:hint="default" w:ascii="Times New Roman"/>
        </w:rPr>
        <w:t>负责安全生产管理信息系统维护和管理。</w:t>
      </w:r>
      <w:r>
        <w:rPr>
          <w:szCs w:val="32"/>
        </w:rPr>
        <w:t>系统管理员要及时维护</w:t>
      </w:r>
      <w:r>
        <w:rPr>
          <w:rFonts w:hint="eastAsia"/>
          <w:szCs w:val="32"/>
        </w:rPr>
        <w:t>双控机制</w:t>
      </w:r>
      <w:r>
        <w:rPr>
          <w:szCs w:val="32"/>
        </w:rPr>
        <w:t>系统信息，及时维护风险库、隐患库。风险管控人、隐患治理人应及时将管控和治理信息录入风险库、隐患库。</w:t>
      </w:r>
    </w:p>
    <w:p w14:paraId="357E50D1">
      <w:pPr>
        <w:pStyle w:val="3"/>
        <w:keepNext/>
        <w:keepLines/>
        <w:pageBreakBefore w:val="0"/>
        <w:widowControl w:val="0"/>
        <w:numPr>
          <w:ilvl w:val="0"/>
          <w:numId w:val="1"/>
        </w:numPr>
        <w:kinsoku/>
        <w:wordWrap/>
        <w:overflowPunct/>
        <w:topLinePunct w:val="0"/>
        <w:autoSpaceDE/>
        <w:autoSpaceDN/>
        <w:bidi w:val="0"/>
        <w:adjustRightInd/>
        <w:snapToGrid/>
        <w:spacing w:before="600" w:after="600" w:line="240" w:lineRule="auto"/>
        <w:ind w:firstLine="0" w:firstLineChars="0"/>
        <w:textAlignment w:val="auto"/>
      </w:pPr>
      <w:r>
        <w:t>教育培训</w:t>
      </w:r>
    </w:p>
    <w:p w14:paraId="433DE811">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after="400" w:line="560" w:lineRule="exact"/>
        <w:ind w:firstLine="640" w:firstLineChars="200"/>
        <w:textAlignment w:val="auto"/>
        <w:rPr>
          <w:bCs/>
          <w:szCs w:val="32"/>
        </w:rPr>
      </w:pPr>
      <w:r>
        <w:rPr>
          <w:rFonts w:hint="eastAsia" w:ascii="黑体" w:hAnsi="黑体" w:eastAsia="黑体" w:cs="黑体"/>
          <w:b w:val="0"/>
          <w:bCs w:val="0"/>
          <w:kern w:val="2"/>
          <w:sz w:val="32"/>
          <w:szCs w:val="32"/>
          <w:lang w:val="en-US" w:eastAsia="zh-CN" w:bidi="ar-SA"/>
        </w:rPr>
        <w:t xml:space="preserve">第三十九条 </w:t>
      </w:r>
      <w:r>
        <w:rPr>
          <w:rFonts w:hint="eastAsia"/>
          <w:bCs/>
          <w:szCs w:val="32"/>
        </w:rPr>
        <w:t>公司</w:t>
      </w:r>
      <w:r>
        <w:rPr>
          <w:rFonts w:hint="eastAsia"/>
          <w:bCs/>
          <w:szCs w:val="32"/>
          <w:lang w:eastAsia="zh-CN"/>
        </w:rPr>
        <w:t>安全环保监察部</w:t>
      </w:r>
      <w:r>
        <w:rPr>
          <w:rFonts w:hint="eastAsia"/>
          <w:bCs/>
          <w:szCs w:val="32"/>
        </w:rPr>
        <w:t>组织各</w:t>
      </w:r>
      <w:r>
        <w:rPr>
          <w:bCs/>
          <w:szCs w:val="32"/>
        </w:rPr>
        <w:t>部门、</w:t>
      </w:r>
      <w:r>
        <w:rPr>
          <w:rFonts w:hint="eastAsia"/>
          <w:bCs/>
          <w:szCs w:val="32"/>
          <w:lang w:eastAsia="zh-CN"/>
        </w:rPr>
        <w:t>委外单位</w:t>
      </w:r>
      <w:r>
        <w:rPr>
          <w:rFonts w:hint="eastAsia"/>
          <w:bCs/>
          <w:szCs w:val="32"/>
        </w:rPr>
        <w:t>、物业单位</w:t>
      </w:r>
      <w:r>
        <w:rPr>
          <w:bCs/>
          <w:szCs w:val="32"/>
        </w:rPr>
        <w:t>应将</w:t>
      </w:r>
      <w:r>
        <w:rPr>
          <w:rFonts w:hint="eastAsia"/>
          <w:bCs/>
          <w:szCs w:val="32"/>
        </w:rPr>
        <w:t>双控机制</w:t>
      </w:r>
      <w:r>
        <w:rPr>
          <w:bCs/>
          <w:szCs w:val="32"/>
        </w:rPr>
        <w:t>建设知识和</w:t>
      </w:r>
      <w:r>
        <w:t>风险警示教育</w:t>
      </w:r>
      <w:r>
        <w:rPr>
          <w:bCs/>
          <w:szCs w:val="32"/>
        </w:rPr>
        <w:t>纳入各层级安全生产培训内容，培训资料连同培训考核或效果评价记录，一并归档管理。</w:t>
      </w:r>
    </w:p>
    <w:p w14:paraId="0A11362A">
      <w:pPr>
        <w:numPr>
          <w:ilvl w:val="0"/>
          <w:numId w:val="0"/>
        </w:numPr>
        <w:tabs>
          <w:tab w:val="left" w:pos="0"/>
        </w:tabs>
        <w:autoSpaceDE w:val="0"/>
        <w:autoSpaceDN w:val="0"/>
        <w:adjustRightInd w:val="0"/>
        <w:spacing w:line="560" w:lineRule="exact"/>
        <w:ind w:firstLine="640" w:firstLineChars="200"/>
        <w:rPr>
          <w:bCs/>
          <w:szCs w:val="32"/>
        </w:rPr>
      </w:pPr>
      <w:r>
        <w:rPr>
          <w:rFonts w:hint="eastAsia" w:ascii="黑体" w:hAnsi="黑体" w:eastAsia="黑体" w:cs="黑体"/>
          <w:b w:val="0"/>
          <w:bCs w:val="0"/>
          <w:kern w:val="2"/>
          <w:sz w:val="32"/>
          <w:szCs w:val="32"/>
          <w:lang w:val="en-US" w:eastAsia="zh-CN" w:bidi="ar-SA"/>
        </w:rPr>
        <w:t xml:space="preserve">第四十条 </w:t>
      </w:r>
      <w:r>
        <w:rPr>
          <w:bCs/>
          <w:szCs w:val="32"/>
        </w:rPr>
        <w:t>各部门、</w:t>
      </w:r>
      <w:r>
        <w:rPr>
          <w:rFonts w:hint="eastAsia"/>
          <w:bCs/>
          <w:szCs w:val="32"/>
          <w:lang w:eastAsia="zh-CN"/>
        </w:rPr>
        <w:t>委外单位</w:t>
      </w:r>
      <w:r>
        <w:rPr>
          <w:rFonts w:hint="eastAsia"/>
          <w:bCs/>
          <w:szCs w:val="32"/>
        </w:rPr>
        <w:t>、物业单位</w:t>
      </w:r>
      <w:r>
        <w:rPr>
          <w:bCs/>
          <w:szCs w:val="32"/>
        </w:rPr>
        <w:t>要</w:t>
      </w:r>
      <w:r>
        <w:rPr>
          <w:szCs w:val="32"/>
        </w:rPr>
        <w:t>充分挖掘和利用安全事故案例等资源，经常性地开展风险警示教育，增强职工安全意识</w:t>
      </w:r>
      <w:r>
        <w:rPr>
          <w:bCs/>
          <w:szCs w:val="32"/>
        </w:rPr>
        <w:t>。</w:t>
      </w:r>
      <w:r>
        <w:rPr>
          <w:szCs w:val="32"/>
        </w:rPr>
        <w:t>风险失控发生严重</w:t>
      </w:r>
      <w:r>
        <w:rPr>
          <w:rFonts w:hint="eastAsia"/>
          <w:szCs w:val="32"/>
        </w:rPr>
        <w:t>不安全事件</w:t>
      </w:r>
      <w:r>
        <w:rPr>
          <w:szCs w:val="32"/>
        </w:rPr>
        <w:t>时，责任单位要制作警示教育宣教片，开展宣传教育。</w:t>
      </w:r>
    </w:p>
    <w:p w14:paraId="7A04A151">
      <w:pPr>
        <w:pStyle w:val="3"/>
        <w:keepNext/>
        <w:keepLines/>
        <w:pageBreakBefore w:val="0"/>
        <w:widowControl w:val="0"/>
        <w:numPr>
          <w:ilvl w:val="0"/>
          <w:numId w:val="1"/>
        </w:numPr>
        <w:kinsoku/>
        <w:wordWrap/>
        <w:overflowPunct/>
        <w:topLinePunct w:val="0"/>
        <w:autoSpaceDE/>
        <w:autoSpaceDN/>
        <w:bidi w:val="0"/>
        <w:adjustRightInd/>
        <w:snapToGrid/>
        <w:spacing w:before="600" w:after="600" w:line="240" w:lineRule="auto"/>
        <w:ind w:firstLine="0" w:firstLineChars="0"/>
        <w:textAlignment w:val="auto"/>
      </w:pPr>
      <w:r>
        <w:t>监督检查及考核</w:t>
      </w:r>
    </w:p>
    <w:p w14:paraId="70C384ED">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after="400" w:line="560" w:lineRule="exact"/>
        <w:ind w:firstLine="640" w:firstLineChars="200"/>
        <w:textAlignment w:val="auto"/>
        <w:rPr>
          <w:bCs/>
          <w:szCs w:val="32"/>
        </w:rPr>
      </w:pPr>
      <w:r>
        <w:rPr>
          <w:rFonts w:hint="eastAsia" w:ascii="黑体" w:hAnsi="黑体" w:eastAsia="黑体" w:cs="黑体"/>
          <w:b w:val="0"/>
          <w:bCs w:val="0"/>
          <w:kern w:val="2"/>
          <w:sz w:val="32"/>
          <w:szCs w:val="32"/>
          <w:lang w:val="en-US" w:eastAsia="zh-CN" w:bidi="ar-SA"/>
        </w:rPr>
        <w:t xml:space="preserve">第四十一条 </w:t>
      </w:r>
      <w:r>
        <w:rPr>
          <w:bCs/>
          <w:szCs w:val="32"/>
        </w:rPr>
        <w:t>诊断检查风险。各管理层级根据风险等级、风险危害程度和可能发生的概率，分层、科学确定每个风险项点的检查量化及覆盖周期，分层覆盖，并落实到责任管控人。</w:t>
      </w:r>
    </w:p>
    <w:p w14:paraId="5479B6EF">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after="400" w:line="560" w:lineRule="exact"/>
        <w:ind w:firstLine="640" w:firstLineChars="200"/>
        <w:textAlignment w:val="auto"/>
      </w:pPr>
      <w:r>
        <w:rPr>
          <w:rFonts w:hint="eastAsia" w:ascii="黑体" w:hAnsi="黑体" w:eastAsia="黑体" w:cs="黑体"/>
          <w:b w:val="0"/>
          <w:bCs w:val="0"/>
          <w:kern w:val="2"/>
          <w:sz w:val="32"/>
          <w:szCs w:val="32"/>
          <w:lang w:val="en-US" w:eastAsia="zh-CN" w:bidi="ar-SA"/>
        </w:rPr>
        <w:t xml:space="preserve">第四十二条 </w:t>
      </w:r>
      <w:r>
        <w:rPr>
          <w:rFonts w:hint="eastAsia"/>
        </w:rPr>
        <w:t>公司</w:t>
      </w:r>
      <w:r>
        <w:t>（</w:t>
      </w:r>
      <w:r>
        <w:rPr>
          <w:rFonts w:hint="eastAsia"/>
          <w:lang w:eastAsia="zh-CN"/>
        </w:rPr>
        <w:t>安全环保监察部</w:t>
      </w:r>
      <w:r>
        <w:t>）及专业部门、</w:t>
      </w:r>
      <w:r>
        <w:rPr>
          <w:rFonts w:hint="eastAsia"/>
          <w:lang w:eastAsia="zh-CN"/>
        </w:rPr>
        <w:t>委外单位</w:t>
      </w:r>
      <w:r>
        <w:rPr>
          <w:rFonts w:hint="eastAsia"/>
        </w:rPr>
        <w:t>、物业单位</w:t>
      </w:r>
      <w:r>
        <w:t>每月组织开展一次风险管控、隐患治理情况检查，均衡抽查验证评价诊断风险受控状态，必要时修正风险等级；对验证有效的管控措施应及时纳入规章制度、技术标准和相应管理制度进行固化。风险诊断检查</w:t>
      </w:r>
      <w:r>
        <w:rPr>
          <w:bCs/>
          <w:szCs w:val="32"/>
        </w:rPr>
        <w:t>情况</w:t>
      </w:r>
      <w:r>
        <w:t>纳入</w:t>
      </w:r>
      <w:r>
        <w:rPr>
          <w:rFonts w:hint="eastAsia"/>
        </w:rPr>
        <w:t>安全会议</w:t>
      </w:r>
      <w:r>
        <w:t>内容。</w:t>
      </w:r>
    </w:p>
    <w:p w14:paraId="087EFE43">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after="400" w:line="560" w:lineRule="exact"/>
        <w:ind w:firstLine="640" w:firstLineChars="200"/>
        <w:textAlignment w:val="auto"/>
      </w:pPr>
      <w:r>
        <w:rPr>
          <w:rFonts w:hint="eastAsia" w:ascii="黑体" w:hAnsi="黑体" w:eastAsia="黑体" w:cs="黑体"/>
          <w:b w:val="0"/>
          <w:bCs w:val="0"/>
          <w:kern w:val="2"/>
          <w:sz w:val="32"/>
          <w:szCs w:val="32"/>
          <w:lang w:val="en-US" w:eastAsia="zh-CN" w:bidi="ar-SA"/>
        </w:rPr>
        <w:t xml:space="preserve">第四十三条 </w:t>
      </w:r>
      <w:r>
        <w:rPr>
          <w:szCs w:val="32"/>
        </w:rPr>
        <w:t>坚持对发现隐患、防止事故的有功人员实施重奖、快奖，坚持对安全责任一追到底，以严肃追责促“从严落责”，调动全体干部职工发现和整治</w:t>
      </w:r>
      <w:r>
        <w:rPr>
          <w:bCs/>
          <w:szCs w:val="32"/>
        </w:rPr>
        <w:t>安全</w:t>
      </w:r>
      <w:r>
        <w:rPr>
          <w:szCs w:val="32"/>
        </w:rPr>
        <w:t>隐患的积极性。</w:t>
      </w:r>
      <w:r>
        <w:rPr>
          <w:rFonts w:eastAsia="黑体"/>
          <w:kern w:val="0"/>
          <w:szCs w:val="32"/>
        </w:rPr>
        <w:t xml:space="preserve"> </w:t>
      </w:r>
    </w:p>
    <w:p w14:paraId="753ED919">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after="400" w:line="560" w:lineRule="exact"/>
        <w:ind w:firstLine="640" w:firstLineChars="200"/>
        <w:textAlignment w:val="auto"/>
      </w:pPr>
      <w:r>
        <w:rPr>
          <w:rFonts w:hint="eastAsia" w:ascii="黑体" w:hAnsi="黑体" w:eastAsia="黑体" w:cs="黑体"/>
          <w:b w:val="0"/>
          <w:bCs w:val="0"/>
          <w:kern w:val="2"/>
          <w:sz w:val="32"/>
          <w:szCs w:val="32"/>
          <w:lang w:val="en-US" w:eastAsia="zh-CN" w:bidi="ar-SA"/>
        </w:rPr>
        <w:t xml:space="preserve">第四十四条 </w:t>
      </w:r>
      <w:r>
        <w:rPr>
          <w:szCs w:val="32"/>
        </w:rPr>
        <w:t>对因风险失控、隐患排查治理不力，导致发生责任事故的，</w:t>
      </w:r>
      <w:r>
        <w:rPr>
          <w:rFonts w:hint="eastAsia"/>
        </w:rPr>
        <w:t>或</w:t>
      </w:r>
      <w:r>
        <w:t>风险管控责任不落实、隐患排查治理不履职、安全预警不作为的部门、</w:t>
      </w:r>
      <w:r>
        <w:rPr>
          <w:rFonts w:hint="eastAsia"/>
          <w:lang w:eastAsia="zh-CN"/>
        </w:rPr>
        <w:t>委外单位</w:t>
      </w:r>
      <w:r>
        <w:rPr>
          <w:rFonts w:hint="eastAsia"/>
        </w:rPr>
        <w:t>、物业单位</w:t>
      </w:r>
      <w:r>
        <w:t>以及责任人员</w:t>
      </w:r>
      <w:r>
        <w:rPr>
          <w:szCs w:val="32"/>
        </w:rPr>
        <w:t>按照</w:t>
      </w:r>
      <w:r>
        <w:rPr>
          <w:rFonts w:hint="eastAsia"/>
          <w:szCs w:val="32"/>
        </w:rPr>
        <w:t>公司《安全生产奖惩管理</w:t>
      </w:r>
      <w:r>
        <w:rPr>
          <w:szCs w:val="32"/>
        </w:rPr>
        <w:t>办法</w:t>
      </w:r>
      <w:r>
        <w:rPr>
          <w:rFonts w:hint="eastAsia"/>
          <w:szCs w:val="32"/>
        </w:rPr>
        <w:t>》</w:t>
      </w:r>
      <w:r>
        <w:rPr>
          <w:szCs w:val="32"/>
        </w:rPr>
        <w:t>等有关规定，对责任人</w:t>
      </w:r>
      <w:r>
        <w:t>实施考核</w:t>
      </w:r>
      <w:r>
        <w:rPr>
          <w:szCs w:val="32"/>
        </w:rPr>
        <w:t xml:space="preserve">。 </w:t>
      </w:r>
    </w:p>
    <w:p w14:paraId="53292A76">
      <w:pPr>
        <w:numPr>
          <w:ilvl w:val="0"/>
          <w:numId w:val="0"/>
        </w:numPr>
        <w:tabs>
          <w:tab w:val="left" w:pos="0"/>
        </w:tabs>
        <w:autoSpaceDE w:val="0"/>
        <w:autoSpaceDN w:val="0"/>
        <w:adjustRightInd w:val="0"/>
        <w:spacing w:line="560" w:lineRule="exact"/>
        <w:ind w:firstLine="640" w:firstLineChars="200"/>
        <w:jc w:val="left"/>
        <w:rPr>
          <w:szCs w:val="32"/>
        </w:rPr>
      </w:pPr>
      <w:r>
        <w:rPr>
          <w:rFonts w:hint="eastAsia" w:ascii="黑体" w:hAnsi="黑体" w:eastAsia="黑体" w:cs="黑体"/>
          <w:b w:val="0"/>
          <w:bCs w:val="0"/>
          <w:kern w:val="2"/>
          <w:sz w:val="32"/>
          <w:szCs w:val="32"/>
          <w:lang w:val="en-US" w:eastAsia="zh-CN" w:bidi="ar-SA"/>
        </w:rPr>
        <w:t xml:space="preserve">第四十五条 </w:t>
      </w:r>
      <w:r>
        <w:rPr>
          <w:kern w:val="0"/>
          <w:szCs w:val="32"/>
        </w:rPr>
        <w:t>对发现和整治安全管理和安全生产过</w:t>
      </w:r>
      <w:r>
        <w:rPr>
          <w:szCs w:val="32"/>
        </w:rPr>
        <w:t>程中的隐患以及风险管控成效突出的，按照</w:t>
      </w:r>
      <w:r>
        <w:rPr>
          <w:rFonts w:hint="eastAsia"/>
          <w:szCs w:val="32"/>
        </w:rPr>
        <w:t>公司《</w:t>
      </w:r>
      <w:r>
        <w:rPr>
          <w:rFonts w:hint="eastAsia"/>
        </w:rPr>
        <w:t>安全生产奖惩</w:t>
      </w:r>
      <w:r>
        <w:t>办法</w:t>
      </w:r>
      <w:r>
        <w:rPr>
          <w:rFonts w:hint="eastAsia"/>
          <w:szCs w:val="32"/>
        </w:rPr>
        <w:t>》</w:t>
      </w:r>
      <w:r>
        <w:t>等</w:t>
      </w:r>
      <w:r>
        <w:rPr>
          <w:szCs w:val="32"/>
        </w:rPr>
        <w:t>相应文件规定，给予</w:t>
      </w:r>
      <w:r>
        <w:rPr>
          <w:rFonts w:hint="eastAsia"/>
          <w:szCs w:val="32"/>
        </w:rPr>
        <w:t>相应奖励</w:t>
      </w:r>
      <w:r>
        <w:rPr>
          <w:szCs w:val="32"/>
        </w:rPr>
        <w:t>。</w:t>
      </w:r>
    </w:p>
    <w:p w14:paraId="08BCF84D">
      <w:pPr>
        <w:pStyle w:val="3"/>
        <w:keepNext/>
        <w:keepLines/>
        <w:pageBreakBefore w:val="0"/>
        <w:widowControl w:val="0"/>
        <w:numPr>
          <w:ilvl w:val="0"/>
          <w:numId w:val="1"/>
        </w:numPr>
        <w:kinsoku/>
        <w:wordWrap/>
        <w:overflowPunct/>
        <w:topLinePunct w:val="0"/>
        <w:autoSpaceDE/>
        <w:autoSpaceDN/>
        <w:bidi w:val="0"/>
        <w:adjustRightInd/>
        <w:snapToGrid/>
        <w:spacing w:before="600" w:after="600" w:line="240" w:lineRule="auto"/>
        <w:ind w:firstLine="0" w:firstLineChars="0"/>
        <w:textAlignment w:val="auto"/>
      </w:pPr>
      <w:r>
        <w:t xml:space="preserve">  附  则</w:t>
      </w:r>
    </w:p>
    <w:p w14:paraId="388A1EDE">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after="400" w:line="560" w:lineRule="exact"/>
        <w:ind w:firstLine="640" w:firstLineChars="200"/>
        <w:textAlignment w:val="auto"/>
        <w:rPr>
          <w:szCs w:val="32"/>
        </w:rPr>
      </w:pPr>
      <w:r>
        <w:rPr>
          <w:rFonts w:hint="eastAsia" w:ascii="黑体" w:hAnsi="黑体" w:eastAsia="黑体" w:cs="黑体"/>
          <w:b w:val="0"/>
          <w:bCs w:val="0"/>
          <w:kern w:val="2"/>
          <w:sz w:val="32"/>
          <w:szCs w:val="32"/>
          <w:lang w:val="en-US" w:eastAsia="zh-CN" w:bidi="ar-SA"/>
        </w:rPr>
        <w:t xml:space="preserve">第四十六条 </w:t>
      </w:r>
      <w:r>
        <w:rPr>
          <w:szCs w:val="32"/>
        </w:rPr>
        <w:t>本办法</w:t>
      </w:r>
      <w:r>
        <w:rPr>
          <w:rFonts w:hint="eastAsia"/>
          <w:szCs w:val="32"/>
        </w:rPr>
        <w:t>由公司</w:t>
      </w:r>
      <w:r>
        <w:rPr>
          <w:rFonts w:hint="eastAsia"/>
          <w:szCs w:val="32"/>
          <w:lang w:eastAsia="zh-CN"/>
        </w:rPr>
        <w:t>安全环保监察部</w:t>
      </w:r>
      <w:r>
        <w:rPr>
          <w:rFonts w:hint="eastAsia"/>
          <w:szCs w:val="32"/>
        </w:rPr>
        <w:t>负责解释。</w:t>
      </w:r>
    </w:p>
    <w:p w14:paraId="2E402866">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after="400" w:line="560" w:lineRule="exact"/>
        <w:ind w:firstLine="640" w:firstLineChars="200"/>
        <w:textAlignment w:val="auto"/>
        <w:rPr>
          <w:szCs w:val="32"/>
        </w:rPr>
      </w:pPr>
      <w:r>
        <w:rPr>
          <w:rFonts w:hint="eastAsia" w:ascii="黑体" w:hAnsi="黑体" w:eastAsia="黑体" w:cs="黑体"/>
          <w:b w:val="0"/>
          <w:bCs w:val="0"/>
          <w:kern w:val="2"/>
          <w:sz w:val="32"/>
          <w:szCs w:val="32"/>
          <w:lang w:val="en-US" w:eastAsia="zh-CN" w:bidi="ar-SA"/>
        </w:rPr>
        <w:t xml:space="preserve">第四十七条 </w:t>
      </w:r>
      <w:r>
        <w:rPr>
          <w:szCs w:val="32"/>
        </w:rPr>
        <w:t>本办法自</w:t>
      </w:r>
      <w:r>
        <w:rPr>
          <w:rFonts w:hint="eastAsia"/>
          <w:szCs w:val="32"/>
        </w:rPr>
        <w:t>发</w:t>
      </w:r>
      <w:r>
        <w:rPr>
          <w:szCs w:val="32"/>
        </w:rPr>
        <w:t>布之日起施行</w:t>
      </w:r>
      <w:r>
        <w:rPr>
          <w:rFonts w:hint="eastAsia"/>
          <w:szCs w:val="32"/>
        </w:rPr>
        <w:t>。</w:t>
      </w:r>
      <w:r>
        <w:rPr>
          <w:szCs w:val="32"/>
        </w:rPr>
        <w:t xml:space="preserve"> </w:t>
      </w:r>
    </w:p>
    <w:p w14:paraId="6AB44967">
      <w:pPr>
        <w:spacing w:line="560" w:lineRule="exact"/>
        <w:ind w:firstLine="640"/>
        <w:rPr>
          <w:szCs w:val="32"/>
        </w:rPr>
      </w:pPr>
    </w:p>
    <w:p w14:paraId="1399324B">
      <w:pPr>
        <w:spacing w:line="560" w:lineRule="exact"/>
        <w:ind w:firstLine="640"/>
        <w:rPr>
          <w:szCs w:val="32"/>
        </w:rPr>
      </w:pPr>
    </w:p>
    <w:p w14:paraId="0FA923DD">
      <w:pPr>
        <w:tabs>
          <w:tab w:val="left" w:pos="0"/>
        </w:tabs>
        <w:ind w:firstLine="640"/>
        <w:rPr>
          <w:rFonts w:hint="eastAsia" w:ascii="黑体" w:hAnsi="黑体" w:eastAsia="黑体"/>
          <w:szCs w:val="32"/>
        </w:rPr>
      </w:pPr>
    </w:p>
    <w:p w14:paraId="43BACCD4">
      <w:pPr>
        <w:spacing w:line="560" w:lineRule="exact"/>
        <w:ind w:firstLine="640"/>
        <w:rPr>
          <w:rFonts w:ascii="仿宋_GB2312" w:eastAsia="仿宋"/>
          <w:color w:val="000000"/>
          <w:szCs w:val="32"/>
        </w:rPr>
      </w:pPr>
    </w:p>
    <w:p w14:paraId="31EF0B2F">
      <w:pPr>
        <w:spacing w:line="560" w:lineRule="exact"/>
        <w:ind w:firstLine="640"/>
        <w:rPr>
          <w:rFonts w:ascii="仿宋_GB2312" w:eastAsia="仿宋"/>
          <w:color w:val="000000"/>
          <w:szCs w:val="32"/>
        </w:rPr>
      </w:pPr>
    </w:p>
    <w:p w14:paraId="7F7CBE6F">
      <w:pPr>
        <w:spacing w:line="560" w:lineRule="exact"/>
        <w:ind w:firstLine="640"/>
        <w:rPr>
          <w:rFonts w:ascii="仿宋_GB2312" w:eastAsia="仿宋"/>
          <w:color w:val="000000"/>
          <w:szCs w:val="32"/>
        </w:rPr>
      </w:pPr>
    </w:p>
    <w:p w14:paraId="4CC3C533">
      <w:pPr>
        <w:spacing w:line="560" w:lineRule="exact"/>
        <w:ind w:firstLine="640"/>
        <w:rPr>
          <w:rFonts w:ascii="仿宋_GB2312" w:eastAsia="仿宋"/>
          <w:color w:val="000000"/>
          <w:szCs w:val="32"/>
        </w:rPr>
      </w:pPr>
    </w:p>
    <w:p w14:paraId="4D81058C">
      <w:pPr>
        <w:spacing w:line="560" w:lineRule="exact"/>
        <w:ind w:firstLine="640"/>
        <w:rPr>
          <w:rFonts w:hint="eastAsia" w:ascii="仿宋_GB2312" w:eastAsia="仿宋"/>
          <w:color w:val="000000"/>
          <w:szCs w:val="32"/>
        </w:rPr>
      </w:pPr>
    </w:p>
    <w:p w14:paraId="34B5CFB2">
      <w:pPr>
        <w:spacing w:line="560" w:lineRule="exact"/>
        <w:ind w:firstLine="640"/>
        <w:rPr>
          <w:rFonts w:hint="eastAsia" w:ascii="仿宋_GB2312" w:hAnsi="仿宋_GB2312" w:eastAsia="仿宋_GB2312" w:cs="仿宋_GB2312"/>
          <w:bCs/>
          <w:color w:val="000000"/>
        </w:rPr>
      </w:pPr>
      <w:r>
        <w:rPr>
          <w:rFonts w:hint="eastAsia" w:ascii="仿宋_GB2312" w:hAnsi="仿宋_GB2312" w:eastAsia="仿宋_GB2312" w:cs="仿宋_GB2312"/>
          <w:color w:val="000000"/>
          <w:szCs w:val="32"/>
        </w:rPr>
        <w:t>附件1：</w:t>
      </w:r>
      <w:r>
        <w:rPr>
          <w:rFonts w:hint="eastAsia" w:ascii="仿宋_GB2312" w:hAnsi="仿宋_GB2312" w:eastAsia="仿宋_GB2312" w:cs="仿宋_GB2312"/>
          <w:bCs/>
          <w:color w:val="000000"/>
        </w:rPr>
        <w:t>危险源（风险点）辨识与风险评价信息一览表</w:t>
      </w:r>
    </w:p>
    <w:p w14:paraId="2578BB4E">
      <w:pPr>
        <w:spacing w:line="560" w:lineRule="exact"/>
        <w:ind w:firstLine="640"/>
        <w:rPr>
          <w:rFonts w:hint="eastAsia" w:ascii="仿宋_GB2312" w:hAnsi="仿宋_GB2312" w:eastAsia="仿宋_GB2312" w:cs="仿宋_GB2312"/>
          <w:color w:val="000000"/>
          <w:szCs w:val="32"/>
        </w:rPr>
      </w:pPr>
      <w:r>
        <w:rPr>
          <w:rFonts w:hint="eastAsia" w:ascii="仿宋_GB2312" w:hAnsi="仿宋_GB2312" w:eastAsia="仿宋_GB2312" w:cs="仿宋_GB2312"/>
          <w:color w:val="000000"/>
          <w:szCs w:val="32"/>
        </w:rPr>
        <w:t>附件2：</w:t>
      </w:r>
      <w:r>
        <w:rPr>
          <w:rFonts w:hint="eastAsia" w:ascii="仿宋_GB2312" w:hAnsi="仿宋_GB2312" w:eastAsia="仿宋_GB2312" w:cs="仿宋_GB2312"/>
          <w:bCs/>
          <w:color w:val="000000"/>
        </w:rPr>
        <w:t>危险源（风险点）登记表</w:t>
      </w:r>
    </w:p>
    <w:p w14:paraId="0123596B">
      <w:pPr>
        <w:spacing w:line="560" w:lineRule="exact"/>
        <w:ind w:firstLine="640"/>
        <w:rPr>
          <w:rFonts w:hint="eastAsia" w:ascii="仿宋_GB2312" w:hAnsi="仿宋_GB2312" w:eastAsia="仿宋_GB2312" w:cs="仿宋_GB2312"/>
          <w:bCs/>
          <w:color w:val="000000"/>
        </w:rPr>
      </w:pPr>
      <w:r>
        <w:rPr>
          <w:rFonts w:hint="eastAsia" w:ascii="仿宋_GB2312" w:hAnsi="仿宋_GB2312" w:eastAsia="仿宋_GB2312" w:cs="仿宋_GB2312"/>
          <w:color w:val="000000"/>
          <w:szCs w:val="32"/>
        </w:rPr>
        <w:t>附件3：</w:t>
      </w:r>
      <w:r>
        <w:rPr>
          <w:rFonts w:hint="eastAsia" w:ascii="仿宋_GB2312" w:hAnsi="仿宋_GB2312" w:eastAsia="仿宋_GB2312" w:cs="仿宋_GB2312"/>
          <w:bCs/>
          <w:color w:val="000000"/>
        </w:rPr>
        <w:t>岗位危险源（风险点）公告警示牌</w:t>
      </w:r>
    </w:p>
    <w:p w14:paraId="77B7D91C">
      <w:pPr>
        <w:pStyle w:val="17"/>
        <w:ind w:firstLine="640" w:firstLineChars="200"/>
        <w:rPr>
          <w:rFonts w:hint="eastAsia" w:ascii="仿宋_GB2312" w:hAnsi="仿宋_GB2312" w:eastAsia="仿宋_GB2312" w:cs="仿宋_GB2312"/>
          <w:spacing w:val="4"/>
          <w:sz w:val="32"/>
          <w:szCs w:val="32"/>
        </w:rPr>
      </w:pPr>
      <w:r>
        <w:rPr>
          <w:rFonts w:hint="eastAsia" w:ascii="仿宋_GB2312" w:hAnsi="仿宋_GB2312" w:eastAsia="仿宋_GB2312" w:cs="仿宋_GB2312"/>
          <w:color w:val="000000"/>
          <w:sz w:val="32"/>
          <w:szCs w:val="32"/>
        </w:rPr>
        <w:t>附件4：</w:t>
      </w:r>
      <w:r>
        <w:rPr>
          <w:rFonts w:hint="eastAsia" w:ascii="仿宋_GB2312" w:hAnsi="仿宋_GB2312" w:eastAsia="仿宋_GB2312" w:cs="仿宋_GB2312"/>
          <w:spacing w:val="4"/>
          <w:sz w:val="32"/>
          <w:szCs w:val="32"/>
        </w:rPr>
        <w:t>重大隐患报告单</w:t>
      </w:r>
    </w:p>
    <w:p w14:paraId="5A267F97">
      <w:pPr>
        <w:pStyle w:val="17"/>
        <w:ind w:firstLine="656" w:firstLineChars="200"/>
        <w:rPr>
          <w:rFonts w:hint="eastAsia" w:ascii="仿宋_GB2312" w:hAnsi="仿宋_GB2312" w:eastAsia="仿宋_GB2312" w:cs="仿宋_GB2312"/>
          <w:spacing w:val="4"/>
          <w:sz w:val="32"/>
          <w:szCs w:val="32"/>
        </w:rPr>
      </w:pPr>
      <w:r>
        <w:rPr>
          <w:rFonts w:hint="eastAsia" w:ascii="仿宋_GB2312" w:hAnsi="仿宋_GB2312" w:eastAsia="仿宋_GB2312" w:cs="仿宋_GB2312"/>
          <w:spacing w:val="4"/>
          <w:sz w:val="32"/>
          <w:szCs w:val="32"/>
        </w:rPr>
        <w:t>附件5：安全隐患排查治理情况报表</w:t>
      </w:r>
    </w:p>
    <w:p w14:paraId="5103683F">
      <w:pPr>
        <w:pStyle w:val="17"/>
        <w:ind w:firstLine="656" w:firstLineChars="200"/>
        <w:rPr>
          <w:rFonts w:hint="eastAsia" w:ascii="仿宋_GB2312" w:hAnsi="仿宋_GB2312" w:eastAsia="仿宋_GB2312" w:cs="仿宋_GB2312"/>
          <w:spacing w:val="4"/>
          <w:sz w:val="32"/>
          <w:szCs w:val="32"/>
        </w:rPr>
        <w:sectPr>
          <w:footerReference r:id="rId11" w:type="default"/>
          <w:pgSz w:w="11906" w:h="16838"/>
          <w:pgMar w:top="2098" w:right="1474" w:bottom="1985" w:left="1588" w:header="851" w:footer="992" w:gutter="0"/>
          <w:pgNumType w:fmt="numberInDash" w:start="1"/>
          <w:cols w:space="720" w:num="1"/>
          <w:docGrid w:type="lines" w:linePitch="312" w:charSpace="0"/>
        </w:sectPr>
      </w:pPr>
    </w:p>
    <w:p w14:paraId="617A2B96">
      <w:pPr>
        <w:ind w:firstLine="56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 xml:space="preserve">附件1：                     </w:t>
      </w:r>
    </w:p>
    <w:p w14:paraId="37F9610C">
      <w:pPr>
        <w:jc w:val="center"/>
        <w:rPr>
          <w:rFonts w:hint="eastAsia" w:ascii="方正小标宋简体" w:hAnsi="方正小标宋简体" w:eastAsia="方正小标宋简体" w:cs="方正小标宋简体"/>
          <w:bCs/>
          <w:color w:val="000000"/>
          <w:sz w:val="44"/>
          <w:szCs w:val="44"/>
        </w:rPr>
      </w:pPr>
      <w:r>
        <w:rPr>
          <w:rFonts w:hint="eastAsia" w:ascii="方正小标宋简体" w:hAnsi="方正小标宋简体" w:eastAsia="方正小标宋简体" w:cs="方正小标宋简体"/>
          <w:bCs/>
          <w:color w:val="000000"/>
          <w:sz w:val="44"/>
          <w:szCs w:val="44"/>
        </w:rPr>
        <w:t>危险源（风险点）辨识与风险评价信息一览表</w:t>
      </w:r>
    </w:p>
    <w:p w14:paraId="0B4133B9">
      <w:pPr>
        <w:ind w:firstLine="560"/>
        <w:rPr>
          <w:rFonts w:hint="eastAsia" w:ascii="仿宋_GB2312" w:eastAsia="仿宋"/>
          <w:color w:val="000000"/>
          <w:sz w:val="28"/>
        </w:rPr>
      </w:pPr>
      <w:r>
        <w:rPr>
          <w:rFonts w:hint="eastAsia" w:ascii="仿宋_GB2312" w:eastAsia="仿宋"/>
          <w:color w:val="000000"/>
          <w:sz w:val="28"/>
        </w:rPr>
        <w:t xml:space="preserve">                                                           辨识区域（部位、场所）：</w:t>
      </w:r>
    </w:p>
    <w:tbl>
      <w:tblPr>
        <w:tblStyle w:val="13"/>
        <w:tblW w:w="493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1"/>
        <w:gridCol w:w="1885"/>
        <w:gridCol w:w="2823"/>
        <w:gridCol w:w="1364"/>
        <w:gridCol w:w="2274"/>
        <w:gridCol w:w="704"/>
        <w:gridCol w:w="567"/>
        <w:gridCol w:w="705"/>
        <w:gridCol w:w="705"/>
        <w:gridCol w:w="862"/>
        <w:gridCol w:w="1268"/>
      </w:tblGrid>
      <w:tr w14:paraId="48CF6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6" w:hRule="atLeast"/>
        </w:trPr>
        <w:tc>
          <w:tcPr>
            <w:tcW w:w="300" w:type="pct"/>
            <w:vMerge w:val="restart"/>
            <w:noWrap w:val="0"/>
            <w:vAlign w:val="center"/>
          </w:tcPr>
          <w:p w14:paraId="15090DEF">
            <w:pPr>
              <w:ind w:firstLine="0" w:firstLineChars="0"/>
              <w:jc w:val="center"/>
              <w:rPr>
                <w:rFonts w:ascii="仿宋_GB2312"/>
                <w:color w:val="000000"/>
                <w:sz w:val="28"/>
              </w:rPr>
            </w:pPr>
            <w:r>
              <w:rPr>
                <w:rFonts w:hint="eastAsia" w:ascii="仿宋_GB2312" w:eastAsia="仿宋"/>
                <w:color w:val="000000"/>
                <w:sz w:val="28"/>
              </w:rPr>
              <w:t>序号</w:t>
            </w:r>
          </w:p>
        </w:tc>
        <w:tc>
          <w:tcPr>
            <w:tcW w:w="673" w:type="pct"/>
            <w:vMerge w:val="restart"/>
            <w:noWrap w:val="0"/>
            <w:vAlign w:val="center"/>
          </w:tcPr>
          <w:p w14:paraId="015D2554">
            <w:pPr>
              <w:ind w:firstLine="0" w:firstLineChars="0"/>
              <w:jc w:val="center"/>
              <w:rPr>
                <w:rFonts w:ascii="仿宋_GB2312"/>
                <w:color w:val="000000"/>
                <w:sz w:val="28"/>
              </w:rPr>
            </w:pPr>
            <w:r>
              <w:rPr>
                <w:rFonts w:hint="eastAsia" w:ascii="仿宋_GB2312" w:eastAsia="仿宋"/>
                <w:color w:val="000000"/>
                <w:sz w:val="28"/>
              </w:rPr>
              <w:t>辨识对象</w:t>
            </w:r>
          </w:p>
        </w:tc>
        <w:tc>
          <w:tcPr>
            <w:tcW w:w="1008" w:type="pct"/>
            <w:vMerge w:val="restart"/>
            <w:noWrap w:val="0"/>
            <w:vAlign w:val="center"/>
          </w:tcPr>
          <w:p w14:paraId="0B26E813">
            <w:pPr>
              <w:ind w:firstLine="0" w:firstLineChars="0"/>
              <w:jc w:val="center"/>
              <w:rPr>
                <w:rFonts w:ascii="仿宋_GB2312"/>
                <w:color w:val="000000"/>
                <w:sz w:val="28"/>
              </w:rPr>
            </w:pPr>
            <w:r>
              <w:rPr>
                <w:rFonts w:hint="eastAsia" w:ascii="仿宋_GB2312" w:eastAsia="仿宋"/>
                <w:color w:val="000000"/>
                <w:sz w:val="28"/>
              </w:rPr>
              <w:t>辨识内容（危险因素）</w:t>
            </w:r>
          </w:p>
        </w:tc>
        <w:tc>
          <w:tcPr>
            <w:tcW w:w="487" w:type="pct"/>
            <w:vMerge w:val="restart"/>
            <w:noWrap w:val="0"/>
            <w:vAlign w:val="center"/>
          </w:tcPr>
          <w:p w14:paraId="3FB9E230">
            <w:pPr>
              <w:ind w:firstLine="0" w:firstLineChars="0"/>
              <w:jc w:val="center"/>
              <w:rPr>
                <w:rFonts w:ascii="仿宋_GB2312"/>
                <w:color w:val="000000"/>
                <w:sz w:val="28"/>
              </w:rPr>
            </w:pPr>
            <w:r>
              <w:rPr>
                <w:rFonts w:hint="eastAsia" w:ascii="仿宋_GB2312" w:eastAsia="仿宋"/>
                <w:color w:val="000000"/>
                <w:sz w:val="28"/>
              </w:rPr>
              <w:t>事故类型</w:t>
            </w:r>
          </w:p>
        </w:tc>
        <w:tc>
          <w:tcPr>
            <w:tcW w:w="812" w:type="pct"/>
            <w:vMerge w:val="restart"/>
            <w:noWrap w:val="0"/>
            <w:vAlign w:val="center"/>
          </w:tcPr>
          <w:p w14:paraId="090EEF1A">
            <w:pPr>
              <w:ind w:firstLine="0" w:firstLineChars="0"/>
              <w:jc w:val="center"/>
              <w:rPr>
                <w:rFonts w:ascii="仿宋_GB2312" w:eastAsia="仿宋"/>
                <w:color w:val="000000"/>
                <w:sz w:val="28"/>
              </w:rPr>
            </w:pPr>
            <w:r>
              <w:rPr>
                <w:rFonts w:hint="eastAsia" w:ascii="仿宋_GB2312" w:eastAsia="仿宋"/>
                <w:color w:val="000000"/>
                <w:sz w:val="28"/>
              </w:rPr>
              <w:t>典型控制</w:t>
            </w:r>
          </w:p>
          <w:p w14:paraId="28F36A34">
            <w:pPr>
              <w:ind w:firstLine="0" w:firstLineChars="0"/>
              <w:jc w:val="center"/>
              <w:rPr>
                <w:rFonts w:ascii="仿宋_GB2312"/>
                <w:color w:val="000000"/>
                <w:sz w:val="28"/>
              </w:rPr>
            </w:pPr>
            <w:r>
              <w:rPr>
                <w:rFonts w:hint="eastAsia" w:ascii="仿宋_GB2312" w:eastAsia="仿宋"/>
                <w:color w:val="000000"/>
                <w:sz w:val="28"/>
              </w:rPr>
              <w:t>措施</w:t>
            </w:r>
          </w:p>
        </w:tc>
        <w:tc>
          <w:tcPr>
            <w:tcW w:w="1265" w:type="pct"/>
            <w:gridSpan w:val="5"/>
            <w:noWrap w:val="0"/>
            <w:vAlign w:val="center"/>
          </w:tcPr>
          <w:p w14:paraId="64581F69">
            <w:pPr>
              <w:ind w:firstLine="0" w:firstLineChars="0"/>
              <w:jc w:val="center"/>
              <w:rPr>
                <w:rFonts w:ascii="仿宋_GB2312"/>
                <w:color w:val="000000"/>
                <w:sz w:val="28"/>
              </w:rPr>
            </w:pPr>
            <w:r>
              <w:rPr>
                <w:rFonts w:hint="eastAsia" w:ascii="仿宋_GB2312" w:eastAsia="仿宋"/>
                <w:color w:val="000000"/>
                <w:sz w:val="28"/>
              </w:rPr>
              <w:t>风险评价</w:t>
            </w:r>
          </w:p>
        </w:tc>
        <w:tc>
          <w:tcPr>
            <w:tcW w:w="453" w:type="pct"/>
            <w:vMerge w:val="restart"/>
            <w:noWrap w:val="0"/>
            <w:vAlign w:val="center"/>
          </w:tcPr>
          <w:p w14:paraId="32D53347">
            <w:pPr>
              <w:ind w:firstLine="0" w:firstLineChars="0"/>
              <w:jc w:val="center"/>
              <w:rPr>
                <w:rFonts w:ascii="仿宋_GB2312" w:eastAsia="仿宋"/>
                <w:color w:val="000000"/>
                <w:sz w:val="28"/>
              </w:rPr>
            </w:pPr>
            <w:r>
              <w:rPr>
                <w:rFonts w:hint="eastAsia" w:ascii="仿宋_GB2312" w:eastAsia="仿宋"/>
                <w:color w:val="000000"/>
                <w:sz w:val="28"/>
              </w:rPr>
              <w:t>事故隐患</w:t>
            </w:r>
          </w:p>
        </w:tc>
      </w:tr>
      <w:tr w14:paraId="23867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5" w:hRule="atLeast"/>
        </w:trPr>
        <w:tc>
          <w:tcPr>
            <w:tcW w:w="300" w:type="pct"/>
            <w:vMerge w:val="continue"/>
            <w:noWrap w:val="0"/>
            <w:vAlign w:val="top"/>
          </w:tcPr>
          <w:p w14:paraId="2CE85879">
            <w:pPr>
              <w:ind w:firstLine="560"/>
              <w:rPr>
                <w:rFonts w:ascii="仿宋_GB2312"/>
                <w:color w:val="000000"/>
                <w:sz w:val="28"/>
              </w:rPr>
            </w:pPr>
          </w:p>
        </w:tc>
        <w:tc>
          <w:tcPr>
            <w:tcW w:w="673" w:type="pct"/>
            <w:vMerge w:val="continue"/>
            <w:noWrap w:val="0"/>
            <w:vAlign w:val="top"/>
          </w:tcPr>
          <w:p w14:paraId="34863F56">
            <w:pPr>
              <w:ind w:firstLine="560"/>
              <w:rPr>
                <w:rFonts w:ascii="仿宋_GB2312"/>
                <w:color w:val="000000"/>
                <w:sz w:val="28"/>
              </w:rPr>
            </w:pPr>
          </w:p>
        </w:tc>
        <w:tc>
          <w:tcPr>
            <w:tcW w:w="1008" w:type="pct"/>
            <w:vMerge w:val="continue"/>
            <w:noWrap w:val="0"/>
            <w:vAlign w:val="top"/>
          </w:tcPr>
          <w:p w14:paraId="5EEA5D07">
            <w:pPr>
              <w:spacing w:line="300" w:lineRule="exact"/>
              <w:ind w:firstLine="560"/>
              <w:rPr>
                <w:rFonts w:ascii="仿宋_GB2312"/>
                <w:color w:val="000000"/>
                <w:sz w:val="28"/>
              </w:rPr>
            </w:pPr>
          </w:p>
        </w:tc>
        <w:tc>
          <w:tcPr>
            <w:tcW w:w="487" w:type="pct"/>
            <w:vMerge w:val="continue"/>
            <w:noWrap w:val="0"/>
            <w:vAlign w:val="top"/>
          </w:tcPr>
          <w:p w14:paraId="5EB99DE3">
            <w:pPr>
              <w:spacing w:line="300" w:lineRule="exact"/>
              <w:ind w:firstLine="560"/>
              <w:rPr>
                <w:rFonts w:ascii="仿宋_GB2312"/>
                <w:color w:val="000000"/>
                <w:sz w:val="28"/>
              </w:rPr>
            </w:pPr>
          </w:p>
        </w:tc>
        <w:tc>
          <w:tcPr>
            <w:tcW w:w="812" w:type="pct"/>
            <w:vMerge w:val="continue"/>
            <w:noWrap w:val="0"/>
            <w:vAlign w:val="top"/>
          </w:tcPr>
          <w:p w14:paraId="22E9FED3">
            <w:pPr>
              <w:ind w:firstLine="560"/>
              <w:rPr>
                <w:rFonts w:ascii="仿宋_GB2312"/>
                <w:color w:val="000000"/>
                <w:sz w:val="28"/>
              </w:rPr>
            </w:pPr>
          </w:p>
        </w:tc>
        <w:tc>
          <w:tcPr>
            <w:tcW w:w="251" w:type="pct"/>
            <w:noWrap w:val="0"/>
            <w:vAlign w:val="center"/>
          </w:tcPr>
          <w:p w14:paraId="06C9E91A">
            <w:pPr>
              <w:ind w:firstLine="0" w:firstLineChars="0"/>
              <w:jc w:val="center"/>
              <w:rPr>
                <w:rFonts w:ascii="仿宋_GB2312"/>
                <w:color w:val="000000"/>
                <w:sz w:val="28"/>
              </w:rPr>
            </w:pPr>
            <w:r>
              <w:rPr>
                <w:rFonts w:hint="eastAsia" w:ascii="仿宋_GB2312" w:eastAsia="仿宋"/>
                <w:color w:val="000000"/>
                <w:sz w:val="28"/>
              </w:rPr>
              <w:t>M</w:t>
            </w:r>
          </w:p>
        </w:tc>
        <w:tc>
          <w:tcPr>
            <w:tcW w:w="202" w:type="pct"/>
            <w:noWrap w:val="0"/>
            <w:vAlign w:val="center"/>
          </w:tcPr>
          <w:p w14:paraId="080A1E56">
            <w:pPr>
              <w:ind w:firstLine="0" w:firstLineChars="0"/>
              <w:jc w:val="center"/>
              <w:rPr>
                <w:rFonts w:ascii="仿宋_GB2312"/>
                <w:color w:val="000000"/>
                <w:sz w:val="28"/>
              </w:rPr>
            </w:pPr>
            <w:r>
              <w:rPr>
                <w:rFonts w:hint="eastAsia" w:ascii="仿宋_GB2312" w:eastAsia="仿宋"/>
                <w:color w:val="000000"/>
                <w:sz w:val="28"/>
              </w:rPr>
              <w:t>E</w:t>
            </w:r>
          </w:p>
        </w:tc>
        <w:tc>
          <w:tcPr>
            <w:tcW w:w="252" w:type="pct"/>
            <w:noWrap w:val="0"/>
            <w:vAlign w:val="center"/>
          </w:tcPr>
          <w:p w14:paraId="661E51E6">
            <w:pPr>
              <w:ind w:firstLine="0" w:firstLineChars="0"/>
              <w:jc w:val="center"/>
              <w:rPr>
                <w:rFonts w:ascii="仿宋_GB2312"/>
                <w:color w:val="000000"/>
                <w:sz w:val="28"/>
              </w:rPr>
            </w:pPr>
            <w:r>
              <w:rPr>
                <w:rFonts w:hint="eastAsia" w:ascii="仿宋_GB2312" w:eastAsia="仿宋"/>
                <w:color w:val="000000"/>
                <w:sz w:val="28"/>
              </w:rPr>
              <w:t>S</w:t>
            </w:r>
          </w:p>
        </w:tc>
        <w:tc>
          <w:tcPr>
            <w:tcW w:w="252" w:type="pct"/>
            <w:noWrap w:val="0"/>
            <w:vAlign w:val="center"/>
          </w:tcPr>
          <w:p w14:paraId="6F9F8FA8">
            <w:pPr>
              <w:ind w:firstLine="0" w:firstLineChars="0"/>
              <w:jc w:val="center"/>
              <w:rPr>
                <w:rFonts w:ascii="仿宋_GB2312"/>
                <w:color w:val="000000"/>
                <w:sz w:val="28"/>
              </w:rPr>
            </w:pPr>
            <w:r>
              <w:rPr>
                <w:rFonts w:hint="eastAsia" w:ascii="仿宋_GB2312" w:eastAsia="仿宋"/>
                <w:color w:val="000000"/>
                <w:sz w:val="28"/>
              </w:rPr>
              <w:t>R</w:t>
            </w:r>
          </w:p>
        </w:tc>
        <w:tc>
          <w:tcPr>
            <w:tcW w:w="306" w:type="pct"/>
            <w:noWrap w:val="0"/>
            <w:vAlign w:val="center"/>
          </w:tcPr>
          <w:p w14:paraId="0FF2E021">
            <w:pPr>
              <w:ind w:firstLine="0" w:firstLineChars="0"/>
              <w:jc w:val="center"/>
              <w:rPr>
                <w:rFonts w:ascii="仿宋_GB2312"/>
                <w:color w:val="000000"/>
                <w:sz w:val="28"/>
              </w:rPr>
            </w:pPr>
            <w:r>
              <w:rPr>
                <w:rFonts w:hint="eastAsia" w:ascii="仿宋_GB2312" w:eastAsia="仿宋"/>
                <w:color w:val="000000"/>
                <w:sz w:val="28"/>
              </w:rPr>
              <w:t>级别</w:t>
            </w:r>
          </w:p>
        </w:tc>
        <w:tc>
          <w:tcPr>
            <w:tcW w:w="453" w:type="pct"/>
            <w:vMerge w:val="continue"/>
            <w:noWrap w:val="0"/>
            <w:vAlign w:val="center"/>
          </w:tcPr>
          <w:p w14:paraId="0206EFE9">
            <w:pPr>
              <w:spacing w:line="400" w:lineRule="exact"/>
              <w:ind w:firstLine="560"/>
              <w:jc w:val="center"/>
              <w:rPr>
                <w:rFonts w:ascii="仿宋_GB2312" w:eastAsia="仿宋"/>
                <w:color w:val="000000"/>
                <w:sz w:val="28"/>
              </w:rPr>
            </w:pPr>
          </w:p>
        </w:tc>
      </w:tr>
      <w:tr w14:paraId="22B64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 w:type="pct"/>
            <w:noWrap w:val="0"/>
            <w:vAlign w:val="top"/>
          </w:tcPr>
          <w:p w14:paraId="7B4BB9FE">
            <w:pPr>
              <w:ind w:firstLine="560"/>
              <w:rPr>
                <w:rFonts w:ascii="仿宋_GB2312"/>
                <w:color w:val="000000"/>
                <w:sz w:val="28"/>
              </w:rPr>
            </w:pPr>
          </w:p>
        </w:tc>
        <w:tc>
          <w:tcPr>
            <w:tcW w:w="673" w:type="pct"/>
            <w:noWrap w:val="0"/>
            <w:vAlign w:val="top"/>
          </w:tcPr>
          <w:p w14:paraId="085147DD">
            <w:pPr>
              <w:ind w:firstLine="560"/>
              <w:rPr>
                <w:rFonts w:ascii="仿宋_GB2312"/>
                <w:color w:val="000000"/>
                <w:sz w:val="28"/>
              </w:rPr>
            </w:pPr>
          </w:p>
        </w:tc>
        <w:tc>
          <w:tcPr>
            <w:tcW w:w="1008" w:type="pct"/>
            <w:noWrap w:val="0"/>
            <w:vAlign w:val="top"/>
          </w:tcPr>
          <w:p w14:paraId="11E0CBB4">
            <w:pPr>
              <w:spacing w:line="300" w:lineRule="exact"/>
              <w:ind w:firstLine="560"/>
              <w:rPr>
                <w:rFonts w:ascii="仿宋_GB2312"/>
                <w:color w:val="000000"/>
                <w:sz w:val="28"/>
              </w:rPr>
            </w:pPr>
          </w:p>
        </w:tc>
        <w:tc>
          <w:tcPr>
            <w:tcW w:w="487" w:type="pct"/>
            <w:noWrap w:val="0"/>
            <w:vAlign w:val="top"/>
          </w:tcPr>
          <w:p w14:paraId="3556F856">
            <w:pPr>
              <w:spacing w:line="300" w:lineRule="exact"/>
              <w:ind w:firstLine="560"/>
              <w:rPr>
                <w:rFonts w:ascii="仿宋_GB2312"/>
                <w:color w:val="000000"/>
                <w:sz w:val="28"/>
              </w:rPr>
            </w:pPr>
          </w:p>
        </w:tc>
        <w:tc>
          <w:tcPr>
            <w:tcW w:w="812" w:type="pct"/>
            <w:noWrap w:val="0"/>
            <w:vAlign w:val="top"/>
          </w:tcPr>
          <w:p w14:paraId="64391361">
            <w:pPr>
              <w:ind w:firstLine="560"/>
              <w:rPr>
                <w:rFonts w:ascii="仿宋_GB2312"/>
                <w:color w:val="000000"/>
                <w:sz w:val="28"/>
              </w:rPr>
            </w:pPr>
          </w:p>
        </w:tc>
        <w:tc>
          <w:tcPr>
            <w:tcW w:w="251" w:type="pct"/>
            <w:noWrap w:val="0"/>
            <w:vAlign w:val="top"/>
          </w:tcPr>
          <w:p w14:paraId="4B4BD076">
            <w:pPr>
              <w:ind w:firstLine="560"/>
              <w:rPr>
                <w:rFonts w:ascii="仿宋_GB2312"/>
                <w:color w:val="000000"/>
                <w:sz w:val="28"/>
              </w:rPr>
            </w:pPr>
          </w:p>
        </w:tc>
        <w:tc>
          <w:tcPr>
            <w:tcW w:w="202" w:type="pct"/>
            <w:noWrap w:val="0"/>
            <w:vAlign w:val="top"/>
          </w:tcPr>
          <w:p w14:paraId="301FE83C">
            <w:pPr>
              <w:ind w:firstLine="560"/>
              <w:rPr>
                <w:rFonts w:ascii="仿宋_GB2312"/>
                <w:color w:val="000000"/>
                <w:sz w:val="28"/>
              </w:rPr>
            </w:pPr>
          </w:p>
        </w:tc>
        <w:tc>
          <w:tcPr>
            <w:tcW w:w="252" w:type="pct"/>
            <w:noWrap w:val="0"/>
            <w:vAlign w:val="top"/>
          </w:tcPr>
          <w:p w14:paraId="0474874D">
            <w:pPr>
              <w:ind w:firstLine="560"/>
              <w:rPr>
                <w:rFonts w:ascii="仿宋_GB2312"/>
                <w:color w:val="000000"/>
                <w:sz w:val="28"/>
              </w:rPr>
            </w:pPr>
          </w:p>
        </w:tc>
        <w:tc>
          <w:tcPr>
            <w:tcW w:w="252" w:type="pct"/>
            <w:noWrap w:val="0"/>
            <w:vAlign w:val="top"/>
          </w:tcPr>
          <w:p w14:paraId="4CEF5F44">
            <w:pPr>
              <w:ind w:firstLine="560"/>
              <w:rPr>
                <w:rFonts w:ascii="仿宋_GB2312"/>
                <w:color w:val="000000"/>
                <w:sz w:val="28"/>
              </w:rPr>
            </w:pPr>
          </w:p>
        </w:tc>
        <w:tc>
          <w:tcPr>
            <w:tcW w:w="306" w:type="pct"/>
            <w:noWrap w:val="0"/>
            <w:vAlign w:val="top"/>
          </w:tcPr>
          <w:p w14:paraId="49DC6C75">
            <w:pPr>
              <w:ind w:firstLine="560"/>
              <w:rPr>
                <w:rFonts w:ascii="仿宋_GB2312"/>
                <w:color w:val="000000"/>
                <w:sz w:val="28"/>
              </w:rPr>
            </w:pPr>
          </w:p>
        </w:tc>
        <w:tc>
          <w:tcPr>
            <w:tcW w:w="453" w:type="pct"/>
            <w:noWrap w:val="0"/>
            <w:vAlign w:val="top"/>
          </w:tcPr>
          <w:p w14:paraId="1EEC3CDB">
            <w:pPr>
              <w:ind w:firstLine="560"/>
              <w:rPr>
                <w:rFonts w:ascii="仿宋_GB2312" w:eastAsia="仿宋"/>
                <w:color w:val="000000"/>
                <w:sz w:val="28"/>
              </w:rPr>
            </w:pPr>
          </w:p>
        </w:tc>
      </w:tr>
      <w:tr w14:paraId="02C74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 w:type="pct"/>
            <w:noWrap w:val="0"/>
            <w:vAlign w:val="top"/>
          </w:tcPr>
          <w:p w14:paraId="7656B731">
            <w:pPr>
              <w:ind w:firstLine="560"/>
              <w:rPr>
                <w:rFonts w:ascii="仿宋_GB2312"/>
                <w:color w:val="000000"/>
                <w:sz w:val="28"/>
              </w:rPr>
            </w:pPr>
          </w:p>
        </w:tc>
        <w:tc>
          <w:tcPr>
            <w:tcW w:w="673" w:type="pct"/>
            <w:noWrap w:val="0"/>
            <w:vAlign w:val="top"/>
          </w:tcPr>
          <w:p w14:paraId="7EDCB523">
            <w:pPr>
              <w:ind w:firstLine="560"/>
              <w:rPr>
                <w:rFonts w:ascii="仿宋_GB2312"/>
                <w:color w:val="000000"/>
                <w:sz w:val="28"/>
              </w:rPr>
            </w:pPr>
          </w:p>
        </w:tc>
        <w:tc>
          <w:tcPr>
            <w:tcW w:w="1008" w:type="pct"/>
            <w:noWrap w:val="0"/>
            <w:vAlign w:val="top"/>
          </w:tcPr>
          <w:p w14:paraId="0D5DC606">
            <w:pPr>
              <w:spacing w:line="300" w:lineRule="exact"/>
              <w:ind w:firstLine="560"/>
              <w:rPr>
                <w:rFonts w:ascii="仿宋_GB2312"/>
                <w:color w:val="000000"/>
                <w:sz w:val="28"/>
              </w:rPr>
            </w:pPr>
          </w:p>
        </w:tc>
        <w:tc>
          <w:tcPr>
            <w:tcW w:w="487" w:type="pct"/>
            <w:noWrap w:val="0"/>
            <w:vAlign w:val="top"/>
          </w:tcPr>
          <w:p w14:paraId="6C375D18">
            <w:pPr>
              <w:spacing w:line="300" w:lineRule="exact"/>
              <w:ind w:firstLine="560"/>
              <w:rPr>
                <w:rFonts w:ascii="仿宋_GB2312"/>
                <w:color w:val="000000"/>
                <w:sz w:val="28"/>
              </w:rPr>
            </w:pPr>
          </w:p>
        </w:tc>
        <w:tc>
          <w:tcPr>
            <w:tcW w:w="812" w:type="pct"/>
            <w:noWrap w:val="0"/>
            <w:vAlign w:val="top"/>
          </w:tcPr>
          <w:p w14:paraId="6BB710FA">
            <w:pPr>
              <w:ind w:firstLine="560"/>
              <w:rPr>
                <w:rFonts w:ascii="仿宋_GB2312"/>
                <w:color w:val="000000"/>
                <w:sz w:val="28"/>
              </w:rPr>
            </w:pPr>
          </w:p>
        </w:tc>
        <w:tc>
          <w:tcPr>
            <w:tcW w:w="251" w:type="pct"/>
            <w:noWrap w:val="0"/>
            <w:vAlign w:val="top"/>
          </w:tcPr>
          <w:p w14:paraId="2A5E69B5">
            <w:pPr>
              <w:ind w:firstLine="560"/>
              <w:rPr>
                <w:rFonts w:ascii="仿宋_GB2312"/>
                <w:color w:val="000000"/>
                <w:sz w:val="28"/>
              </w:rPr>
            </w:pPr>
          </w:p>
        </w:tc>
        <w:tc>
          <w:tcPr>
            <w:tcW w:w="202" w:type="pct"/>
            <w:noWrap w:val="0"/>
            <w:vAlign w:val="top"/>
          </w:tcPr>
          <w:p w14:paraId="318E9BBB">
            <w:pPr>
              <w:ind w:firstLine="560"/>
              <w:rPr>
                <w:rFonts w:ascii="仿宋_GB2312"/>
                <w:color w:val="000000"/>
                <w:sz w:val="28"/>
              </w:rPr>
            </w:pPr>
          </w:p>
        </w:tc>
        <w:tc>
          <w:tcPr>
            <w:tcW w:w="252" w:type="pct"/>
            <w:noWrap w:val="0"/>
            <w:vAlign w:val="top"/>
          </w:tcPr>
          <w:p w14:paraId="1294AE75">
            <w:pPr>
              <w:ind w:firstLine="560"/>
              <w:rPr>
                <w:rFonts w:ascii="仿宋_GB2312"/>
                <w:color w:val="000000"/>
                <w:sz w:val="28"/>
              </w:rPr>
            </w:pPr>
          </w:p>
        </w:tc>
        <w:tc>
          <w:tcPr>
            <w:tcW w:w="252" w:type="pct"/>
            <w:noWrap w:val="0"/>
            <w:vAlign w:val="top"/>
          </w:tcPr>
          <w:p w14:paraId="2F4B3A6F">
            <w:pPr>
              <w:ind w:firstLine="560"/>
              <w:rPr>
                <w:rFonts w:ascii="仿宋_GB2312"/>
                <w:color w:val="000000"/>
                <w:sz w:val="28"/>
              </w:rPr>
            </w:pPr>
          </w:p>
        </w:tc>
        <w:tc>
          <w:tcPr>
            <w:tcW w:w="306" w:type="pct"/>
            <w:noWrap w:val="0"/>
            <w:vAlign w:val="top"/>
          </w:tcPr>
          <w:p w14:paraId="3299D446">
            <w:pPr>
              <w:ind w:firstLine="560"/>
              <w:rPr>
                <w:rFonts w:ascii="仿宋_GB2312"/>
                <w:color w:val="000000"/>
                <w:sz w:val="28"/>
              </w:rPr>
            </w:pPr>
          </w:p>
        </w:tc>
        <w:tc>
          <w:tcPr>
            <w:tcW w:w="453" w:type="pct"/>
            <w:noWrap w:val="0"/>
            <w:vAlign w:val="top"/>
          </w:tcPr>
          <w:p w14:paraId="3194378E">
            <w:pPr>
              <w:ind w:firstLine="560"/>
              <w:rPr>
                <w:rFonts w:ascii="仿宋_GB2312" w:eastAsia="仿宋"/>
                <w:color w:val="000000"/>
                <w:sz w:val="28"/>
              </w:rPr>
            </w:pPr>
          </w:p>
        </w:tc>
      </w:tr>
    </w:tbl>
    <w:p w14:paraId="0A679091">
      <w:pPr>
        <w:ind w:firstLine="560"/>
        <w:rPr>
          <w:rFonts w:ascii="仿宋_GB2312" w:eastAsia="仿宋"/>
          <w:color w:val="000000"/>
          <w:sz w:val="28"/>
        </w:rPr>
      </w:pPr>
      <w:r>
        <w:rPr>
          <w:rFonts w:hint="eastAsia" w:ascii="仿宋_GB2312" w:eastAsia="仿宋"/>
          <w:color w:val="000000"/>
          <w:sz w:val="28"/>
        </w:rPr>
        <w:t>填表日期：     年    月    日                                                   填表人：</w:t>
      </w:r>
    </w:p>
    <w:p w14:paraId="6652C6F1">
      <w:pPr>
        <w:spacing w:line="300" w:lineRule="exact"/>
        <w:ind w:firstLine="560"/>
        <w:rPr>
          <w:rFonts w:hint="eastAsia" w:ascii="仿宋" w:hAnsi="仿宋" w:eastAsia="仿宋" w:cs="仿宋"/>
          <w:color w:val="000000"/>
          <w:sz w:val="28"/>
        </w:rPr>
      </w:pPr>
      <w:r>
        <w:rPr>
          <w:rFonts w:hint="eastAsia" w:ascii="仿宋" w:hAnsi="仿宋" w:eastAsia="仿宋" w:cs="仿宋"/>
          <w:color w:val="000000"/>
          <w:sz w:val="28"/>
        </w:rPr>
        <w:t>备注：1.“辨识对象”是指辨识区域（部位、场所）内人的作业行为、物地安全状况、作业环境安全条件以及安全管理状况等，相当于对对象的分类。比如：调车作业区域，首先确认的对象为作业人员。</w:t>
      </w:r>
    </w:p>
    <w:p w14:paraId="39A8CAF3">
      <w:pPr>
        <w:spacing w:line="300" w:lineRule="exact"/>
        <w:ind w:firstLine="560"/>
        <w:rPr>
          <w:rFonts w:hint="eastAsia" w:ascii="仿宋" w:hAnsi="仿宋" w:eastAsia="仿宋" w:cs="仿宋"/>
          <w:color w:val="000000"/>
          <w:sz w:val="28"/>
        </w:rPr>
      </w:pPr>
      <w:r>
        <w:rPr>
          <w:rFonts w:hint="eastAsia" w:ascii="仿宋" w:hAnsi="仿宋" w:eastAsia="仿宋" w:cs="仿宋"/>
          <w:color w:val="000000"/>
          <w:sz w:val="28"/>
        </w:rPr>
        <w:t>2.“辨识内容”是指针对每个辨识对象进行的潜在或现实的危险源（危险有害因素）分析。针对上述“作业人员”的“劳动防护着装”“防护用品配备”“人员精神状态”“人员安全技能”等四个方面即为需要辨识的内容。</w:t>
      </w:r>
    </w:p>
    <w:p w14:paraId="294AA205">
      <w:pPr>
        <w:spacing w:line="300" w:lineRule="exact"/>
        <w:ind w:firstLine="560"/>
        <w:rPr>
          <w:rFonts w:hint="eastAsia" w:ascii="仿宋" w:hAnsi="仿宋" w:eastAsia="仿宋" w:cs="仿宋"/>
          <w:color w:val="000000"/>
          <w:sz w:val="28"/>
        </w:rPr>
      </w:pPr>
      <w:r>
        <w:rPr>
          <w:rFonts w:hint="eastAsia" w:ascii="仿宋" w:hAnsi="仿宋" w:eastAsia="仿宋" w:cs="仿宋"/>
          <w:color w:val="000000"/>
          <w:sz w:val="28"/>
        </w:rPr>
        <w:t>3.“事故类型”是针对每个识别出的危险源（危险有害因素）可能诱发的事故类型描述。如触电伤害、机械伤害、物体打击、中毒窒息等等。</w:t>
      </w:r>
    </w:p>
    <w:p w14:paraId="710946BC">
      <w:pPr>
        <w:spacing w:line="300" w:lineRule="exact"/>
        <w:ind w:firstLine="560"/>
        <w:rPr>
          <w:rFonts w:hint="eastAsia" w:ascii="仿宋" w:hAnsi="仿宋" w:eastAsia="仿宋" w:cs="仿宋"/>
          <w:color w:val="000000"/>
          <w:sz w:val="28"/>
        </w:rPr>
      </w:pPr>
      <w:r>
        <w:rPr>
          <w:rFonts w:hint="eastAsia" w:ascii="仿宋" w:hAnsi="仿宋" w:eastAsia="仿宋" w:cs="仿宋"/>
          <w:color w:val="000000"/>
          <w:sz w:val="28"/>
        </w:rPr>
        <w:t>4.“事故隐患”在典型控制措施分析过程中，很容易得出目前控制措施还存在的缺陷，即需要进行治理和整改的事故隐患。</w:t>
      </w:r>
    </w:p>
    <w:p w14:paraId="15C2092F">
      <w:pPr>
        <w:ind w:firstLine="560"/>
        <w:rPr>
          <w:rFonts w:hint="eastAsia" w:ascii="仿宋_GB2312" w:eastAsia="仿宋"/>
          <w:color w:val="000000"/>
          <w:sz w:val="28"/>
          <w:szCs w:val="28"/>
        </w:rPr>
      </w:pPr>
    </w:p>
    <w:p w14:paraId="79CC57FF">
      <w:pPr>
        <w:ind w:firstLine="56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附件2：</w:t>
      </w:r>
    </w:p>
    <w:p w14:paraId="33F22C09">
      <w:pPr>
        <w:jc w:val="center"/>
        <w:rPr>
          <w:rFonts w:ascii="方正小标宋简体" w:hAnsi="方正小标宋简体" w:eastAsia="方正小标宋简体"/>
          <w:color w:val="000000"/>
          <w:sz w:val="44"/>
          <w:szCs w:val="44"/>
        </w:rPr>
      </w:pPr>
      <w:r>
        <w:rPr>
          <w:rFonts w:hint="eastAsia" w:ascii="方正小标宋简体" w:hAnsi="方正小标宋简体" w:eastAsia="方正小标宋简体"/>
          <w:color w:val="000000"/>
          <w:sz w:val="44"/>
          <w:szCs w:val="44"/>
        </w:rPr>
        <w:t>危险源（风险点）登记表</w:t>
      </w:r>
    </w:p>
    <w:p w14:paraId="25278C93">
      <w:pPr>
        <w:ind w:firstLine="1960" w:firstLineChars="700"/>
        <w:rPr>
          <w:rFonts w:ascii="仿宋_GB2312" w:eastAsia="仿宋"/>
          <w:color w:val="000000"/>
          <w:sz w:val="28"/>
        </w:rPr>
      </w:pPr>
      <w:r>
        <w:rPr>
          <w:rFonts w:hint="eastAsia" w:ascii="仿宋_GB2312" w:eastAsia="仿宋"/>
          <w:color w:val="000000"/>
          <w:sz w:val="28"/>
        </w:rPr>
        <w:t xml:space="preserve">                                                         部门/单位：</w:t>
      </w:r>
    </w:p>
    <w:tbl>
      <w:tblPr>
        <w:tblStyle w:val="13"/>
        <w:tblW w:w="141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6"/>
        <w:gridCol w:w="2286"/>
        <w:gridCol w:w="1846"/>
        <w:gridCol w:w="1262"/>
        <w:gridCol w:w="1554"/>
        <w:gridCol w:w="1262"/>
        <w:gridCol w:w="1554"/>
        <w:gridCol w:w="3618"/>
      </w:tblGrid>
      <w:tr w14:paraId="062B2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766" w:type="dxa"/>
            <w:noWrap w:val="0"/>
            <w:vAlign w:val="top"/>
          </w:tcPr>
          <w:p w14:paraId="203BC5F6">
            <w:pPr>
              <w:ind w:firstLine="0" w:firstLineChars="0"/>
              <w:jc w:val="center"/>
              <w:rPr>
                <w:rFonts w:ascii="仿宋_GB2312"/>
                <w:color w:val="000000"/>
                <w:sz w:val="28"/>
              </w:rPr>
            </w:pPr>
            <w:r>
              <w:rPr>
                <w:rFonts w:hint="eastAsia" w:ascii="仿宋_GB2312" w:eastAsia="仿宋"/>
                <w:color w:val="000000"/>
                <w:sz w:val="28"/>
              </w:rPr>
              <w:t>序号</w:t>
            </w:r>
          </w:p>
        </w:tc>
        <w:tc>
          <w:tcPr>
            <w:tcW w:w="2286" w:type="dxa"/>
            <w:noWrap w:val="0"/>
            <w:vAlign w:val="center"/>
          </w:tcPr>
          <w:p w14:paraId="664D0672">
            <w:pPr>
              <w:ind w:firstLine="0" w:firstLineChars="0"/>
              <w:jc w:val="center"/>
              <w:rPr>
                <w:rFonts w:ascii="仿宋_GB2312"/>
                <w:color w:val="000000"/>
                <w:sz w:val="28"/>
              </w:rPr>
            </w:pPr>
            <w:r>
              <w:rPr>
                <w:rFonts w:hint="eastAsia" w:ascii="仿宋_GB2312" w:eastAsia="仿宋"/>
                <w:color w:val="000000"/>
                <w:sz w:val="28"/>
              </w:rPr>
              <w:t>危险源名称</w:t>
            </w:r>
          </w:p>
        </w:tc>
        <w:tc>
          <w:tcPr>
            <w:tcW w:w="1846" w:type="dxa"/>
            <w:noWrap w:val="0"/>
            <w:vAlign w:val="center"/>
          </w:tcPr>
          <w:p w14:paraId="7D107D97">
            <w:pPr>
              <w:ind w:firstLine="0" w:firstLineChars="0"/>
              <w:jc w:val="center"/>
              <w:rPr>
                <w:rFonts w:ascii="仿宋_GB2312"/>
                <w:color w:val="000000"/>
                <w:sz w:val="28"/>
              </w:rPr>
            </w:pPr>
            <w:r>
              <w:rPr>
                <w:rFonts w:hint="eastAsia" w:ascii="仿宋_GB2312" w:eastAsia="仿宋"/>
                <w:color w:val="000000"/>
                <w:sz w:val="28"/>
              </w:rPr>
              <w:t>涉及作业活动</w:t>
            </w:r>
          </w:p>
        </w:tc>
        <w:tc>
          <w:tcPr>
            <w:tcW w:w="1262" w:type="dxa"/>
            <w:noWrap w:val="0"/>
            <w:vAlign w:val="center"/>
          </w:tcPr>
          <w:p w14:paraId="1A791929">
            <w:pPr>
              <w:ind w:firstLine="0" w:firstLineChars="0"/>
              <w:jc w:val="center"/>
              <w:rPr>
                <w:rFonts w:ascii="仿宋_GB2312"/>
                <w:color w:val="000000"/>
                <w:sz w:val="28"/>
              </w:rPr>
            </w:pPr>
            <w:r>
              <w:rPr>
                <w:rFonts w:hint="eastAsia" w:ascii="仿宋_GB2312" w:eastAsia="仿宋"/>
                <w:color w:val="000000"/>
                <w:sz w:val="28"/>
              </w:rPr>
              <w:t>所属区域</w:t>
            </w:r>
          </w:p>
        </w:tc>
        <w:tc>
          <w:tcPr>
            <w:tcW w:w="1554" w:type="dxa"/>
            <w:noWrap w:val="0"/>
            <w:vAlign w:val="center"/>
          </w:tcPr>
          <w:p w14:paraId="10CA1059">
            <w:pPr>
              <w:ind w:firstLine="0" w:firstLineChars="0"/>
              <w:jc w:val="center"/>
              <w:rPr>
                <w:rFonts w:ascii="仿宋_GB2312"/>
                <w:color w:val="000000"/>
                <w:sz w:val="28"/>
              </w:rPr>
            </w:pPr>
            <w:r>
              <w:rPr>
                <w:rFonts w:hint="eastAsia" w:ascii="仿宋_GB2312" w:eastAsia="仿宋"/>
                <w:color w:val="000000"/>
                <w:sz w:val="28"/>
              </w:rPr>
              <w:t>事故类型</w:t>
            </w:r>
          </w:p>
        </w:tc>
        <w:tc>
          <w:tcPr>
            <w:tcW w:w="1262" w:type="dxa"/>
            <w:noWrap w:val="0"/>
            <w:vAlign w:val="center"/>
          </w:tcPr>
          <w:p w14:paraId="520AC94E">
            <w:pPr>
              <w:ind w:firstLine="0" w:firstLineChars="0"/>
              <w:jc w:val="center"/>
              <w:rPr>
                <w:rFonts w:ascii="仿宋_GB2312"/>
                <w:color w:val="000000"/>
                <w:sz w:val="28"/>
              </w:rPr>
            </w:pPr>
            <w:r>
              <w:rPr>
                <w:rFonts w:hint="eastAsia" w:ascii="仿宋_GB2312" w:eastAsia="仿宋"/>
                <w:color w:val="000000"/>
                <w:sz w:val="28"/>
              </w:rPr>
              <w:t>风险级别</w:t>
            </w:r>
          </w:p>
        </w:tc>
        <w:tc>
          <w:tcPr>
            <w:tcW w:w="1554" w:type="dxa"/>
            <w:noWrap w:val="0"/>
            <w:vAlign w:val="center"/>
          </w:tcPr>
          <w:p w14:paraId="62583391">
            <w:pPr>
              <w:ind w:firstLine="0" w:firstLineChars="0"/>
              <w:rPr>
                <w:rFonts w:ascii="仿宋_GB2312"/>
                <w:color w:val="000000"/>
                <w:sz w:val="28"/>
              </w:rPr>
            </w:pPr>
            <w:r>
              <w:rPr>
                <w:rFonts w:hint="eastAsia" w:ascii="仿宋_GB2312" w:eastAsia="仿宋"/>
                <w:color w:val="000000"/>
                <w:sz w:val="28"/>
              </w:rPr>
              <w:t>是否可接受</w:t>
            </w:r>
          </w:p>
        </w:tc>
        <w:tc>
          <w:tcPr>
            <w:tcW w:w="3618" w:type="dxa"/>
            <w:noWrap w:val="0"/>
            <w:vAlign w:val="center"/>
          </w:tcPr>
          <w:p w14:paraId="60FFBB6A">
            <w:pPr>
              <w:ind w:firstLine="0" w:firstLineChars="0"/>
              <w:jc w:val="center"/>
              <w:rPr>
                <w:rFonts w:ascii="仿宋_GB2312" w:eastAsia="仿宋"/>
                <w:color w:val="000000"/>
                <w:sz w:val="28"/>
              </w:rPr>
            </w:pPr>
            <w:r>
              <w:rPr>
                <w:rFonts w:hint="eastAsia" w:ascii="仿宋_GB2312" w:eastAsia="仿宋"/>
                <w:color w:val="000000"/>
                <w:sz w:val="28"/>
              </w:rPr>
              <w:t>控制措施</w:t>
            </w:r>
          </w:p>
        </w:tc>
      </w:tr>
      <w:tr w14:paraId="547B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766" w:type="dxa"/>
            <w:noWrap w:val="0"/>
            <w:vAlign w:val="top"/>
          </w:tcPr>
          <w:p w14:paraId="3A926DAB">
            <w:pPr>
              <w:ind w:firstLine="560"/>
              <w:rPr>
                <w:rFonts w:ascii="仿宋_GB2312"/>
                <w:color w:val="000000"/>
                <w:sz w:val="28"/>
              </w:rPr>
            </w:pPr>
          </w:p>
        </w:tc>
        <w:tc>
          <w:tcPr>
            <w:tcW w:w="2286" w:type="dxa"/>
            <w:noWrap w:val="0"/>
            <w:vAlign w:val="top"/>
          </w:tcPr>
          <w:p w14:paraId="5DA4B4BB">
            <w:pPr>
              <w:ind w:firstLine="560"/>
              <w:rPr>
                <w:rFonts w:ascii="仿宋_GB2312"/>
                <w:color w:val="000000"/>
                <w:sz w:val="28"/>
              </w:rPr>
            </w:pPr>
          </w:p>
        </w:tc>
        <w:tc>
          <w:tcPr>
            <w:tcW w:w="1846" w:type="dxa"/>
            <w:noWrap w:val="0"/>
            <w:vAlign w:val="top"/>
          </w:tcPr>
          <w:p w14:paraId="581BD409">
            <w:pPr>
              <w:ind w:firstLine="560"/>
              <w:rPr>
                <w:rFonts w:ascii="仿宋_GB2312"/>
                <w:color w:val="000000"/>
                <w:sz w:val="28"/>
              </w:rPr>
            </w:pPr>
          </w:p>
        </w:tc>
        <w:tc>
          <w:tcPr>
            <w:tcW w:w="1262" w:type="dxa"/>
            <w:noWrap w:val="0"/>
            <w:vAlign w:val="top"/>
          </w:tcPr>
          <w:p w14:paraId="695A8DF6">
            <w:pPr>
              <w:ind w:firstLine="560"/>
              <w:rPr>
                <w:rFonts w:ascii="仿宋_GB2312"/>
                <w:color w:val="000000"/>
                <w:sz w:val="28"/>
              </w:rPr>
            </w:pPr>
          </w:p>
        </w:tc>
        <w:tc>
          <w:tcPr>
            <w:tcW w:w="1554" w:type="dxa"/>
            <w:noWrap w:val="0"/>
            <w:vAlign w:val="top"/>
          </w:tcPr>
          <w:p w14:paraId="469D8420">
            <w:pPr>
              <w:ind w:firstLine="560"/>
              <w:rPr>
                <w:rFonts w:ascii="仿宋_GB2312"/>
                <w:color w:val="000000"/>
                <w:sz w:val="28"/>
              </w:rPr>
            </w:pPr>
          </w:p>
        </w:tc>
        <w:tc>
          <w:tcPr>
            <w:tcW w:w="1262" w:type="dxa"/>
            <w:noWrap w:val="0"/>
            <w:vAlign w:val="top"/>
          </w:tcPr>
          <w:p w14:paraId="0F9E56EE">
            <w:pPr>
              <w:ind w:firstLine="560"/>
              <w:rPr>
                <w:rFonts w:ascii="仿宋_GB2312"/>
                <w:color w:val="000000"/>
                <w:sz w:val="28"/>
              </w:rPr>
            </w:pPr>
          </w:p>
        </w:tc>
        <w:tc>
          <w:tcPr>
            <w:tcW w:w="1554" w:type="dxa"/>
            <w:noWrap w:val="0"/>
            <w:vAlign w:val="top"/>
          </w:tcPr>
          <w:p w14:paraId="25EEBF55">
            <w:pPr>
              <w:ind w:firstLine="560"/>
              <w:rPr>
                <w:rFonts w:ascii="仿宋_GB2312"/>
                <w:color w:val="000000"/>
                <w:sz w:val="28"/>
              </w:rPr>
            </w:pPr>
          </w:p>
        </w:tc>
        <w:tc>
          <w:tcPr>
            <w:tcW w:w="3618" w:type="dxa"/>
            <w:noWrap w:val="0"/>
            <w:vAlign w:val="top"/>
          </w:tcPr>
          <w:p w14:paraId="25608407">
            <w:pPr>
              <w:ind w:firstLine="560"/>
              <w:rPr>
                <w:rFonts w:ascii="仿宋_GB2312" w:eastAsia="仿宋"/>
                <w:color w:val="000000"/>
                <w:sz w:val="28"/>
              </w:rPr>
            </w:pPr>
          </w:p>
        </w:tc>
      </w:tr>
      <w:tr w14:paraId="3226C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766" w:type="dxa"/>
            <w:noWrap w:val="0"/>
            <w:vAlign w:val="top"/>
          </w:tcPr>
          <w:p w14:paraId="5A0D55B9">
            <w:pPr>
              <w:ind w:firstLine="560"/>
              <w:rPr>
                <w:rFonts w:ascii="仿宋_GB2312"/>
                <w:color w:val="000000"/>
                <w:sz w:val="28"/>
              </w:rPr>
            </w:pPr>
          </w:p>
        </w:tc>
        <w:tc>
          <w:tcPr>
            <w:tcW w:w="2286" w:type="dxa"/>
            <w:noWrap w:val="0"/>
            <w:vAlign w:val="top"/>
          </w:tcPr>
          <w:p w14:paraId="128DDC8F">
            <w:pPr>
              <w:ind w:firstLine="560"/>
              <w:rPr>
                <w:rFonts w:ascii="仿宋_GB2312"/>
                <w:color w:val="000000"/>
                <w:sz w:val="28"/>
              </w:rPr>
            </w:pPr>
          </w:p>
        </w:tc>
        <w:tc>
          <w:tcPr>
            <w:tcW w:w="1846" w:type="dxa"/>
            <w:noWrap w:val="0"/>
            <w:vAlign w:val="top"/>
          </w:tcPr>
          <w:p w14:paraId="7D58CB3B">
            <w:pPr>
              <w:ind w:firstLine="560"/>
              <w:rPr>
                <w:rFonts w:ascii="仿宋_GB2312"/>
                <w:color w:val="000000"/>
                <w:sz w:val="28"/>
              </w:rPr>
            </w:pPr>
          </w:p>
        </w:tc>
        <w:tc>
          <w:tcPr>
            <w:tcW w:w="1262" w:type="dxa"/>
            <w:noWrap w:val="0"/>
            <w:vAlign w:val="top"/>
          </w:tcPr>
          <w:p w14:paraId="6633290C">
            <w:pPr>
              <w:ind w:firstLine="560"/>
              <w:rPr>
                <w:rFonts w:ascii="仿宋_GB2312"/>
                <w:color w:val="000000"/>
                <w:sz w:val="28"/>
              </w:rPr>
            </w:pPr>
          </w:p>
        </w:tc>
        <w:tc>
          <w:tcPr>
            <w:tcW w:w="1554" w:type="dxa"/>
            <w:noWrap w:val="0"/>
            <w:vAlign w:val="top"/>
          </w:tcPr>
          <w:p w14:paraId="17CB4263">
            <w:pPr>
              <w:ind w:firstLine="560"/>
              <w:rPr>
                <w:rFonts w:ascii="仿宋_GB2312"/>
                <w:color w:val="000000"/>
                <w:sz w:val="28"/>
              </w:rPr>
            </w:pPr>
          </w:p>
        </w:tc>
        <w:tc>
          <w:tcPr>
            <w:tcW w:w="1262" w:type="dxa"/>
            <w:noWrap w:val="0"/>
            <w:vAlign w:val="top"/>
          </w:tcPr>
          <w:p w14:paraId="73CF29A2">
            <w:pPr>
              <w:ind w:firstLine="560"/>
              <w:rPr>
                <w:rFonts w:ascii="仿宋_GB2312"/>
                <w:color w:val="000000"/>
                <w:sz w:val="28"/>
              </w:rPr>
            </w:pPr>
          </w:p>
        </w:tc>
        <w:tc>
          <w:tcPr>
            <w:tcW w:w="1554" w:type="dxa"/>
            <w:noWrap w:val="0"/>
            <w:vAlign w:val="top"/>
          </w:tcPr>
          <w:p w14:paraId="018B953F">
            <w:pPr>
              <w:ind w:firstLine="560"/>
              <w:rPr>
                <w:rFonts w:ascii="仿宋_GB2312"/>
                <w:color w:val="000000"/>
                <w:sz w:val="28"/>
              </w:rPr>
            </w:pPr>
          </w:p>
        </w:tc>
        <w:tc>
          <w:tcPr>
            <w:tcW w:w="3618" w:type="dxa"/>
            <w:noWrap w:val="0"/>
            <w:vAlign w:val="top"/>
          </w:tcPr>
          <w:p w14:paraId="7E5DF05B">
            <w:pPr>
              <w:ind w:firstLine="560"/>
              <w:rPr>
                <w:rFonts w:ascii="仿宋_GB2312" w:eastAsia="仿宋"/>
                <w:color w:val="000000"/>
                <w:sz w:val="28"/>
              </w:rPr>
            </w:pPr>
          </w:p>
        </w:tc>
      </w:tr>
      <w:tr w14:paraId="3599E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766" w:type="dxa"/>
            <w:noWrap w:val="0"/>
            <w:vAlign w:val="top"/>
          </w:tcPr>
          <w:p w14:paraId="61AF5BC4">
            <w:pPr>
              <w:ind w:firstLine="560"/>
              <w:rPr>
                <w:rFonts w:ascii="仿宋_GB2312"/>
                <w:color w:val="000000"/>
                <w:sz w:val="28"/>
              </w:rPr>
            </w:pPr>
          </w:p>
        </w:tc>
        <w:tc>
          <w:tcPr>
            <w:tcW w:w="2286" w:type="dxa"/>
            <w:noWrap w:val="0"/>
            <w:vAlign w:val="top"/>
          </w:tcPr>
          <w:p w14:paraId="10F54147">
            <w:pPr>
              <w:ind w:firstLine="560"/>
              <w:rPr>
                <w:rFonts w:ascii="仿宋_GB2312"/>
                <w:color w:val="000000"/>
                <w:sz w:val="28"/>
              </w:rPr>
            </w:pPr>
          </w:p>
        </w:tc>
        <w:tc>
          <w:tcPr>
            <w:tcW w:w="1846" w:type="dxa"/>
            <w:noWrap w:val="0"/>
            <w:vAlign w:val="top"/>
          </w:tcPr>
          <w:p w14:paraId="600C6053">
            <w:pPr>
              <w:ind w:firstLine="560"/>
              <w:rPr>
                <w:rFonts w:ascii="仿宋_GB2312"/>
                <w:color w:val="000000"/>
                <w:sz w:val="28"/>
              </w:rPr>
            </w:pPr>
          </w:p>
        </w:tc>
        <w:tc>
          <w:tcPr>
            <w:tcW w:w="1262" w:type="dxa"/>
            <w:noWrap w:val="0"/>
            <w:vAlign w:val="top"/>
          </w:tcPr>
          <w:p w14:paraId="2F7FB5F6">
            <w:pPr>
              <w:ind w:firstLine="560"/>
              <w:rPr>
                <w:rFonts w:ascii="仿宋_GB2312"/>
                <w:color w:val="000000"/>
                <w:sz w:val="28"/>
              </w:rPr>
            </w:pPr>
          </w:p>
        </w:tc>
        <w:tc>
          <w:tcPr>
            <w:tcW w:w="1554" w:type="dxa"/>
            <w:noWrap w:val="0"/>
            <w:vAlign w:val="top"/>
          </w:tcPr>
          <w:p w14:paraId="5488AC4E">
            <w:pPr>
              <w:ind w:firstLine="560"/>
              <w:rPr>
                <w:rFonts w:ascii="仿宋_GB2312"/>
                <w:color w:val="000000"/>
                <w:sz w:val="28"/>
              </w:rPr>
            </w:pPr>
          </w:p>
        </w:tc>
        <w:tc>
          <w:tcPr>
            <w:tcW w:w="1262" w:type="dxa"/>
            <w:noWrap w:val="0"/>
            <w:vAlign w:val="top"/>
          </w:tcPr>
          <w:p w14:paraId="0BB549F7">
            <w:pPr>
              <w:ind w:firstLine="560"/>
              <w:rPr>
                <w:rFonts w:ascii="仿宋_GB2312"/>
                <w:color w:val="000000"/>
                <w:sz w:val="28"/>
              </w:rPr>
            </w:pPr>
          </w:p>
        </w:tc>
        <w:tc>
          <w:tcPr>
            <w:tcW w:w="1554" w:type="dxa"/>
            <w:noWrap w:val="0"/>
            <w:vAlign w:val="top"/>
          </w:tcPr>
          <w:p w14:paraId="42FCAADC">
            <w:pPr>
              <w:ind w:firstLine="560"/>
              <w:rPr>
                <w:rFonts w:ascii="仿宋_GB2312"/>
                <w:color w:val="000000"/>
                <w:sz w:val="28"/>
              </w:rPr>
            </w:pPr>
          </w:p>
        </w:tc>
        <w:tc>
          <w:tcPr>
            <w:tcW w:w="3618" w:type="dxa"/>
            <w:noWrap w:val="0"/>
            <w:vAlign w:val="top"/>
          </w:tcPr>
          <w:p w14:paraId="49600E36">
            <w:pPr>
              <w:ind w:firstLine="560"/>
              <w:rPr>
                <w:rFonts w:ascii="仿宋_GB2312" w:eastAsia="仿宋"/>
                <w:color w:val="000000"/>
                <w:sz w:val="28"/>
              </w:rPr>
            </w:pPr>
          </w:p>
        </w:tc>
      </w:tr>
      <w:tr w14:paraId="081EA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766" w:type="dxa"/>
            <w:noWrap w:val="0"/>
            <w:vAlign w:val="top"/>
          </w:tcPr>
          <w:p w14:paraId="6D213CA2">
            <w:pPr>
              <w:ind w:firstLine="560"/>
              <w:rPr>
                <w:rFonts w:ascii="仿宋_GB2312"/>
                <w:color w:val="000000"/>
                <w:sz w:val="28"/>
              </w:rPr>
            </w:pPr>
          </w:p>
        </w:tc>
        <w:tc>
          <w:tcPr>
            <w:tcW w:w="2286" w:type="dxa"/>
            <w:noWrap w:val="0"/>
            <w:vAlign w:val="top"/>
          </w:tcPr>
          <w:p w14:paraId="12E38681">
            <w:pPr>
              <w:ind w:firstLine="560"/>
              <w:rPr>
                <w:rFonts w:ascii="仿宋_GB2312"/>
                <w:color w:val="000000"/>
                <w:sz w:val="28"/>
              </w:rPr>
            </w:pPr>
          </w:p>
        </w:tc>
        <w:tc>
          <w:tcPr>
            <w:tcW w:w="1846" w:type="dxa"/>
            <w:noWrap w:val="0"/>
            <w:vAlign w:val="top"/>
          </w:tcPr>
          <w:p w14:paraId="177E9532">
            <w:pPr>
              <w:ind w:firstLine="560"/>
              <w:rPr>
                <w:rFonts w:ascii="仿宋_GB2312"/>
                <w:color w:val="000000"/>
                <w:sz w:val="28"/>
              </w:rPr>
            </w:pPr>
          </w:p>
        </w:tc>
        <w:tc>
          <w:tcPr>
            <w:tcW w:w="1262" w:type="dxa"/>
            <w:noWrap w:val="0"/>
            <w:vAlign w:val="top"/>
          </w:tcPr>
          <w:p w14:paraId="0540E631">
            <w:pPr>
              <w:ind w:firstLine="560"/>
              <w:rPr>
                <w:rFonts w:ascii="仿宋_GB2312"/>
                <w:color w:val="000000"/>
                <w:sz w:val="28"/>
              </w:rPr>
            </w:pPr>
          </w:p>
        </w:tc>
        <w:tc>
          <w:tcPr>
            <w:tcW w:w="1554" w:type="dxa"/>
            <w:noWrap w:val="0"/>
            <w:vAlign w:val="top"/>
          </w:tcPr>
          <w:p w14:paraId="2D4706B0">
            <w:pPr>
              <w:ind w:firstLine="560"/>
              <w:rPr>
                <w:rFonts w:ascii="仿宋_GB2312"/>
                <w:color w:val="000000"/>
                <w:sz w:val="28"/>
              </w:rPr>
            </w:pPr>
          </w:p>
        </w:tc>
        <w:tc>
          <w:tcPr>
            <w:tcW w:w="1262" w:type="dxa"/>
            <w:noWrap w:val="0"/>
            <w:vAlign w:val="top"/>
          </w:tcPr>
          <w:p w14:paraId="76E6CD67">
            <w:pPr>
              <w:ind w:firstLine="560"/>
              <w:rPr>
                <w:rFonts w:ascii="仿宋_GB2312"/>
                <w:color w:val="000000"/>
                <w:sz w:val="28"/>
              </w:rPr>
            </w:pPr>
          </w:p>
        </w:tc>
        <w:tc>
          <w:tcPr>
            <w:tcW w:w="1554" w:type="dxa"/>
            <w:noWrap w:val="0"/>
            <w:vAlign w:val="top"/>
          </w:tcPr>
          <w:p w14:paraId="5F62FC64">
            <w:pPr>
              <w:ind w:firstLine="560"/>
              <w:rPr>
                <w:rFonts w:ascii="仿宋_GB2312"/>
                <w:color w:val="000000"/>
                <w:sz w:val="28"/>
              </w:rPr>
            </w:pPr>
          </w:p>
        </w:tc>
        <w:tc>
          <w:tcPr>
            <w:tcW w:w="3618" w:type="dxa"/>
            <w:noWrap w:val="0"/>
            <w:vAlign w:val="top"/>
          </w:tcPr>
          <w:p w14:paraId="723952B1">
            <w:pPr>
              <w:ind w:firstLine="560"/>
              <w:rPr>
                <w:rFonts w:ascii="仿宋_GB2312" w:eastAsia="仿宋"/>
                <w:color w:val="000000"/>
                <w:sz w:val="28"/>
              </w:rPr>
            </w:pPr>
          </w:p>
        </w:tc>
      </w:tr>
      <w:tr w14:paraId="7053B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766" w:type="dxa"/>
            <w:noWrap w:val="0"/>
            <w:vAlign w:val="top"/>
          </w:tcPr>
          <w:p w14:paraId="139378FB">
            <w:pPr>
              <w:ind w:firstLine="560"/>
              <w:rPr>
                <w:rFonts w:ascii="仿宋_GB2312"/>
                <w:color w:val="000000"/>
                <w:sz w:val="28"/>
              </w:rPr>
            </w:pPr>
          </w:p>
        </w:tc>
        <w:tc>
          <w:tcPr>
            <w:tcW w:w="2286" w:type="dxa"/>
            <w:noWrap w:val="0"/>
            <w:vAlign w:val="top"/>
          </w:tcPr>
          <w:p w14:paraId="339BF583">
            <w:pPr>
              <w:ind w:firstLine="560"/>
              <w:rPr>
                <w:rFonts w:ascii="仿宋_GB2312"/>
                <w:color w:val="000000"/>
                <w:sz w:val="28"/>
              </w:rPr>
            </w:pPr>
          </w:p>
        </w:tc>
        <w:tc>
          <w:tcPr>
            <w:tcW w:w="1846" w:type="dxa"/>
            <w:noWrap w:val="0"/>
            <w:vAlign w:val="top"/>
          </w:tcPr>
          <w:p w14:paraId="4BDDFE35">
            <w:pPr>
              <w:ind w:firstLine="560"/>
              <w:rPr>
                <w:rFonts w:ascii="仿宋_GB2312"/>
                <w:color w:val="000000"/>
                <w:sz w:val="28"/>
              </w:rPr>
            </w:pPr>
          </w:p>
        </w:tc>
        <w:tc>
          <w:tcPr>
            <w:tcW w:w="1262" w:type="dxa"/>
            <w:noWrap w:val="0"/>
            <w:vAlign w:val="top"/>
          </w:tcPr>
          <w:p w14:paraId="351CD769">
            <w:pPr>
              <w:ind w:firstLine="560"/>
              <w:rPr>
                <w:rFonts w:ascii="仿宋_GB2312"/>
                <w:color w:val="000000"/>
                <w:sz w:val="28"/>
              </w:rPr>
            </w:pPr>
          </w:p>
        </w:tc>
        <w:tc>
          <w:tcPr>
            <w:tcW w:w="1554" w:type="dxa"/>
            <w:noWrap w:val="0"/>
            <w:vAlign w:val="top"/>
          </w:tcPr>
          <w:p w14:paraId="0736A03C">
            <w:pPr>
              <w:ind w:firstLine="560"/>
              <w:rPr>
                <w:rFonts w:ascii="仿宋_GB2312"/>
                <w:color w:val="000000"/>
                <w:sz w:val="28"/>
              </w:rPr>
            </w:pPr>
          </w:p>
        </w:tc>
        <w:tc>
          <w:tcPr>
            <w:tcW w:w="1262" w:type="dxa"/>
            <w:noWrap w:val="0"/>
            <w:vAlign w:val="top"/>
          </w:tcPr>
          <w:p w14:paraId="3D476D6E">
            <w:pPr>
              <w:ind w:firstLine="560"/>
              <w:rPr>
                <w:rFonts w:ascii="仿宋_GB2312"/>
                <w:color w:val="000000"/>
                <w:sz w:val="28"/>
              </w:rPr>
            </w:pPr>
          </w:p>
        </w:tc>
        <w:tc>
          <w:tcPr>
            <w:tcW w:w="1554" w:type="dxa"/>
            <w:noWrap w:val="0"/>
            <w:vAlign w:val="top"/>
          </w:tcPr>
          <w:p w14:paraId="0CDED238">
            <w:pPr>
              <w:ind w:firstLine="560"/>
              <w:rPr>
                <w:rFonts w:ascii="仿宋_GB2312"/>
                <w:color w:val="000000"/>
                <w:sz w:val="28"/>
              </w:rPr>
            </w:pPr>
          </w:p>
        </w:tc>
        <w:tc>
          <w:tcPr>
            <w:tcW w:w="3618" w:type="dxa"/>
            <w:noWrap w:val="0"/>
            <w:vAlign w:val="top"/>
          </w:tcPr>
          <w:p w14:paraId="56A8A0E5">
            <w:pPr>
              <w:ind w:firstLine="560"/>
              <w:rPr>
                <w:rFonts w:ascii="仿宋_GB2312" w:eastAsia="仿宋"/>
                <w:color w:val="000000"/>
                <w:sz w:val="28"/>
              </w:rPr>
            </w:pPr>
          </w:p>
        </w:tc>
      </w:tr>
      <w:tr w14:paraId="09930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766" w:type="dxa"/>
            <w:noWrap w:val="0"/>
            <w:vAlign w:val="top"/>
          </w:tcPr>
          <w:p w14:paraId="04B6586F">
            <w:pPr>
              <w:ind w:firstLine="560"/>
              <w:rPr>
                <w:rFonts w:ascii="仿宋_GB2312"/>
                <w:color w:val="000000"/>
                <w:sz w:val="28"/>
              </w:rPr>
            </w:pPr>
          </w:p>
        </w:tc>
        <w:tc>
          <w:tcPr>
            <w:tcW w:w="2286" w:type="dxa"/>
            <w:noWrap w:val="0"/>
            <w:vAlign w:val="top"/>
          </w:tcPr>
          <w:p w14:paraId="4E497FEC">
            <w:pPr>
              <w:ind w:firstLine="560"/>
              <w:rPr>
                <w:rFonts w:ascii="仿宋_GB2312"/>
                <w:color w:val="000000"/>
                <w:sz w:val="28"/>
              </w:rPr>
            </w:pPr>
          </w:p>
        </w:tc>
        <w:tc>
          <w:tcPr>
            <w:tcW w:w="1846" w:type="dxa"/>
            <w:noWrap w:val="0"/>
            <w:vAlign w:val="top"/>
          </w:tcPr>
          <w:p w14:paraId="2B95FEA0">
            <w:pPr>
              <w:ind w:firstLine="560"/>
              <w:rPr>
                <w:rFonts w:ascii="仿宋_GB2312"/>
                <w:color w:val="000000"/>
                <w:sz w:val="28"/>
              </w:rPr>
            </w:pPr>
          </w:p>
        </w:tc>
        <w:tc>
          <w:tcPr>
            <w:tcW w:w="1262" w:type="dxa"/>
            <w:noWrap w:val="0"/>
            <w:vAlign w:val="top"/>
          </w:tcPr>
          <w:p w14:paraId="3A27E994">
            <w:pPr>
              <w:ind w:firstLine="560"/>
              <w:rPr>
                <w:rFonts w:ascii="仿宋_GB2312"/>
                <w:color w:val="000000"/>
                <w:sz w:val="28"/>
              </w:rPr>
            </w:pPr>
          </w:p>
        </w:tc>
        <w:tc>
          <w:tcPr>
            <w:tcW w:w="1554" w:type="dxa"/>
            <w:noWrap w:val="0"/>
            <w:vAlign w:val="top"/>
          </w:tcPr>
          <w:p w14:paraId="19915A10">
            <w:pPr>
              <w:ind w:firstLine="560"/>
              <w:rPr>
                <w:rFonts w:ascii="仿宋_GB2312"/>
                <w:color w:val="000000"/>
                <w:sz w:val="28"/>
              </w:rPr>
            </w:pPr>
          </w:p>
        </w:tc>
        <w:tc>
          <w:tcPr>
            <w:tcW w:w="1262" w:type="dxa"/>
            <w:noWrap w:val="0"/>
            <w:vAlign w:val="top"/>
          </w:tcPr>
          <w:p w14:paraId="0023A127">
            <w:pPr>
              <w:ind w:firstLine="560"/>
              <w:rPr>
                <w:rFonts w:ascii="仿宋_GB2312"/>
                <w:color w:val="000000"/>
                <w:sz w:val="28"/>
              </w:rPr>
            </w:pPr>
          </w:p>
        </w:tc>
        <w:tc>
          <w:tcPr>
            <w:tcW w:w="1554" w:type="dxa"/>
            <w:noWrap w:val="0"/>
            <w:vAlign w:val="top"/>
          </w:tcPr>
          <w:p w14:paraId="544AD481">
            <w:pPr>
              <w:ind w:firstLine="560"/>
              <w:rPr>
                <w:rFonts w:ascii="仿宋_GB2312"/>
                <w:color w:val="000000"/>
                <w:sz w:val="28"/>
              </w:rPr>
            </w:pPr>
          </w:p>
        </w:tc>
        <w:tc>
          <w:tcPr>
            <w:tcW w:w="3618" w:type="dxa"/>
            <w:noWrap w:val="0"/>
            <w:vAlign w:val="top"/>
          </w:tcPr>
          <w:p w14:paraId="7C10B69C">
            <w:pPr>
              <w:ind w:firstLine="560"/>
              <w:rPr>
                <w:rFonts w:ascii="仿宋_GB2312" w:eastAsia="仿宋"/>
                <w:color w:val="000000"/>
                <w:sz w:val="28"/>
              </w:rPr>
            </w:pPr>
          </w:p>
        </w:tc>
      </w:tr>
    </w:tbl>
    <w:p w14:paraId="009240FB">
      <w:pPr>
        <w:ind w:firstLine="560"/>
        <w:rPr>
          <w:rFonts w:ascii="仿宋_GB2312" w:eastAsia="仿宋"/>
          <w:color w:val="000000"/>
          <w:sz w:val="28"/>
        </w:rPr>
      </w:pPr>
      <w:r>
        <w:rPr>
          <w:rFonts w:hint="eastAsia" w:ascii="仿宋_GB2312" w:eastAsia="仿宋"/>
          <w:color w:val="000000"/>
          <w:sz w:val="28"/>
        </w:rPr>
        <w:t>填表日期：     年    月    日                                          填表人：</w:t>
      </w:r>
    </w:p>
    <w:p w14:paraId="42491D16">
      <w:pPr>
        <w:spacing w:line="360" w:lineRule="auto"/>
        <w:ind w:firstLine="640"/>
        <w:rPr>
          <w:rFonts w:ascii="仿宋_GB2312" w:eastAsia="仿宋"/>
          <w:color w:val="221E1F"/>
          <w:szCs w:val="32"/>
        </w:rPr>
        <w:sectPr>
          <w:pgSz w:w="16838" w:h="11906" w:orient="landscape"/>
          <w:pgMar w:top="1797" w:right="1440" w:bottom="1797" w:left="1440" w:header="851" w:footer="992" w:gutter="0"/>
          <w:pgNumType w:fmt="numberInDash"/>
          <w:cols w:space="720" w:num="1"/>
          <w:docGrid w:type="lines" w:linePitch="312" w:charSpace="0"/>
        </w:sectPr>
      </w:pPr>
    </w:p>
    <w:p w14:paraId="7345FA94">
      <w:pPr>
        <w:ind w:firstLine="56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附件3：</w:t>
      </w:r>
    </w:p>
    <w:p w14:paraId="03A5A30A">
      <w:pPr>
        <w:spacing w:line="360" w:lineRule="auto"/>
        <w:jc w:val="center"/>
        <w:rPr>
          <w:rFonts w:ascii="仿宋_GB2312" w:eastAsia="仿宋"/>
          <w:b/>
          <w:color w:val="221E1F"/>
          <w:szCs w:val="32"/>
        </w:rPr>
      </w:pPr>
      <w:r>
        <w:rPr>
          <w:rFonts w:hint="eastAsia" w:ascii="方正小标宋简体" w:hAnsi="方正小标宋简体" w:eastAsia="方正小标宋简体"/>
          <w:bCs/>
          <w:color w:val="221E1F"/>
          <w:sz w:val="44"/>
          <w:szCs w:val="44"/>
        </w:rPr>
        <w:t>岗位危险源（风险点）公告警示牌</w:t>
      </w:r>
    </w:p>
    <w:tbl>
      <w:tblPr>
        <w:tblStyle w:val="13"/>
        <w:tblW w:w="145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38"/>
        <w:gridCol w:w="1150"/>
        <w:gridCol w:w="3850"/>
        <w:gridCol w:w="912"/>
        <w:gridCol w:w="4375"/>
        <w:gridCol w:w="2175"/>
      </w:tblGrid>
      <w:tr w14:paraId="078745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38" w:type="dxa"/>
            <w:noWrap w:val="0"/>
            <w:vAlign w:val="center"/>
          </w:tcPr>
          <w:p w14:paraId="20E6C725">
            <w:pPr>
              <w:ind w:firstLine="0" w:firstLineChars="0"/>
              <w:rPr>
                <w:rFonts w:ascii="仿宋_GB2312"/>
                <w:b/>
                <w:color w:val="221E1F"/>
                <w:sz w:val="28"/>
                <w:szCs w:val="28"/>
              </w:rPr>
            </w:pPr>
            <w:r>
              <w:rPr>
                <w:rFonts w:hint="eastAsia" w:ascii="仿宋_GB2312" w:eastAsia="仿宋"/>
                <w:b/>
                <w:color w:val="221E1F"/>
                <w:sz w:val="28"/>
                <w:szCs w:val="28"/>
              </w:rPr>
              <w:t>区域名称</w:t>
            </w:r>
          </w:p>
        </w:tc>
        <w:tc>
          <w:tcPr>
            <w:tcW w:w="5000" w:type="dxa"/>
            <w:gridSpan w:val="2"/>
            <w:noWrap w:val="0"/>
            <w:vAlign w:val="center"/>
          </w:tcPr>
          <w:p w14:paraId="551F3210">
            <w:pPr>
              <w:ind w:firstLine="0" w:firstLineChars="0"/>
              <w:rPr>
                <w:rFonts w:ascii="仿宋_GB2312"/>
                <w:b/>
                <w:color w:val="221E1F"/>
                <w:sz w:val="28"/>
                <w:szCs w:val="28"/>
              </w:rPr>
            </w:pPr>
          </w:p>
        </w:tc>
        <w:tc>
          <w:tcPr>
            <w:tcW w:w="912" w:type="dxa"/>
            <w:noWrap w:val="0"/>
            <w:vAlign w:val="center"/>
          </w:tcPr>
          <w:p w14:paraId="63E79FA5">
            <w:pPr>
              <w:ind w:firstLine="0" w:firstLineChars="0"/>
              <w:rPr>
                <w:rFonts w:ascii="仿宋_GB2312"/>
                <w:b/>
                <w:color w:val="221E1F"/>
                <w:sz w:val="28"/>
                <w:szCs w:val="28"/>
              </w:rPr>
            </w:pPr>
            <w:r>
              <w:rPr>
                <w:rFonts w:hint="eastAsia" w:ascii="仿宋_GB2312" w:eastAsia="仿宋"/>
                <w:b/>
                <w:color w:val="221E1F"/>
                <w:sz w:val="28"/>
                <w:szCs w:val="28"/>
              </w:rPr>
              <w:t>岗位名称</w:t>
            </w:r>
          </w:p>
        </w:tc>
        <w:tc>
          <w:tcPr>
            <w:tcW w:w="6550" w:type="dxa"/>
            <w:gridSpan w:val="2"/>
            <w:noWrap w:val="0"/>
            <w:vAlign w:val="center"/>
          </w:tcPr>
          <w:p w14:paraId="73D0883F">
            <w:pPr>
              <w:ind w:firstLine="0" w:firstLineChars="0"/>
              <w:rPr>
                <w:rFonts w:ascii="仿宋_GB2312" w:eastAsia="仿宋"/>
                <w:color w:val="221E1F"/>
                <w:sz w:val="28"/>
                <w:szCs w:val="28"/>
              </w:rPr>
            </w:pPr>
          </w:p>
        </w:tc>
      </w:tr>
      <w:tr w14:paraId="1CA0E5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38" w:type="dxa"/>
            <w:noWrap w:val="0"/>
            <w:vAlign w:val="center"/>
          </w:tcPr>
          <w:p w14:paraId="684EEB94">
            <w:pPr>
              <w:ind w:firstLine="0" w:firstLineChars="0"/>
              <w:jc w:val="center"/>
              <w:rPr>
                <w:rFonts w:ascii="仿宋_GB2312"/>
                <w:color w:val="221E1F"/>
                <w:sz w:val="28"/>
              </w:rPr>
            </w:pPr>
            <w:r>
              <w:rPr>
                <w:rFonts w:hint="eastAsia" w:ascii="仿宋_GB2312" w:eastAsia="仿宋"/>
                <w:color w:val="221E1F"/>
                <w:sz w:val="28"/>
              </w:rPr>
              <w:t>危险源（风险点）名称</w:t>
            </w:r>
          </w:p>
        </w:tc>
        <w:tc>
          <w:tcPr>
            <w:tcW w:w="1150" w:type="dxa"/>
            <w:noWrap w:val="0"/>
            <w:vAlign w:val="center"/>
          </w:tcPr>
          <w:p w14:paraId="562C1069">
            <w:pPr>
              <w:ind w:firstLine="0" w:firstLineChars="0"/>
              <w:jc w:val="center"/>
              <w:rPr>
                <w:rFonts w:ascii="仿宋_GB2312"/>
                <w:color w:val="221E1F"/>
                <w:sz w:val="28"/>
              </w:rPr>
            </w:pPr>
            <w:r>
              <w:rPr>
                <w:rFonts w:hint="eastAsia" w:ascii="仿宋_GB2312" w:eastAsia="仿宋"/>
                <w:color w:val="221E1F"/>
                <w:sz w:val="28"/>
              </w:rPr>
              <w:t>事故类型</w:t>
            </w:r>
          </w:p>
        </w:tc>
        <w:tc>
          <w:tcPr>
            <w:tcW w:w="3850" w:type="dxa"/>
            <w:noWrap w:val="0"/>
            <w:vAlign w:val="center"/>
          </w:tcPr>
          <w:p w14:paraId="51715731">
            <w:pPr>
              <w:ind w:firstLine="0" w:firstLineChars="0"/>
              <w:jc w:val="center"/>
              <w:rPr>
                <w:rFonts w:ascii="仿宋_GB2312"/>
                <w:color w:val="221E1F"/>
                <w:sz w:val="28"/>
              </w:rPr>
            </w:pPr>
            <w:r>
              <w:rPr>
                <w:rFonts w:hint="eastAsia" w:ascii="仿宋_GB2312" w:eastAsia="仿宋"/>
                <w:color w:val="221E1F"/>
                <w:sz w:val="28"/>
              </w:rPr>
              <w:t>典型控制措施</w:t>
            </w:r>
          </w:p>
        </w:tc>
        <w:tc>
          <w:tcPr>
            <w:tcW w:w="912" w:type="dxa"/>
            <w:noWrap w:val="0"/>
            <w:vAlign w:val="center"/>
          </w:tcPr>
          <w:p w14:paraId="00377E40">
            <w:pPr>
              <w:ind w:firstLine="0" w:firstLineChars="0"/>
              <w:jc w:val="center"/>
              <w:rPr>
                <w:rFonts w:ascii="仿宋_GB2312"/>
                <w:color w:val="221E1F"/>
                <w:sz w:val="28"/>
              </w:rPr>
            </w:pPr>
            <w:r>
              <w:rPr>
                <w:rFonts w:hint="eastAsia" w:ascii="仿宋_GB2312" w:eastAsia="仿宋"/>
                <w:color w:val="221E1F"/>
                <w:sz w:val="28"/>
              </w:rPr>
              <w:t>风险等级</w:t>
            </w:r>
          </w:p>
        </w:tc>
        <w:tc>
          <w:tcPr>
            <w:tcW w:w="4375" w:type="dxa"/>
            <w:noWrap w:val="0"/>
            <w:vAlign w:val="center"/>
          </w:tcPr>
          <w:p w14:paraId="5E9E2DC0">
            <w:pPr>
              <w:ind w:firstLine="0" w:firstLineChars="0"/>
              <w:jc w:val="center"/>
              <w:rPr>
                <w:rFonts w:ascii="仿宋_GB2312"/>
                <w:color w:val="221E1F"/>
                <w:sz w:val="28"/>
              </w:rPr>
            </w:pPr>
            <w:r>
              <w:rPr>
                <w:rFonts w:hint="eastAsia" w:ascii="仿宋_GB2312" w:eastAsia="仿宋"/>
                <w:color w:val="221E1F"/>
                <w:sz w:val="28"/>
              </w:rPr>
              <w:t>应急控制措施</w:t>
            </w:r>
          </w:p>
        </w:tc>
        <w:tc>
          <w:tcPr>
            <w:tcW w:w="2175" w:type="dxa"/>
            <w:noWrap w:val="0"/>
            <w:vAlign w:val="center"/>
          </w:tcPr>
          <w:p w14:paraId="7E8E72B9">
            <w:pPr>
              <w:ind w:firstLine="0" w:firstLineChars="0"/>
              <w:jc w:val="center"/>
              <w:rPr>
                <w:rFonts w:ascii="仿宋_GB2312" w:eastAsia="仿宋"/>
                <w:color w:val="221E1F"/>
                <w:sz w:val="28"/>
              </w:rPr>
            </w:pPr>
            <w:r>
              <w:rPr>
                <w:rFonts w:hint="eastAsia" w:ascii="仿宋_GB2312" w:eastAsia="仿宋"/>
                <w:color w:val="221E1F"/>
                <w:sz w:val="28"/>
              </w:rPr>
              <w:t>责任人</w:t>
            </w:r>
          </w:p>
        </w:tc>
      </w:tr>
      <w:tr w14:paraId="61FE34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2038" w:type="dxa"/>
            <w:noWrap w:val="0"/>
            <w:vAlign w:val="center"/>
          </w:tcPr>
          <w:p w14:paraId="34651609">
            <w:pPr>
              <w:ind w:firstLine="0" w:firstLineChars="0"/>
              <w:rPr>
                <w:rFonts w:ascii="仿宋_GB2312"/>
                <w:color w:val="221E1F"/>
                <w:sz w:val="28"/>
                <w:szCs w:val="28"/>
              </w:rPr>
            </w:pPr>
          </w:p>
        </w:tc>
        <w:tc>
          <w:tcPr>
            <w:tcW w:w="1150" w:type="dxa"/>
            <w:noWrap w:val="0"/>
            <w:vAlign w:val="center"/>
          </w:tcPr>
          <w:p w14:paraId="6B9209E0">
            <w:pPr>
              <w:ind w:firstLine="0" w:firstLineChars="0"/>
              <w:rPr>
                <w:rFonts w:ascii="仿宋_GB2312"/>
                <w:color w:val="221E1F"/>
                <w:sz w:val="28"/>
                <w:szCs w:val="28"/>
              </w:rPr>
            </w:pPr>
          </w:p>
        </w:tc>
        <w:tc>
          <w:tcPr>
            <w:tcW w:w="3850" w:type="dxa"/>
            <w:noWrap w:val="0"/>
            <w:vAlign w:val="center"/>
          </w:tcPr>
          <w:p w14:paraId="2C2771EE">
            <w:pPr>
              <w:ind w:firstLine="0" w:firstLineChars="0"/>
              <w:rPr>
                <w:rFonts w:ascii="仿宋_GB2312"/>
                <w:color w:val="221E1F"/>
                <w:sz w:val="28"/>
                <w:szCs w:val="28"/>
              </w:rPr>
            </w:pPr>
          </w:p>
        </w:tc>
        <w:tc>
          <w:tcPr>
            <w:tcW w:w="912" w:type="dxa"/>
            <w:noWrap w:val="0"/>
            <w:vAlign w:val="center"/>
          </w:tcPr>
          <w:p w14:paraId="7A3E1409">
            <w:pPr>
              <w:ind w:firstLine="0" w:firstLineChars="0"/>
              <w:rPr>
                <w:rFonts w:ascii="仿宋_GB2312"/>
                <w:color w:val="221E1F"/>
                <w:sz w:val="28"/>
                <w:szCs w:val="28"/>
              </w:rPr>
            </w:pPr>
          </w:p>
        </w:tc>
        <w:tc>
          <w:tcPr>
            <w:tcW w:w="4375" w:type="dxa"/>
            <w:noWrap w:val="0"/>
            <w:vAlign w:val="center"/>
          </w:tcPr>
          <w:p w14:paraId="73F075AD">
            <w:pPr>
              <w:ind w:firstLine="0" w:firstLineChars="0"/>
              <w:rPr>
                <w:rFonts w:ascii="仿宋_GB2312"/>
                <w:color w:val="221E1F"/>
                <w:sz w:val="28"/>
                <w:szCs w:val="28"/>
              </w:rPr>
            </w:pPr>
          </w:p>
        </w:tc>
        <w:tc>
          <w:tcPr>
            <w:tcW w:w="2175" w:type="dxa"/>
            <w:noWrap w:val="0"/>
            <w:vAlign w:val="center"/>
          </w:tcPr>
          <w:p w14:paraId="63743362">
            <w:pPr>
              <w:ind w:firstLine="0" w:firstLineChars="0"/>
              <w:rPr>
                <w:rFonts w:ascii="仿宋_GB2312" w:eastAsia="仿宋"/>
                <w:color w:val="221E1F"/>
                <w:sz w:val="28"/>
                <w:szCs w:val="28"/>
              </w:rPr>
            </w:pPr>
          </w:p>
        </w:tc>
      </w:tr>
      <w:tr w14:paraId="77E95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2038" w:type="dxa"/>
            <w:noWrap w:val="0"/>
            <w:vAlign w:val="center"/>
          </w:tcPr>
          <w:p w14:paraId="33914E07">
            <w:pPr>
              <w:ind w:firstLine="0" w:firstLineChars="0"/>
              <w:rPr>
                <w:rFonts w:ascii="仿宋_GB2312"/>
                <w:color w:val="221E1F"/>
                <w:sz w:val="28"/>
                <w:szCs w:val="28"/>
              </w:rPr>
            </w:pPr>
          </w:p>
        </w:tc>
        <w:tc>
          <w:tcPr>
            <w:tcW w:w="1150" w:type="dxa"/>
            <w:noWrap w:val="0"/>
            <w:vAlign w:val="center"/>
          </w:tcPr>
          <w:p w14:paraId="2A8E83D2">
            <w:pPr>
              <w:ind w:firstLine="0" w:firstLineChars="0"/>
              <w:rPr>
                <w:rFonts w:ascii="仿宋_GB2312"/>
                <w:color w:val="221E1F"/>
                <w:sz w:val="28"/>
                <w:szCs w:val="28"/>
              </w:rPr>
            </w:pPr>
          </w:p>
        </w:tc>
        <w:tc>
          <w:tcPr>
            <w:tcW w:w="3850" w:type="dxa"/>
            <w:noWrap w:val="0"/>
            <w:vAlign w:val="center"/>
          </w:tcPr>
          <w:p w14:paraId="59E8F11A">
            <w:pPr>
              <w:ind w:firstLine="0" w:firstLineChars="0"/>
              <w:rPr>
                <w:rFonts w:ascii="仿宋_GB2312"/>
                <w:color w:val="221E1F"/>
                <w:sz w:val="28"/>
                <w:szCs w:val="28"/>
              </w:rPr>
            </w:pPr>
          </w:p>
        </w:tc>
        <w:tc>
          <w:tcPr>
            <w:tcW w:w="912" w:type="dxa"/>
            <w:noWrap w:val="0"/>
            <w:vAlign w:val="center"/>
          </w:tcPr>
          <w:p w14:paraId="4E9B0E2E">
            <w:pPr>
              <w:ind w:firstLine="0" w:firstLineChars="0"/>
              <w:rPr>
                <w:rFonts w:ascii="仿宋_GB2312"/>
                <w:color w:val="221E1F"/>
                <w:sz w:val="28"/>
                <w:szCs w:val="28"/>
              </w:rPr>
            </w:pPr>
          </w:p>
        </w:tc>
        <w:tc>
          <w:tcPr>
            <w:tcW w:w="4375" w:type="dxa"/>
            <w:noWrap w:val="0"/>
            <w:vAlign w:val="center"/>
          </w:tcPr>
          <w:p w14:paraId="3103B429">
            <w:pPr>
              <w:ind w:firstLine="0" w:firstLineChars="0"/>
              <w:rPr>
                <w:rFonts w:ascii="仿宋_GB2312"/>
                <w:color w:val="221E1F"/>
                <w:sz w:val="28"/>
                <w:szCs w:val="28"/>
              </w:rPr>
            </w:pPr>
          </w:p>
        </w:tc>
        <w:tc>
          <w:tcPr>
            <w:tcW w:w="2175" w:type="dxa"/>
            <w:noWrap w:val="0"/>
            <w:vAlign w:val="center"/>
          </w:tcPr>
          <w:p w14:paraId="5B834C1D">
            <w:pPr>
              <w:ind w:firstLine="0" w:firstLineChars="0"/>
              <w:rPr>
                <w:rFonts w:ascii="仿宋_GB2312" w:eastAsia="仿宋"/>
                <w:color w:val="221E1F"/>
                <w:sz w:val="28"/>
                <w:szCs w:val="28"/>
              </w:rPr>
            </w:pPr>
          </w:p>
        </w:tc>
      </w:tr>
      <w:tr w14:paraId="2E70E1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2038" w:type="dxa"/>
            <w:noWrap w:val="0"/>
            <w:vAlign w:val="center"/>
          </w:tcPr>
          <w:p w14:paraId="1106FC06">
            <w:pPr>
              <w:ind w:firstLine="0" w:firstLineChars="0"/>
              <w:rPr>
                <w:rFonts w:ascii="仿宋_GB2312"/>
                <w:color w:val="221E1F"/>
                <w:sz w:val="28"/>
                <w:szCs w:val="28"/>
              </w:rPr>
            </w:pPr>
          </w:p>
        </w:tc>
        <w:tc>
          <w:tcPr>
            <w:tcW w:w="1150" w:type="dxa"/>
            <w:noWrap w:val="0"/>
            <w:vAlign w:val="center"/>
          </w:tcPr>
          <w:p w14:paraId="73AC667F">
            <w:pPr>
              <w:ind w:firstLine="0" w:firstLineChars="0"/>
              <w:rPr>
                <w:rFonts w:ascii="仿宋_GB2312"/>
                <w:color w:val="221E1F"/>
                <w:sz w:val="28"/>
                <w:szCs w:val="28"/>
              </w:rPr>
            </w:pPr>
          </w:p>
        </w:tc>
        <w:tc>
          <w:tcPr>
            <w:tcW w:w="3850" w:type="dxa"/>
            <w:noWrap w:val="0"/>
            <w:vAlign w:val="center"/>
          </w:tcPr>
          <w:p w14:paraId="648C7F7C">
            <w:pPr>
              <w:ind w:firstLine="0" w:firstLineChars="0"/>
              <w:rPr>
                <w:rFonts w:ascii="仿宋_GB2312"/>
                <w:color w:val="221E1F"/>
                <w:sz w:val="28"/>
                <w:szCs w:val="28"/>
              </w:rPr>
            </w:pPr>
          </w:p>
        </w:tc>
        <w:tc>
          <w:tcPr>
            <w:tcW w:w="912" w:type="dxa"/>
            <w:noWrap w:val="0"/>
            <w:vAlign w:val="center"/>
          </w:tcPr>
          <w:p w14:paraId="36A48911">
            <w:pPr>
              <w:ind w:firstLine="0" w:firstLineChars="0"/>
              <w:rPr>
                <w:rFonts w:ascii="仿宋_GB2312"/>
                <w:color w:val="221E1F"/>
                <w:sz w:val="28"/>
                <w:szCs w:val="28"/>
              </w:rPr>
            </w:pPr>
          </w:p>
        </w:tc>
        <w:tc>
          <w:tcPr>
            <w:tcW w:w="4375" w:type="dxa"/>
            <w:noWrap w:val="0"/>
            <w:vAlign w:val="center"/>
          </w:tcPr>
          <w:p w14:paraId="707424D9">
            <w:pPr>
              <w:ind w:firstLine="0" w:firstLineChars="0"/>
              <w:rPr>
                <w:rFonts w:ascii="仿宋_GB2312"/>
                <w:color w:val="221E1F"/>
                <w:sz w:val="28"/>
                <w:szCs w:val="28"/>
              </w:rPr>
            </w:pPr>
          </w:p>
        </w:tc>
        <w:tc>
          <w:tcPr>
            <w:tcW w:w="2175" w:type="dxa"/>
            <w:noWrap w:val="0"/>
            <w:vAlign w:val="center"/>
          </w:tcPr>
          <w:p w14:paraId="2D8C4325">
            <w:pPr>
              <w:ind w:firstLine="0" w:firstLineChars="0"/>
              <w:rPr>
                <w:rFonts w:ascii="仿宋_GB2312" w:eastAsia="仿宋"/>
                <w:color w:val="221E1F"/>
                <w:sz w:val="28"/>
                <w:szCs w:val="28"/>
              </w:rPr>
            </w:pPr>
          </w:p>
        </w:tc>
      </w:tr>
      <w:tr w14:paraId="2EDD05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2038" w:type="dxa"/>
            <w:noWrap w:val="0"/>
            <w:vAlign w:val="center"/>
          </w:tcPr>
          <w:p w14:paraId="59CFF94C">
            <w:pPr>
              <w:ind w:firstLine="0" w:firstLineChars="0"/>
              <w:rPr>
                <w:rFonts w:ascii="仿宋_GB2312"/>
                <w:color w:val="221E1F"/>
                <w:sz w:val="28"/>
                <w:szCs w:val="28"/>
              </w:rPr>
            </w:pPr>
          </w:p>
        </w:tc>
        <w:tc>
          <w:tcPr>
            <w:tcW w:w="1150" w:type="dxa"/>
            <w:noWrap w:val="0"/>
            <w:vAlign w:val="center"/>
          </w:tcPr>
          <w:p w14:paraId="0313174F">
            <w:pPr>
              <w:ind w:firstLine="0" w:firstLineChars="0"/>
              <w:rPr>
                <w:rFonts w:ascii="仿宋_GB2312"/>
                <w:color w:val="221E1F"/>
                <w:sz w:val="28"/>
                <w:szCs w:val="28"/>
              </w:rPr>
            </w:pPr>
          </w:p>
        </w:tc>
        <w:tc>
          <w:tcPr>
            <w:tcW w:w="3850" w:type="dxa"/>
            <w:noWrap w:val="0"/>
            <w:vAlign w:val="center"/>
          </w:tcPr>
          <w:p w14:paraId="17654B43">
            <w:pPr>
              <w:ind w:firstLine="0" w:firstLineChars="0"/>
              <w:rPr>
                <w:rFonts w:ascii="仿宋_GB2312"/>
                <w:color w:val="221E1F"/>
                <w:sz w:val="28"/>
                <w:szCs w:val="28"/>
              </w:rPr>
            </w:pPr>
          </w:p>
        </w:tc>
        <w:tc>
          <w:tcPr>
            <w:tcW w:w="912" w:type="dxa"/>
            <w:noWrap w:val="0"/>
            <w:vAlign w:val="center"/>
          </w:tcPr>
          <w:p w14:paraId="14F5AB5A">
            <w:pPr>
              <w:ind w:firstLine="0" w:firstLineChars="0"/>
              <w:rPr>
                <w:rFonts w:ascii="仿宋_GB2312"/>
                <w:color w:val="221E1F"/>
                <w:sz w:val="28"/>
                <w:szCs w:val="28"/>
              </w:rPr>
            </w:pPr>
          </w:p>
        </w:tc>
        <w:tc>
          <w:tcPr>
            <w:tcW w:w="4375" w:type="dxa"/>
            <w:noWrap w:val="0"/>
            <w:vAlign w:val="center"/>
          </w:tcPr>
          <w:p w14:paraId="16FBEAD3">
            <w:pPr>
              <w:ind w:firstLine="0" w:firstLineChars="0"/>
              <w:rPr>
                <w:rFonts w:ascii="仿宋_GB2312"/>
                <w:color w:val="221E1F"/>
                <w:sz w:val="28"/>
                <w:szCs w:val="28"/>
              </w:rPr>
            </w:pPr>
          </w:p>
        </w:tc>
        <w:tc>
          <w:tcPr>
            <w:tcW w:w="2175" w:type="dxa"/>
            <w:noWrap w:val="0"/>
            <w:vAlign w:val="center"/>
          </w:tcPr>
          <w:p w14:paraId="7A63761D">
            <w:pPr>
              <w:ind w:firstLine="0" w:firstLineChars="0"/>
              <w:rPr>
                <w:rFonts w:ascii="仿宋_GB2312" w:eastAsia="仿宋"/>
                <w:color w:val="221E1F"/>
                <w:sz w:val="28"/>
                <w:szCs w:val="28"/>
              </w:rPr>
            </w:pPr>
          </w:p>
        </w:tc>
      </w:tr>
      <w:tr w14:paraId="6F306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2038" w:type="dxa"/>
            <w:noWrap w:val="0"/>
            <w:vAlign w:val="center"/>
          </w:tcPr>
          <w:p w14:paraId="048D4C12">
            <w:pPr>
              <w:ind w:firstLine="0" w:firstLineChars="0"/>
              <w:rPr>
                <w:rFonts w:ascii="仿宋_GB2312"/>
                <w:color w:val="221E1F"/>
                <w:sz w:val="28"/>
                <w:szCs w:val="28"/>
              </w:rPr>
            </w:pPr>
          </w:p>
        </w:tc>
        <w:tc>
          <w:tcPr>
            <w:tcW w:w="1150" w:type="dxa"/>
            <w:noWrap w:val="0"/>
            <w:vAlign w:val="center"/>
          </w:tcPr>
          <w:p w14:paraId="6164D81B">
            <w:pPr>
              <w:ind w:firstLine="0" w:firstLineChars="0"/>
              <w:rPr>
                <w:rFonts w:ascii="仿宋_GB2312"/>
                <w:color w:val="221E1F"/>
                <w:sz w:val="28"/>
                <w:szCs w:val="28"/>
              </w:rPr>
            </w:pPr>
          </w:p>
        </w:tc>
        <w:tc>
          <w:tcPr>
            <w:tcW w:w="3850" w:type="dxa"/>
            <w:noWrap w:val="0"/>
            <w:vAlign w:val="center"/>
          </w:tcPr>
          <w:p w14:paraId="0AC38073">
            <w:pPr>
              <w:ind w:firstLine="0" w:firstLineChars="0"/>
              <w:rPr>
                <w:rFonts w:ascii="仿宋_GB2312"/>
                <w:color w:val="221E1F"/>
                <w:sz w:val="28"/>
                <w:szCs w:val="28"/>
              </w:rPr>
            </w:pPr>
          </w:p>
        </w:tc>
        <w:tc>
          <w:tcPr>
            <w:tcW w:w="912" w:type="dxa"/>
            <w:noWrap w:val="0"/>
            <w:vAlign w:val="center"/>
          </w:tcPr>
          <w:p w14:paraId="79FD3E1C">
            <w:pPr>
              <w:ind w:firstLine="0" w:firstLineChars="0"/>
              <w:rPr>
                <w:rFonts w:ascii="仿宋_GB2312"/>
                <w:color w:val="221E1F"/>
                <w:sz w:val="28"/>
                <w:szCs w:val="28"/>
              </w:rPr>
            </w:pPr>
          </w:p>
        </w:tc>
        <w:tc>
          <w:tcPr>
            <w:tcW w:w="4375" w:type="dxa"/>
            <w:noWrap w:val="0"/>
            <w:vAlign w:val="center"/>
          </w:tcPr>
          <w:p w14:paraId="1AB55FB1">
            <w:pPr>
              <w:ind w:firstLine="0" w:firstLineChars="0"/>
              <w:rPr>
                <w:rFonts w:ascii="仿宋_GB2312"/>
                <w:color w:val="221E1F"/>
                <w:sz w:val="28"/>
                <w:szCs w:val="28"/>
              </w:rPr>
            </w:pPr>
          </w:p>
        </w:tc>
        <w:tc>
          <w:tcPr>
            <w:tcW w:w="2175" w:type="dxa"/>
            <w:noWrap w:val="0"/>
            <w:vAlign w:val="center"/>
          </w:tcPr>
          <w:p w14:paraId="4B18810D">
            <w:pPr>
              <w:ind w:firstLine="0" w:firstLineChars="0"/>
              <w:rPr>
                <w:rFonts w:ascii="仿宋_GB2312" w:eastAsia="仿宋"/>
                <w:color w:val="221E1F"/>
                <w:sz w:val="28"/>
                <w:szCs w:val="28"/>
              </w:rPr>
            </w:pPr>
          </w:p>
        </w:tc>
      </w:tr>
      <w:tr w14:paraId="246338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2038" w:type="dxa"/>
            <w:noWrap w:val="0"/>
            <w:vAlign w:val="center"/>
          </w:tcPr>
          <w:p w14:paraId="07AC0692">
            <w:pPr>
              <w:ind w:firstLine="0" w:firstLineChars="0"/>
              <w:rPr>
                <w:rFonts w:ascii="仿宋_GB2312"/>
                <w:color w:val="221E1F"/>
                <w:sz w:val="28"/>
                <w:szCs w:val="28"/>
              </w:rPr>
            </w:pPr>
          </w:p>
        </w:tc>
        <w:tc>
          <w:tcPr>
            <w:tcW w:w="1150" w:type="dxa"/>
            <w:noWrap w:val="0"/>
            <w:vAlign w:val="center"/>
          </w:tcPr>
          <w:p w14:paraId="6923C50D">
            <w:pPr>
              <w:ind w:firstLine="0" w:firstLineChars="0"/>
              <w:rPr>
                <w:rFonts w:ascii="仿宋_GB2312"/>
                <w:color w:val="221E1F"/>
                <w:sz w:val="28"/>
                <w:szCs w:val="28"/>
              </w:rPr>
            </w:pPr>
          </w:p>
        </w:tc>
        <w:tc>
          <w:tcPr>
            <w:tcW w:w="3850" w:type="dxa"/>
            <w:noWrap w:val="0"/>
            <w:vAlign w:val="center"/>
          </w:tcPr>
          <w:p w14:paraId="018E6674">
            <w:pPr>
              <w:ind w:firstLine="0" w:firstLineChars="0"/>
              <w:rPr>
                <w:rFonts w:ascii="仿宋_GB2312"/>
                <w:color w:val="221E1F"/>
                <w:sz w:val="28"/>
                <w:szCs w:val="28"/>
              </w:rPr>
            </w:pPr>
          </w:p>
        </w:tc>
        <w:tc>
          <w:tcPr>
            <w:tcW w:w="912" w:type="dxa"/>
            <w:noWrap w:val="0"/>
            <w:vAlign w:val="center"/>
          </w:tcPr>
          <w:p w14:paraId="5FF1E847">
            <w:pPr>
              <w:ind w:firstLine="0" w:firstLineChars="0"/>
              <w:rPr>
                <w:rFonts w:ascii="仿宋_GB2312"/>
                <w:color w:val="221E1F"/>
                <w:sz w:val="28"/>
                <w:szCs w:val="28"/>
              </w:rPr>
            </w:pPr>
          </w:p>
        </w:tc>
        <w:tc>
          <w:tcPr>
            <w:tcW w:w="4375" w:type="dxa"/>
            <w:noWrap w:val="0"/>
            <w:vAlign w:val="center"/>
          </w:tcPr>
          <w:p w14:paraId="5A512A19">
            <w:pPr>
              <w:ind w:firstLine="0" w:firstLineChars="0"/>
              <w:rPr>
                <w:rFonts w:ascii="仿宋_GB2312"/>
                <w:color w:val="221E1F"/>
                <w:sz w:val="28"/>
                <w:szCs w:val="28"/>
              </w:rPr>
            </w:pPr>
          </w:p>
        </w:tc>
        <w:tc>
          <w:tcPr>
            <w:tcW w:w="2175" w:type="dxa"/>
            <w:noWrap w:val="0"/>
            <w:vAlign w:val="center"/>
          </w:tcPr>
          <w:p w14:paraId="3B7AD1E8">
            <w:pPr>
              <w:ind w:firstLine="0" w:firstLineChars="0"/>
              <w:rPr>
                <w:rFonts w:ascii="仿宋_GB2312" w:eastAsia="仿宋"/>
                <w:color w:val="221E1F"/>
                <w:sz w:val="28"/>
                <w:szCs w:val="28"/>
              </w:rPr>
            </w:pPr>
          </w:p>
        </w:tc>
      </w:tr>
    </w:tbl>
    <w:p w14:paraId="43DE1C23">
      <w:pPr>
        <w:ind w:firstLine="640"/>
        <w:sectPr>
          <w:footerReference r:id="rId12" w:type="default"/>
          <w:footerReference r:id="rId13" w:type="even"/>
          <w:pgSz w:w="16838" w:h="11906" w:orient="landscape"/>
          <w:pgMar w:top="1800" w:right="1440" w:bottom="1800" w:left="1440" w:header="851" w:footer="992" w:gutter="0"/>
          <w:cols w:space="720" w:num="1"/>
          <w:docGrid w:type="lines" w:linePitch="312" w:charSpace="0"/>
        </w:sectPr>
      </w:pPr>
      <w:bookmarkStart w:id="1" w:name="secdoc"/>
      <w:bookmarkEnd w:id="1"/>
      <w:bookmarkStart w:id="2" w:name="secname"/>
      <w:bookmarkEnd w:id="2"/>
    </w:p>
    <w:p w14:paraId="503E21BC">
      <w:pPr>
        <w:autoSpaceDE w:val="0"/>
        <w:autoSpaceDN w:val="0"/>
        <w:adjustRightInd w:val="0"/>
        <w:spacing w:line="560" w:lineRule="exact"/>
        <w:ind w:firstLine="560"/>
        <w:jc w:val="left"/>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附件4：</w:t>
      </w:r>
    </w:p>
    <w:p w14:paraId="102ACC34">
      <w:pPr>
        <w:spacing w:line="360" w:lineRule="auto"/>
        <w:jc w:val="center"/>
        <w:rPr>
          <w:rFonts w:hint="eastAsia" w:ascii="方正小标宋简体" w:hAnsi="方正小标宋简体" w:eastAsia="方正小标宋简体"/>
          <w:bCs/>
          <w:color w:val="221E1F"/>
          <w:sz w:val="44"/>
          <w:szCs w:val="44"/>
        </w:rPr>
      </w:pPr>
      <w:r>
        <w:rPr>
          <w:rFonts w:hint="eastAsia" w:ascii="方正小标宋简体" w:hAnsi="方正小标宋简体" w:eastAsia="方正小标宋简体"/>
          <w:bCs/>
          <w:color w:val="221E1F"/>
          <w:sz w:val="44"/>
          <w:szCs w:val="44"/>
        </w:rPr>
        <w:t>隐患书面报告单</w:t>
      </w:r>
    </w:p>
    <w:p w14:paraId="59C3C5ED">
      <w:pPr>
        <w:pStyle w:val="17"/>
        <w:rPr>
          <w:rFonts w:ascii="仿宋" w:hAnsi="仿宋" w:eastAsia="仿宋" w:cs="仿宋"/>
          <w:sz w:val="28"/>
          <w:szCs w:val="28"/>
        </w:rPr>
      </w:pPr>
      <w:r>
        <w:rPr>
          <w:rFonts w:hint="eastAsia" w:ascii="仿宋" w:hAnsi="仿宋" w:eastAsia="仿宋" w:cs="仿宋"/>
          <w:color w:val="000000"/>
          <w:sz w:val="28"/>
          <w:szCs w:val="28"/>
        </w:rPr>
        <w:t>报告部门/单位：                          报告人员姓名：                        日期：</w:t>
      </w:r>
    </w:p>
    <w:tbl>
      <w:tblPr>
        <w:tblStyle w:val="13"/>
        <w:tblW w:w="14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2"/>
        <w:gridCol w:w="810"/>
        <w:gridCol w:w="1025"/>
        <w:gridCol w:w="913"/>
        <w:gridCol w:w="875"/>
        <w:gridCol w:w="2112"/>
        <w:gridCol w:w="1463"/>
        <w:gridCol w:w="1700"/>
        <w:gridCol w:w="2412"/>
        <w:gridCol w:w="2706"/>
      </w:tblGrid>
      <w:tr w14:paraId="09B91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22" w:type="dxa"/>
            <w:shd w:val="clear" w:color="auto" w:fill="auto"/>
            <w:noWrap w:val="0"/>
            <w:vAlign w:val="center"/>
          </w:tcPr>
          <w:p w14:paraId="7DDEF22E">
            <w:pPr>
              <w:autoSpaceDE w:val="0"/>
              <w:autoSpaceDN w:val="0"/>
              <w:adjustRightInd w:val="0"/>
              <w:spacing w:line="400" w:lineRule="exact"/>
              <w:ind w:firstLine="0" w:firstLineChars="0"/>
              <w:jc w:val="center"/>
              <w:rPr>
                <w:rFonts w:hint="eastAsia" w:ascii="仿宋" w:hAnsi="仿宋" w:eastAsia="仿宋" w:cs="仿宋"/>
                <w:color w:val="000000"/>
                <w:sz w:val="28"/>
                <w:szCs w:val="28"/>
              </w:rPr>
            </w:pPr>
            <w:r>
              <w:rPr>
                <w:rFonts w:hint="eastAsia" w:ascii="仿宋" w:hAnsi="仿宋" w:eastAsia="仿宋" w:cs="仿宋"/>
                <w:color w:val="000000"/>
                <w:sz w:val="28"/>
                <w:szCs w:val="28"/>
              </w:rPr>
              <w:t>序号</w:t>
            </w:r>
          </w:p>
        </w:tc>
        <w:tc>
          <w:tcPr>
            <w:tcW w:w="810" w:type="dxa"/>
            <w:shd w:val="clear" w:color="auto" w:fill="auto"/>
            <w:noWrap w:val="0"/>
            <w:vAlign w:val="center"/>
          </w:tcPr>
          <w:p w14:paraId="599AFCC8">
            <w:pPr>
              <w:autoSpaceDE w:val="0"/>
              <w:autoSpaceDN w:val="0"/>
              <w:adjustRightInd w:val="0"/>
              <w:spacing w:line="400" w:lineRule="exact"/>
              <w:ind w:firstLine="0" w:firstLineChars="0"/>
              <w:jc w:val="center"/>
              <w:rPr>
                <w:rFonts w:ascii="仿宋" w:hAnsi="仿宋" w:eastAsia="仿宋" w:cs="仿宋"/>
                <w:color w:val="000000"/>
                <w:sz w:val="28"/>
                <w:szCs w:val="28"/>
              </w:rPr>
            </w:pPr>
            <w:r>
              <w:rPr>
                <w:rFonts w:hint="eastAsia" w:ascii="仿宋" w:hAnsi="仿宋" w:eastAsia="仿宋" w:cs="仿宋"/>
                <w:color w:val="000000"/>
                <w:sz w:val="28"/>
                <w:szCs w:val="28"/>
              </w:rPr>
              <w:t>隐患地点</w:t>
            </w:r>
          </w:p>
        </w:tc>
        <w:tc>
          <w:tcPr>
            <w:tcW w:w="1025" w:type="dxa"/>
            <w:shd w:val="clear" w:color="auto" w:fill="auto"/>
            <w:noWrap w:val="0"/>
            <w:vAlign w:val="center"/>
          </w:tcPr>
          <w:p w14:paraId="20CF0036">
            <w:pPr>
              <w:autoSpaceDE w:val="0"/>
              <w:autoSpaceDN w:val="0"/>
              <w:adjustRightInd w:val="0"/>
              <w:spacing w:line="400" w:lineRule="exact"/>
              <w:ind w:firstLine="0" w:firstLineChars="0"/>
              <w:jc w:val="center"/>
              <w:rPr>
                <w:rFonts w:ascii="仿宋" w:hAnsi="仿宋" w:eastAsia="仿宋" w:cs="仿宋"/>
                <w:color w:val="000000"/>
                <w:sz w:val="28"/>
                <w:szCs w:val="28"/>
              </w:rPr>
            </w:pPr>
            <w:r>
              <w:rPr>
                <w:rFonts w:hint="eastAsia" w:ascii="仿宋" w:hAnsi="仿宋" w:eastAsia="仿宋" w:cs="仿宋"/>
                <w:color w:val="000000"/>
                <w:sz w:val="28"/>
                <w:szCs w:val="28"/>
              </w:rPr>
              <w:t>隐患部位</w:t>
            </w:r>
          </w:p>
        </w:tc>
        <w:tc>
          <w:tcPr>
            <w:tcW w:w="913" w:type="dxa"/>
            <w:shd w:val="clear" w:color="auto" w:fill="auto"/>
            <w:noWrap w:val="0"/>
            <w:vAlign w:val="center"/>
          </w:tcPr>
          <w:p w14:paraId="1861309C">
            <w:pPr>
              <w:autoSpaceDE w:val="0"/>
              <w:autoSpaceDN w:val="0"/>
              <w:adjustRightInd w:val="0"/>
              <w:spacing w:line="400" w:lineRule="exact"/>
              <w:ind w:firstLine="0" w:firstLineChars="0"/>
              <w:jc w:val="center"/>
              <w:rPr>
                <w:rFonts w:hint="eastAsia" w:ascii="仿宋" w:hAnsi="仿宋" w:eastAsia="仿宋" w:cs="仿宋"/>
                <w:color w:val="000000"/>
                <w:sz w:val="28"/>
                <w:szCs w:val="28"/>
              </w:rPr>
            </w:pPr>
            <w:r>
              <w:rPr>
                <w:rFonts w:hint="eastAsia" w:ascii="仿宋" w:hAnsi="仿宋" w:eastAsia="仿宋" w:cs="仿宋"/>
                <w:color w:val="000000"/>
                <w:sz w:val="28"/>
                <w:szCs w:val="28"/>
              </w:rPr>
              <w:t>隐患级别</w:t>
            </w:r>
          </w:p>
        </w:tc>
        <w:tc>
          <w:tcPr>
            <w:tcW w:w="875" w:type="dxa"/>
            <w:shd w:val="clear" w:color="auto" w:fill="auto"/>
            <w:noWrap w:val="0"/>
            <w:vAlign w:val="center"/>
          </w:tcPr>
          <w:p w14:paraId="3AD32523">
            <w:pPr>
              <w:autoSpaceDE w:val="0"/>
              <w:autoSpaceDN w:val="0"/>
              <w:adjustRightInd w:val="0"/>
              <w:spacing w:line="400" w:lineRule="exact"/>
              <w:ind w:firstLine="0" w:firstLineChars="0"/>
              <w:jc w:val="center"/>
              <w:rPr>
                <w:rFonts w:ascii="仿宋" w:hAnsi="仿宋" w:eastAsia="仿宋" w:cs="仿宋"/>
                <w:color w:val="000000"/>
                <w:sz w:val="28"/>
                <w:szCs w:val="28"/>
              </w:rPr>
            </w:pPr>
            <w:r>
              <w:rPr>
                <w:rFonts w:hint="eastAsia" w:ascii="仿宋" w:hAnsi="仿宋" w:eastAsia="仿宋" w:cs="仿宋"/>
                <w:color w:val="000000"/>
                <w:sz w:val="28"/>
                <w:szCs w:val="28"/>
              </w:rPr>
              <w:t>隐患类别</w:t>
            </w:r>
          </w:p>
        </w:tc>
        <w:tc>
          <w:tcPr>
            <w:tcW w:w="2112" w:type="dxa"/>
            <w:shd w:val="clear" w:color="auto" w:fill="auto"/>
            <w:noWrap w:val="0"/>
            <w:vAlign w:val="center"/>
          </w:tcPr>
          <w:p w14:paraId="0E2D3007">
            <w:pPr>
              <w:autoSpaceDE w:val="0"/>
              <w:autoSpaceDN w:val="0"/>
              <w:adjustRightInd w:val="0"/>
              <w:spacing w:line="400" w:lineRule="exact"/>
              <w:ind w:firstLine="0" w:firstLineChars="0"/>
              <w:jc w:val="center"/>
              <w:rPr>
                <w:rFonts w:hint="eastAsia" w:ascii="仿宋" w:hAnsi="仿宋" w:eastAsia="仿宋" w:cs="仿宋"/>
                <w:color w:val="000000"/>
                <w:sz w:val="28"/>
                <w:szCs w:val="28"/>
              </w:rPr>
            </w:pPr>
            <w:r>
              <w:rPr>
                <w:rFonts w:hint="eastAsia" w:ascii="仿宋" w:hAnsi="仿宋" w:eastAsia="仿宋" w:cs="仿宋"/>
                <w:color w:val="000000"/>
                <w:sz w:val="28"/>
                <w:szCs w:val="28"/>
              </w:rPr>
              <w:t>隐患描述</w:t>
            </w:r>
          </w:p>
        </w:tc>
        <w:tc>
          <w:tcPr>
            <w:tcW w:w="1463" w:type="dxa"/>
            <w:shd w:val="clear" w:color="auto" w:fill="auto"/>
            <w:noWrap w:val="0"/>
            <w:vAlign w:val="center"/>
          </w:tcPr>
          <w:p w14:paraId="7205C48B">
            <w:pPr>
              <w:autoSpaceDE w:val="0"/>
              <w:autoSpaceDN w:val="0"/>
              <w:adjustRightInd w:val="0"/>
              <w:spacing w:line="400" w:lineRule="exact"/>
              <w:ind w:firstLine="0" w:firstLineChars="0"/>
              <w:jc w:val="center"/>
              <w:rPr>
                <w:rFonts w:hint="eastAsia" w:ascii="仿宋" w:hAnsi="仿宋" w:eastAsia="仿宋" w:cs="仿宋"/>
                <w:color w:val="000000"/>
                <w:sz w:val="28"/>
                <w:szCs w:val="28"/>
              </w:rPr>
            </w:pPr>
            <w:r>
              <w:rPr>
                <w:rFonts w:hint="eastAsia" w:ascii="仿宋" w:hAnsi="仿宋" w:eastAsia="仿宋" w:cs="仿宋"/>
                <w:color w:val="000000"/>
                <w:sz w:val="28"/>
                <w:szCs w:val="28"/>
              </w:rPr>
              <w:t>隐患现状</w:t>
            </w:r>
          </w:p>
        </w:tc>
        <w:tc>
          <w:tcPr>
            <w:tcW w:w="1700" w:type="dxa"/>
            <w:shd w:val="clear" w:color="auto" w:fill="auto"/>
            <w:noWrap w:val="0"/>
            <w:vAlign w:val="center"/>
          </w:tcPr>
          <w:p w14:paraId="0D0771E3">
            <w:pPr>
              <w:autoSpaceDE w:val="0"/>
              <w:autoSpaceDN w:val="0"/>
              <w:adjustRightInd w:val="0"/>
              <w:spacing w:line="400" w:lineRule="exact"/>
              <w:ind w:firstLine="0" w:firstLineChars="0"/>
              <w:jc w:val="center"/>
              <w:rPr>
                <w:rFonts w:hint="eastAsia" w:ascii="仿宋" w:hAnsi="仿宋" w:eastAsia="仿宋" w:cs="仿宋"/>
                <w:color w:val="000000"/>
                <w:sz w:val="28"/>
                <w:szCs w:val="28"/>
              </w:rPr>
            </w:pPr>
            <w:r>
              <w:rPr>
                <w:rFonts w:hint="eastAsia" w:ascii="仿宋" w:hAnsi="仿宋" w:eastAsia="仿宋" w:cs="仿宋"/>
                <w:color w:val="000000"/>
                <w:sz w:val="28"/>
                <w:szCs w:val="28"/>
              </w:rPr>
              <w:t>产生原因</w:t>
            </w:r>
          </w:p>
        </w:tc>
        <w:tc>
          <w:tcPr>
            <w:tcW w:w="2412" w:type="dxa"/>
            <w:shd w:val="clear" w:color="auto" w:fill="auto"/>
            <w:noWrap w:val="0"/>
            <w:vAlign w:val="center"/>
          </w:tcPr>
          <w:p w14:paraId="143DF0E3">
            <w:pPr>
              <w:autoSpaceDE w:val="0"/>
              <w:autoSpaceDN w:val="0"/>
              <w:adjustRightInd w:val="0"/>
              <w:spacing w:line="400" w:lineRule="exact"/>
              <w:ind w:firstLine="0" w:firstLineChars="0"/>
              <w:jc w:val="center"/>
              <w:rPr>
                <w:rFonts w:hint="eastAsia" w:ascii="仿宋" w:hAnsi="仿宋" w:eastAsia="仿宋" w:cs="仿宋"/>
                <w:color w:val="000000"/>
                <w:sz w:val="28"/>
                <w:szCs w:val="28"/>
              </w:rPr>
            </w:pPr>
            <w:r>
              <w:rPr>
                <w:rFonts w:hint="eastAsia" w:ascii="仿宋" w:hAnsi="仿宋" w:eastAsia="仿宋" w:cs="仿宋"/>
                <w:color w:val="000000"/>
                <w:sz w:val="28"/>
                <w:szCs w:val="28"/>
              </w:rPr>
              <w:t>危害程度和整改难</w:t>
            </w:r>
            <w:r>
              <w:rPr>
                <w:rFonts w:hint="eastAsia" w:ascii="仿宋" w:hAnsi="仿宋" w:eastAsia="仿宋" w:cs="仿宋"/>
                <w:sz w:val="28"/>
                <w:szCs w:val="28"/>
              </w:rPr>
              <w:t>易程度分析</w:t>
            </w:r>
          </w:p>
        </w:tc>
        <w:tc>
          <w:tcPr>
            <w:tcW w:w="2706" w:type="dxa"/>
            <w:shd w:val="clear" w:color="auto" w:fill="auto"/>
            <w:noWrap w:val="0"/>
            <w:vAlign w:val="center"/>
          </w:tcPr>
          <w:p w14:paraId="7F1F03A5">
            <w:pPr>
              <w:autoSpaceDE w:val="0"/>
              <w:autoSpaceDN w:val="0"/>
              <w:adjustRightInd w:val="0"/>
              <w:spacing w:line="400" w:lineRule="exact"/>
              <w:ind w:firstLine="0" w:firstLineChars="0"/>
              <w:jc w:val="center"/>
              <w:rPr>
                <w:rFonts w:hint="eastAsia" w:ascii="仿宋" w:hAnsi="仿宋" w:eastAsia="仿宋" w:cs="仿宋"/>
                <w:color w:val="000000"/>
                <w:sz w:val="28"/>
                <w:szCs w:val="28"/>
              </w:rPr>
            </w:pPr>
            <w:r>
              <w:rPr>
                <w:rFonts w:hint="eastAsia" w:ascii="仿宋" w:hAnsi="仿宋" w:eastAsia="仿宋" w:cs="仿宋"/>
                <w:sz w:val="28"/>
                <w:szCs w:val="28"/>
              </w:rPr>
              <w:t>治理建议方案</w:t>
            </w:r>
          </w:p>
        </w:tc>
      </w:tr>
      <w:tr w14:paraId="3CC4E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622" w:type="dxa"/>
            <w:shd w:val="clear" w:color="auto" w:fill="auto"/>
            <w:noWrap w:val="0"/>
            <w:vAlign w:val="center"/>
          </w:tcPr>
          <w:p w14:paraId="59D7B216">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810" w:type="dxa"/>
            <w:shd w:val="clear" w:color="auto" w:fill="auto"/>
            <w:noWrap w:val="0"/>
            <w:vAlign w:val="center"/>
          </w:tcPr>
          <w:p w14:paraId="46791BE7">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025" w:type="dxa"/>
            <w:shd w:val="clear" w:color="auto" w:fill="auto"/>
            <w:noWrap w:val="0"/>
            <w:vAlign w:val="center"/>
          </w:tcPr>
          <w:p w14:paraId="7EBA2162">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913" w:type="dxa"/>
            <w:shd w:val="clear" w:color="auto" w:fill="auto"/>
            <w:noWrap w:val="0"/>
            <w:vAlign w:val="center"/>
          </w:tcPr>
          <w:p w14:paraId="110BF364">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875" w:type="dxa"/>
            <w:shd w:val="clear" w:color="auto" w:fill="auto"/>
            <w:noWrap w:val="0"/>
            <w:vAlign w:val="center"/>
          </w:tcPr>
          <w:p w14:paraId="5E505101">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2112" w:type="dxa"/>
            <w:shd w:val="clear" w:color="auto" w:fill="auto"/>
            <w:noWrap w:val="0"/>
            <w:vAlign w:val="center"/>
          </w:tcPr>
          <w:p w14:paraId="62ECD4C8">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463" w:type="dxa"/>
            <w:shd w:val="clear" w:color="auto" w:fill="auto"/>
            <w:noWrap w:val="0"/>
            <w:vAlign w:val="center"/>
          </w:tcPr>
          <w:p w14:paraId="0619EDDB">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700" w:type="dxa"/>
            <w:shd w:val="clear" w:color="auto" w:fill="auto"/>
            <w:noWrap w:val="0"/>
            <w:vAlign w:val="center"/>
          </w:tcPr>
          <w:p w14:paraId="21809378">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2412" w:type="dxa"/>
            <w:shd w:val="clear" w:color="auto" w:fill="auto"/>
            <w:noWrap w:val="0"/>
            <w:vAlign w:val="center"/>
          </w:tcPr>
          <w:p w14:paraId="152FA0EB">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2706" w:type="dxa"/>
            <w:shd w:val="clear" w:color="auto" w:fill="auto"/>
            <w:noWrap w:val="0"/>
            <w:vAlign w:val="center"/>
          </w:tcPr>
          <w:p w14:paraId="3D22F7AA">
            <w:pPr>
              <w:autoSpaceDE w:val="0"/>
              <w:autoSpaceDN w:val="0"/>
              <w:adjustRightInd w:val="0"/>
              <w:spacing w:line="560" w:lineRule="exact"/>
              <w:ind w:firstLine="560"/>
              <w:jc w:val="left"/>
              <w:rPr>
                <w:rFonts w:hint="eastAsia" w:ascii="仿宋" w:hAnsi="仿宋" w:eastAsia="仿宋" w:cs="仿宋"/>
                <w:color w:val="000000"/>
                <w:sz w:val="28"/>
                <w:szCs w:val="28"/>
              </w:rPr>
            </w:pPr>
          </w:p>
        </w:tc>
      </w:tr>
      <w:tr w14:paraId="35135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622" w:type="dxa"/>
            <w:shd w:val="clear" w:color="auto" w:fill="auto"/>
            <w:noWrap w:val="0"/>
            <w:vAlign w:val="center"/>
          </w:tcPr>
          <w:p w14:paraId="17C2EC82">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810" w:type="dxa"/>
            <w:shd w:val="clear" w:color="auto" w:fill="auto"/>
            <w:noWrap w:val="0"/>
            <w:vAlign w:val="center"/>
          </w:tcPr>
          <w:p w14:paraId="4921E348">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025" w:type="dxa"/>
            <w:shd w:val="clear" w:color="auto" w:fill="auto"/>
            <w:noWrap w:val="0"/>
            <w:vAlign w:val="center"/>
          </w:tcPr>
          <w:p w14:paraId="0DC1807B">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913" w:type="dxa"/>
            <w:shd w:val="clear" w:color="auto" w:fill="auto"/>
            <w:noWrap w:val="0"/>
            <w:vAlign w:val="center"/>
          </w:tcPr>
          <w:p w14:paraId="36287CED">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875" w:type="dxa"/>
            <w:shd w:val="clear" w:color="auto" w:fill="auto"/>
            <w:noWrap w:val="0"/>
            <w:vAlign w:val="center"/>
          </w:tcPr>
          <w:p w14:paraId="489068ED">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2112" w:type="dxa"/>
            <w:shd w:val="clear" w:color="auto" w:fill="auto"/>
            <w:noWrap w:val="0"/>
            <w:vAlign w:val="center"/>
          </w:tcPr>
          <w:p w14:paraId="7BF86EBD">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463" w:type="dxa"/>
            <w:shd w:val="clear" w:color="auto" w:fill="auto"/>
            <w:noWrap w:val="0"/>
            <w:vAlign w:val="center"/>
          </w:tcPr>
          <w:p w14:paraId="0CC9C32D">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700" w:type="dxa"/>
            <w:shd w:val="clear" w:color="auto" w:fill="auto"/>
            <w:noWrap w:val="0"/>
            <w:vAlign w:val="center"/>
          </w:tcPr>
          <w:p w14:paraId="259306C7">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2412" w:type="dxa"/>
            <w:shd w:val="clear" w:color="auto" w:fill="auto"/>
            <w:noWrap w:val="0"/>
            <w:vAlign w:val="center"/>
          </w:tcPr>
          <w:p w14:paraId="74C35F35">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2706" w:type="dxa"/>
            <w:shd w:val="clear" w:color="auto" w:fill="auto"/>
            <w:noWrap w:val="0"/>
            <w:vAlign w:val="center"/>
          </w:tcPr>
          <w:p w14:paraId="1112D58A">
            <w:pPr>
              <w:autoSpaceDE w:val="0"/>
              <w:autoSpaceDN w:val="0"/>
              <w:adjustRightInd w:val="0"/>
              <w:spacing w:line="560" w:lineRule="exact"/>
              <w:ind w:firstLine="560"/>
              <w:jc w:val="left"/>
              <w:rPr>
                <w:rFonts w:hint="eastAsia" w:ascii="仿宋" w:hAnsi="仿宋" w:eastAsia="仿宋" w:cs="仿宋"/>
                <w:color w:val="000000"/>
                <w:sz w:val="28"/>
                <w:szCs w:val="28"/>
              </w:rPr>
            </w:pPr>
          </w:p>
        </w:tc>
      </w:tr>
      <w:tr w14:paraId="61AB6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622" w:type="dxa"/>
            <w:shd w:val="clear" w:color="auto" w:fill="auto"/>
            <w:noWrap w:val="0"/>
            <w:vAlign w:val="center"/>
          </w:tcPr>
          <w:p w14:paraId="779514F4">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810" w:type="dxa"/>
            <w:shd w:val="clear" w:color="auto" w:fill="auto"/>
            <w:noWrap w:val="0"/>
            <w:vAlign w:val="center"/>
          </w:tcPr>
          <w:p w14:paraId="1F0C8B4A">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025" w:type="dxa"/>
            <w:shd w:val="clear" w:color="auto" w:fill="auto"/>
            <w:noWrap w:val="0"/>
            <w:vAlign w:val="center"/>
          </w:tcPr>
          <w:p w14:paraId="1A217017">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913" w:type="dxa"/>
            <w:shd w:val="clear" w:color="auto" w:fill="auto"/>
            <w:noWrap w:val="0"/>
            <w:vAlign w:val="center"/>
          </w:tcPr>
          <w:p w14:paraId="4B699523">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875" w:type="dxa"/>
            <w:shd w:val="clear" w:color="auto" w:fill="auto"/>
            <w:noWrap w:val="0"/>
            <w:vAlign w:val="center"/>
          </w:tcPr>
          <w:p w14:paraId="1B466BCA">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2112" w:type="dxa"/>
            <w:shd w:val="clear" w:color="auto" w:fill="auto"/>
            <w:noWrap w:val="0"/>
            <w:vAlign w:val="center"/>
          </w:tcPr>
          <w:p w14:paraId="2A48A618">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463" w:type="dxa"/>
            <w:shd w:val="clear" w:color="auto" w:fill="auto"/>
            <w:noWrap w:val="0"/>
            <w:vAlign w:val="center"/>
          </w:tcPr>
          <w:p w14:paraId="7146F2E0">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700" w:type="dxa"/>
            <w:shd w:val="clear" w:color="auto" w:fill="auto"/>
            <w:noWrap w:val="0"/>
            <w:vAlign w:val="center"/>
          </w:tcPr>
          <w:p w14:paraId="46FF40BC">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2412" w:type="dxa"/>
            <w:shd w:val="clear" w:color="auto" w:fill="auto"/>
            <w:noWrap w:val="0"/>
            <w:vAlign w:val="center"/>
          </w:tcPr>
          <w:p w14:paraId="573E872D">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2706" w:type="dxa"/>
            <w:shd w:val="clear" w:color="auto" w:fill="auto"/>
            <w:noWrap w:val="0"/>
            <w:vAlign w:val="center"/>
          </w:tcPr>
          <w:p w14:paraId="3C07DF6B">
            <w:pPr>
              <w:autoSpaceDE w:val="0"/>
              <w:autoSpaceDN w:val="0"/>
              <w:adjustRightInd w:val="0"/>
              <w:spacing w:line="560" w:lineRule="exact"/>
              <w:ind w:firstLine="560"/>
              <w:jc w:val="left"/>
              <w:rPr>
                <w:rFonts w:hint="eastAsia" w:ascii="仿宋" w:hAnsi="仿宋" w:eastAsia="仿宋" w:cs="仿宋"/>
                <w:color w:val="000000"/>
                <w:sz w:val="28"/>
                <w:szCs w:val="28"/>
              </w:rPr>
            </w:pPr>
          </w:p>
        </w:tc>
      </w:tr>
      <w:tr w14:paraId="002F3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trPr>
        <w:tc>
          <w:tcPr>
            <w:tcW w:w="622" w:type="dxa"/>
            <w:shd w:val="clear" w:color="auto" w:fill="auto"/>
            <w:noWrap w:val="0"/>
            <w:vAlign w:val="center"/>
          </w:tcPr>
          <w:p w14:paraId="56A2757B">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810" w:type="dxa"/>
            <w:shd w:val="clear" w:color="auto" w:fill="auto"/>
            <w:noWrap w:val="0"/>
            <w:vAlign w:val="center"/>
          </w:tcPr>
          <w:p w14:paraId="19EDD133">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025" w:type="dxa"/>
            <w:shd w:val="clear" w:color="auto" w:fill="auto"/>
            <w:noWrap w:val="0"/>
            <w:vAlign w:val="center"/>
          </w:tcPr>
          <w:p w14:paraId="684B2D3D">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913" w:type="dxa"/>
            <w:shd w:val="clear" w:color="auto" w:fill="auto"/>
            <w:noWrap w:val="0"/>
            <w:vAlign w:val="center"/>
          </w:tcPr>
          <w:p w14:paraId="483EF90B">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875" w:type="dxa"/>
            <w:shd w:val="clear" w:color="auto" w:fill="auto"/>
            <w:noWrap w:val="0"/>
            <w:vAlign w:val="center"/>
          </w:tcPr>
          <w:p w14:paraId="0E4129C2">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2112" w:type="dxa"/>
            <w:shd w:val="clear" w:color="auto" w:fill="auto"/>
            <w:noWrap w:val="0"/>
            <w:vAlign w:val="center"/>
          </w:tcPr>
          <w:p w14:paraId="4DB5AB25">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463" w:type="dxa"/>
            <w:shd w:val="clear" w:color="auto" w:fill="auto"/>
            <w:noWrap w:val="0"/>
            <w:vAlign w:val="center"/>
          </w:tcPr>
          <w:p w14:paraId="30B56DB0">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700" w:type="dxa"/>
            <w:shd w:val="clear" w:color="auto" w:fill="auto"/>
            <w:noWrap w:val="0"/>
            <w:vAlign w:val="center"/>
          </w:tcPr>
          <w:p w14:paraId="68F101DC">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2412" w:type="dxa"/>
            <w:shd w:val="clear" w:color="auto" w:fill="auto"/>
            <w:noWrap w:val="0"/>
            <w:vAlign w:val="center"/>
          </w:tcPr>
          <w:p w14:paraId="33C8E5BE">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2706" w:type="dxa"/>
            <w:shd w:val="clear" w:color="auto" w:fill="auto"/>
            <w:noWrap w:val="0"/>
            <w:vAlign w:val="center"/>
          </w:tcPr>
          <w:p w14:paraId="1DC269F0">
            <w:pPr>
              <w:autoSpaceDE w:val="0"/>
              <w:autoSpaceDN w:val="0"/>
              <w:adjustRightInd w:val="0"/>
              <w:spacing w:line="560" w:lineRule="exact"/>
              <w:ind w:firstLine="560"/>
              <w:jc w:val="left"/>
              <w:rPr>
                <w:rFonts w:hint="eastAsia" w:ascii="仿宋" w:hAnsi="仿宋" w:eastAsia="仿宋" w:cs="仿宋"/>
                <w:color w:val="000000"/>
                <w:sz w:val="28"/>
                <w:szCs w:val="28"/>
              </w:rPr>
            </w:pPr>
          </w:p>
        </w:tc>
      </w:tr>
    </w:tbl>
    <w:p w14:paraId="1DE18AE6">
      <w:pPr>
        <w:pStyle w:val="17"/>
        <w:spacing w:line="360" w:lineRule="exact"/>
        <w:ind w:firstLine="560" w:firstLineChars="200"/>
        <w:rPr>
          <w:rFonts w:hint="eastAsia" w:ascii="仿宋" w:hAnsi="仿宋" w:eastAsia="仿宋" w:cs="仿宋"/>
          <w:color w:val="000000"/>
          <w:sz w:val="28"/>
          <w:szCs w:val="28"/>
        </w:rPr>
      </w:pPr>
      <w:r>
        <w:rPr>
          <w:rFonts w:hint="eastAsia" w:ascii="仿宋" w:hAnsi="仿宋" w:eastAsia="仿宋" w:cs="仿宋"/>
          <w:color w:val="000000"/>
          <w:sz w:val="28"/>
          <w:szCs w:val="28"/>
        </w:rPr>
        <w:t>备注：1.本表格为隐患无法立即排除，须报告上级主管部门协调解决时使用。</w:t>
      </w:r>
    </w:p>
    <w:p w14:paraId="22BAAC8B">
      <w:pPr>
        <w:pStyle w:val="17"/>
        <w:spacing w:line="360" w:lineRule="exact"/>
        <w:ind w:left="640" w:leftChars="200" w:firstLine="560" w:firstLineChars="200"/>
        <w:rPr>
          <w:rFonts w:hint="eastAsia" w:ascii="仿宋" w:hAnsi="仿宋" w:eastAsia="仿宋" w:cs="仿宋"/>
          <w:color w:val="000000"/>
          <w:sz w:val="28"/>
          <w:szCs w:val="28"/>
        </w:rPr>
      </w:pPr>
      <w:r>
        <w:rPr>
          <w:rFonts w:hint="eastAsia" w:ascii="仿宋" w:hAnsi="仿宋" w:eastAsia="仿宋" w:cs="仿宋"/>
          <w:color w:val="000000"/>
          <w:sz w:val="28"/>
          <w:szCs w:val="28"/>
        </w:rPr>
        <w:t>2.隐患级别分为重大隐患和一般隐患。</w:t>
      </w:r>
    </w:p>
    <w:p w14:paraId="70387AA0">
      <w:pPr>
        <w:pStyle w:val="17"/>
        <w:spacing w:line="360" w:lineRule="exact"/>
        <w:ind w:left="640" w:leftChars="200" w:firstLine="560" w:firstLineChars="200"/>
        <w:rPr>
          <w:rFonts w:hint="eastAsia" w:ascii="仿宋" w:hAnsi="仿宋" w:eastAsia="仿宋" w:cs="仿宋"/>
          <w:color w:val="000000"/>
          <w:sz w:val="28"/>
          <w:szCs w:val="28"/>
        </w:rPr>
      </w:pPr>
      <w:r>
        <w:rPr>
          <w:rFonts w:hint="eastAsia" w:ascii="仿宋" w:hAnsi="仿宋" w:eastAsia="仿宋" w:cs="仿宋"/>
          <w:color w:val="000000"/>
          <w:sz w:val="28"/>
          <w:szCs w:val="28"/>
        </w:rPr>
        <w:t>3.隐患类别划分为行车安全、人身安全、外部环境与综合治理、工程建设、特种设备、食品卫生、消防安全、规章制度、综合保障、结合部</w:t>
      </w:r>
    </w:p>
    <w:p w14:paraId="5F6941D1">
      <w:pPr>
        <w:pStyle w:val="17"/>
        <w:spacing w:line="360" w:lineRule="exact"/>
        <w:ind w:left="640" w:leftChars="200" w:firstLine="560" w:firstLineChars="200"/>
        <w:rPr>
          <w:rFonts w:hint="eastAsia" w:ascii="仿宋" w:hAnsi="仿宋" w:eastAsia="仿宋" w:cs="仿宋"/>
          <w:color w:val="000000"/>
          <w:sz w:val="28"/>
          <w:szCs w:val="28"/>
        </w:rPr>
      </w:pPr>
      <w:r>
        <w:rPr>
          <w:rFonts w:hint="eastAsia" w:ascii="仿宋" w:hAnsi="仿宋" w:eastAsia="仿宋" w:cs="仿宋"/>
          <w:color w:val="000000"/>
          <w:sz w:val="28"/>
          <w:szCs w:val="28"/>
        </w:rPr>
        <w:t>4.隐患部位应描述清楚隐患设备名称或隐患作业活动。</w:t>
      </w:r>
    </w:p>
    <w:p w14:paraId="446591EE">
      <w:pPr>
        <w:pStyle w:val="17"/>
        <w:spacing w:line="360" w:lineRule="exact"/>
        <w:ind w:left="640" w:leftChars="200" w:firstLine="560" w:firstLineChars="200"/>
        <w:rPr>
          <w:rFonts w:hint="eastAsia" w:ascii="仿宋" w:hAnsi="仿宋" w:eastAsia="仿宋" w:cs="仿宋"/>
          <w:color w:val="000000"/>
          <w:sz w:val="28"/>
          <w:szCs w:val="28"/>
        </w:rPr>
      </w:pPr>
      <w:r>
        <w:rPr>
          <w:rFonts w:hint="eastAsia" w:ascii="仿宋" w:hAnsi="仿宋" w:eastAsia="仿宋" w:cs="仿宋"/>
          <w:color w:val="000000"/>
          <w:sz w:val="28"/>
          <w:szCs w:val="28"/>
        </w:rPr>
        <w:t>5.隐患现状应描述清楚现阶段设备和作业使用情况。</w:t>
      </w:r>
    </w:p>
    <w:p w14:paraId="4670215F">
      <w:pPr>
        <w:pStyle w:val="17"/>
        <w:spacing w:line="360" w:lineRule="exact"/>
        <w:ind w:left="640" w:leftChars="200"/>
        <w:rPr>
          <w:rFonts w:ascii="仿宋" w:hAnsi="仿宋" w:eastAsia="仿宋" w:cs="仿宋"/>
          <w:color w:val="000000"/>
          <w:sz w:val="28"/>
          <w:szCs w:val="28"/>
        </w:rPr>
      </w:pPr>
    </w:p>
    <w:p w14:paraId="150ED128">
      <w:pPr>
        <w:autoSpaceDE w:val="0"/>
        <w:autoSpaceDN w:val="0"/>
        <w:adjustRightInd w:val="0"/>
        <w:spacing w:line="560" w:lineRule="exact"/>
        <w:ind w:firstLine="560"/>
        <w:jc w:val="left"/>
        <w:rPr>
          <w:rFonts w:hint="eastAsia" w:ascii="仿宋_GB2312" w:hAnsi="仿宋_GB2312" w:eastAsia="仿宋_GB2312" w:cs="仿宋_GB2312"/>
          <w:color w:val="000000"/>
          <w:sz w:val="32"/>
          <w:szCs w:val="32"/>
        </w:rPr>
      </w:pPr>
      <w:r>
        <w:rPr>
          <w:rFonts w:hint="eastAsia" w:ascii="仿宋" w:hAnsi="仿宋" w:eastAsia="仿宋" w:cs="仿宋"/>
          <w:color w:val="000000"/>
          <w:sz w:val="28"/>
          <w:szCs w:val="28"/>
        </w:rPr>
        <w:br w:type="page"/>
      </w:r>
      <w:r>
        <w:rPr>
          <w:rFonts w:hint="eastAsia" w:ascii="仿宋_GB2312" w:hAnsi="仿宋_GB2312" w:eastAsia="仿宋_GB2312" w:cs="仿宋_GB2312"/>
          <w:color w:val="000000"/>
          <w:sz w:val="32"/>
          <w:szCs w:val="32"/>
        </w:rPr>
        <w:t>附件5：</w:t>
      </w:r>
    </w:p>
    <w:p w14:paraId="1E547694">
      <w:pPr>
        <w:pStyle w:val="17"/>
        <w:jc w:val="center"/>
        <w:rPr>
          <w:rFonts w:hint="eastAsia" w:ascii="方正小标宋简体" w:hAnsi="方正小标宋简体" w:eastAsia="方正小标宋简体" w:cs="方正小标宋简体"/>
          <w:bCs/>
          <w:color w:val="000000"/>
          <w:sz w:val="44"/>
          <w:szCs w:val="44"/>
        </w:rPr>
      </w:pPr>
      <w:r>
        <w:rPr>
          <w:rFonts w:hint="eastAsia" w:ascii="方正小标宋简体" w:hAnsi="方正小标宋简体" w:eastAsia="方正小标宋简体" w:cs="方正小标宋简体"/>
          <w:bCs/>
          <w:color w:val="000000"/>
          <w:sz w:val="44"/>
          <w:szCs w:val="44"/>
        </w:rPr>
        <w:t>月度隐患排查治理登记表</w:t>
      </w:r>
    </w:p>
    <w:p w14:paraId="7BDCD548">
      <w:pPr>
        <w:pStyle w:val="17"/>
        <w:rPr>
          <w:rFonts w:ascii="仿宋" w:hAnsi="仿宋" w:eastAsia="仿宋" w:cs="仿宋"/>
          <w:sz w:val="28"/>
          <w:szCs w:val="28"/>
        </w:rPr>
      </w:pPr>
      <w:r>
        <w:rPr>
          <w:rFonts w:hint="eastAsia" w:ascii="仿宋" w:hAnsi="仿宋" w:eastAsia="仿宋" w:cs="仿宋"/>
          <w:color w:val="000000"/>
          <w:sz w:val="28"/>
          <w:szCs w:val="28"/>
        </w:rPr>
        <w:t>部门/单位：          项目负责人：          安全负责人：       安全员：            日期：</w:t>
      </w:r>
    </w:p>
    <w:tbl>
      <w:tblPr>
        <w:tblStyle w:val="13"/>
        <w:tblW w:w="15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
        <w:gridCol w:w="877"/>
        <w:gridCol w:w="820"/>
        <w:gridCol w:w="840"/>
        <w:gridCol w:w="930"/>
        <w:gridCol w:w="3186"/>
        <w:gridCol w:w="1242"/>
        <w:gridCol w:w="909"/>
        <w:gridCol w:w="1782"/>
        <w:gridCol w:w="1982"/>
        <w:gridCol w:w="782"/>
        <w:gridCol w:w="900"/>
        <w:gridCol w:w="680"/>
      </w:tblGrid>
      <w:tr w14:paraId="0E7B7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7" w:hRule="atLeast"/>
        </w:trPr>
        <w:tc>
          <w:tcPr>
            <w:tcW w:w="470" w:type="dxa"/>
            <w:shd w:val="clear" w:color="auto" w:fill="auto"/>
            <w:noWrap w:val="0"/>
            <w:vAlign w:val="center"/>
          </w:tcPr>
          <w:p w14:paraId="48AFB76E">
            <w:pPr>
              <w:autoSpaceDE w:val="0"/>
              <w:autoSpaceDN w:val="0"/>
              <w:adjustRightInd w:val="0"/>
              <w:spacing w:line="400" w:lineRule="exact"/>
              <w:ind w:firstLine="0" w:firstLineChars="0"/>
              <w:jc w:val="center"/>
              <w:rPr>
                <w:rFonts w:hint="eastAsia" w:ascii="仿宋" w:hAnsi="仿宋" w:eastAsia="仿宋" w:cs="仿宋"/>
                <w:color w:val="000000"/>
                <w:sz w:val="28"/>
                <w:szCs w:val="28"/>
              </w:rPr>
            </w:pPr>
            <w:r>
              <w:rPr>
                <w:rFonts w:hint="eastAsia" w:ascii="仿宋" w:hAnsi="仿宋" w:eastAsia="仿宋" w:cs="仿宋"/>
                <w:color w:val="000000"/>
                <w:sz w:val="28"/>
                <w:szCs w:val="28"/>
              </w:rPr>
              <w:t>序号</w:t>
            </w:r>
          </w:p>
        </w:tc>
        <w:tc>
          <w:tcPr>
            <w:tcW w:w="877" w:type="dxa"/>
            <w:shd w:val="clear" w:color="auto" w:fill="auto"/>
            <w:noWrap w:val="0"/>
            <w:vAlign w:val="center"/>
          </w:tcPr>
          <w:p w14:paraId="790EE7F8">
            <w:pPr>
              <w:autoSpaceDE w:val="0"/>
              <w:autoSpaceDN w:val="0"/>
              <w:adjustRightInd w:val="0"/>
              <w:spacing w:line="400" w:lineRule="exact"/>
              <w:ind w:firstLine="0" w:firstLineChars="0"/>
              <w:jc w:val="center"/>
              <w:rPr>
                <w:rFonts w:ascii="仿宋" w:hAnsi="仿宋" w:eastAsia="仿宋" w:cs="仿宋"/>
                <w:color w:val="000000"/>
                <w:sz w:val="28"/>
                <w:szCs w:val="28"/>
              </w:rPr>
            </w:pPr>
            <w:r>
              <w:rPr>
                <w:rFonts w:hint="eastAsia" w:ascii="仿宋" w:hAnsi="仿宋" w:eastAsia="仿宋" w:cs="仿宋"/>
                <w:color w:val="000000"/>
                <w:sz w:val="28"/>
                <w:szCs w:val="28"/>
              </w:rPr>
              <w:t>隐患地点</w:t>
            </w:r>
          </w:p>
        </w:tc>
        <w:tc>
          <w:tcPr>
            <w:tcW w:w="820" w:type="dxa"/>
            <w:shd w:val="clear" w:color="auto" w:fill="auto"/>
            <w:noWrap w:val="0"/>
            <w:vAlign w:val="center"/>
          </w:tcPr>
          <w:p w14:paraId="43E2E0B1">
            <w:pPr>
              <w:autoSpaceDE w:val="0"/>
              <w:autoSpaceDN w:val="0"/>
              <w:adjustRightInd w:val="0"/>
              <w:spacing w:line="400" w:lineRule="exact"/>
              <w:ind w:firstLine="0" w:firstLineChars="0"/>
              <w:jc w:val="center"/>
              <w:rPr>
                <w:rFonts w:ascii="仿宋" w:hAnsi="仿宋" w:eastAsia="仿宋" w:cs="仿宋"/>
                <w:color w:val="000000"/>
                <w:sz w:val="28"/>
                <w:szCs w:val="28"/>
              </w:rPr>
            </w:pPr>
            <w:r>
              <w:rPr>
                <w:rFonts w:hint="eastAsia" w:ascii="仿宋" w:hAnsi="仿宋" w:eastAsia="仿宋" w:cs="仿宋"/>
                <w:color w:val="000000"/>
                <w:sz w:val="28"/>
                <w:szCs w:val="28"/>
              </w:rPr>
              <w:t>隐患部位</w:t>
            </w:r>
          </w:p>
        </w:tc>
        <w:tc>
          <w:tcPr>
            <w:tcW w:w="840" w:type="dxa"/>
            <w:shd w:val="clear" w:color="auto" w:fill="auto"/>
            <w:noWrap w:val="0"/>
            <w:vAlign w:val="center"/>
          </w:tcPr>
          <w:p w14:paraId="474754E2">
            <w:pPr>
              <w:autoSpaceDE w:val="0"/>
              <w:autoSpaceDN w:val="0"/>
              <w:adjustRightInd w:val="0"/>
              <w:spacing w:line="400" w:lineRule="exact"/>
              <w:ind w:firstLine="0" w:firstLineChars="0"/>
              <w:jc w:val="center"/>
              <w:rPr>
                <w:rFonts w:hint="eastAsia" w:ascii="仿宋" w:hAnsi="仿宋" w:eastAsia="仿宋" w:cs="仿宋"/>
                <w:color w:val="000000"/>
                <w:sz w:val="28"/>
                <w:szCs w:val="28"/>
              </w:rPr>
            </w:pPr>
            <w:r>
              <w:rPr>
                <w:rFonts w:hint="eastAsia" w:ascii="仿宋" w:hAnsi="仿宋" w:eastAsia="仿宋" w:cs="仿宋"/>
                <w:color w:val="000000"/>
                <w:sz w:val="28"/>
                <w:szCs w:val="28"/>
              </w:rPr>
              <w:t>隐患级别</w:t>
            </w:r>
          </w:p>
        </w:tc>
        <w:tc>
          <w:tcPr>
            <w:tcW w:w="930" w:type="dxa"/>
            <w:shd w:val="clear" w:color="auto" w:fill="auto"/>
            <w:noWrap w:val="0"/>
            <w:vAlign w:val="center"/>
          </w:tcPr>
          <w:p w14:paraId="3EA52334">
            <w:pPr>
              <w:autoSpaceDE w:val="0"/>
              <w:autoSpaceDN w:val="0"/>
              <w:adjustRightInd w:val="0"/>
              <w:spacing w:line="400" w:lineRule="exact"/>
              <w:ind w:firstLine="0" w:firstLineChars="0"/>
              <w:jc w:val="center"/>
              <w:rPr>
                <w:rFonts w:ascii="仿宋" w:hAnsi="仿宋" w:eastAsia="仿宋" w:cs="仿宋"/>
                <w:color w:val="000000"/>
                <w:sz w:val="28"/>
                <w:szCs w:val="28"/>
              </w:rPr>
            </w:pPr>
            <w:r>
              <w:rPr>
                <w:rFonts w:hint="eastAsia" w:ascii="仿宋" w:hAnsi="仿宋" w:eastAsia="仿宋" w:cs="仿宋"/>
                <w:color w:val="000000"/>
                <w:sz w:val="28"/>
                <w:szCs w:val="28"/>
              </w:rPr>
              <w:t>隐患类别</w:t>
            </w:r>
          </w:p>
        </w:tc>
        <w:tc>
          <w:tcPr>
            <w:tcW w:w="3186" w:type="dxa"/>
            <w:shd w:val="clear" w:color="auto" w:fill="auto"/>
            <w:noWrap w:val="0"/>
            <w:vAlign w:val="center"/>
          </w:tcPr>
          <w:p w14:paraId="2DD1C81E">
            <w:pPr>
              <w:autoSpaceDE w:val="0"/>
              <w:autoSpaceDN w:val="0"/>
              <w:adjustRightInd w:val="0"/>
              <w:spacing w:line="400" w:lineRule="exact"/>
              <w:ind w:firstLine="0" w:firstLineChars="0"/>
              <w:jc w:val="center"/>
              <w:rPr>
                <w:rFonts w:hint="eastAsia" w:ascii="仿宋" w:hAnsi="仿宋" w:eastAsia="仿宋" w:cs="仿宋"/>
                <w:color w:val="000000"/>
                <w:sz w:val="28"/>
                <w:szCs w:val="28"/>
              </w:rPr>
            </w:pPr>
            <w:r>
              <w:rPr>
                <w:rFonts w:hint="eastAsia" w:ascii="仿宋" w:hAnsi="仿宋" w:eastAsia="仿宋" w:cs="仿宋"/>
                <w:color w:val="000000"/>
                <w:sz w:val="28"/>
                <w:szCs w:val="28"/>
              </w:rPr>
              <w:t>隐患描述</w:t>
            </w:r>
          </w:p>
        </w:tc>
        <w:tc>
          <w:tcPr>
            <w:tcW w:w="1242" w:type="dxa"/>
            <w:shd w:val="clear" w:color="auto" w:fill="auto"/>
            <w:noWrap w:val="0"/>
            <w:vAlign w:val="center"/>
          </w:tcPr>
          <w:p w14:paraId="79134F45">
            <w:pPr>
              <w:autoSpaceDE w:val="0"/>
              <w:autoSpaceDN w:val="0"/>
              <w:adjustRightInd w:val="0"/>
              <w:spacing w:line="400" w:lineRule="exact"/>
              <w:ind w:firstLine="0" w:firstLineChars="0"/>
              <w:jc w:val="center"/>
              <w:rPr>
                <w:rFonts w:ascii="仿宋" w:hAnsi="仿宋" w:eastAsia="仿宋" w:cs="仿宋"/>
                <w:color w:val="000000"/>
                <w:sz w:val="28"/>
                <w:szCs w:val="28"/>
              </w:rPr>
            </w:pPr>
            <w:r>
              <w:rPr>
                <w:rFonts w:hint="eastAsia" w:ascii="仿宋" w:hAnsi="仿宋" w:eastAsia="仿宋" w:cs="仿宋"/>
                <w:color w:val="000000"/>
                <w:sz w:val="28"/>
                <w:szCs w:val="28"/>
              </w:rPr>
              <w:t>发现日期</w:t>
            </w:r>
          </w:p>
        </w:tc>
        <w:tc>
          <w:tcPr>
            <w:tcW w:w="909" w:type="dxa"/>
            <w:shd w:val="clear" w:color="auto" w:fill="auto"/>
            <w:noWrap w:val="0"/>
            <w:vAlign w:val="center"/>
          </w:tcPr>
          <w:p w14:paraId="72A46811">
            <w:pPr>
              <w:autoSpaceDE w:val="0"/>
              <w:autoSpaceDN w:val="0"/>
              <w:adjustRightInd w:val="0"/>
              <w:spacing w:line="400" w:lineRule="exact"/>
              <w:ind w:firstLine="0" w:firstLineChars="0"/>
              <w:jc w:val="center"/>
              <w:rPr>
                <w:rFonts w:ascii="仿宋" w:hAnsi="仿宋" w:eastAsia="仿宋" w:cs="仿宋"/>
                <w:color w:val="000000"/>
                <w:sz w:val="28"/>
                <w:szCs w:val="28"/>
              </w:rPr>
            </w:pPr>
            <w:r>
              <w:rPr>
                <w:rFonts w:hint="eastAsia" w:ascii="仿宋" w:hAnsi="仿宋" w:eastAsia="仿宋" w:cs="仿宋"/>
                <w:color w:val="000000"/>
                <w:sz w:val="28"/>
                <w:szCs w:val="28"/>
              </w:rPr>
              <w:t>发现人</w:t>
            </w:r>
          </w:p>
        </w:tc>
        <w:tc>
          <w:tcPr>
            <w:tcW w:w="1782" w:type="dxa"/>
            <w:shd w:val="clear" w:color="auto" w:fill="auto"/>
            <w:noWrap w:val="0"/>
            <w:vAlign w:val="center"/>
          </w:tcPr>
          <w:p w14:paraId="693A3052">
            <w:pPr>
              <w:autoSpaceDE w:val="0"/>
              <w:autoSpaceDN w:val="0"/>
              <w:adjustRightInd w:val="0"/>
              <w:spacing w:line="400" w:lineRule="exact"/>
              <w:ind w:firstLine="0" w:firstLineChars="0"/>
              <w:jc w:val="center"/>
              <w:rPr>
                <w:rFonts w:ascii="仿宋" w:hAnsi="仿宋" w:eastAsia="仿宋" w:cs="仿宋"/>
                <w:color w:val="000000"/>
                <w:sz w:val="28"/>
                <w:szCs w:val="28"/>
              </w:rPr>
            </w:pPr>
            <w:r>
              <w:rPr>
                <w:rFonts w:hint="eastAsia" w:ascii="仿宋" w:hAnsi="仿宋" w:eastAsia="仿宋" w:cs="仿宋"/>
                <w:color w:val="000000"/>
                <w:sz w:val="28"/>
                <w:szCs w:val="28"/>
              </w:rPr>
              <w:t>整改措施</w:t>
            </w:r>
          </w:p>
        </w:tc>
        <w:tc>
          <w:tcPr>
            <w:tcW w:w="1982" w:type="dxa"/>
            <w:shd w:val="clear" w:color="auto" w:fill="auto"/>
            <w:noWrap w:val="0"/>
            <w:vAlign w:val="center"/>
          </w:tcPr>
          <w:p w14:paraId="151FE15A">
            <w:pPr>
              <w:autoSpaceDE w:val="0"/>
              <w:autoSpaceDN w:val="0"/>
              <w:adjustRightInd w:val="0"/>
              <w:spacing w:line="400" w:lineRule="exact"/>
              <w:ind w:firstLine="0" w:firstLineChars="0"/>
              <w:jc w:val="center"/>
              <w:rPr>
                <w:rFonts w:ascii="仿宋" w:hAnsi="仿宋" w:eastAsia="仿宋" w:cs="仿宋"/>
                <w:color w:val="000000"/>
                <w:sz w:val="28"/>
                <w:szCs w:val="28"/>
              </w:rPr>
            </w:pPr>
            <w:r>
              <w:rPr>
                <w:rFonts w:hint="eastAsia" w:ascii="仿宋" w:hAnsi="仿宋" w:eastAsia="仿宋" w:cs="仿宋"/>
                <w:color w:val="000000"/>
                <w:sz w:val="28"/>
                <w:szCs w:val="28"/>
              </w:rPr>
              <w:t>整改情况</w:t>
            </w:r>
          </w:p>
        </w:tc>
        <w:tc>
          <w:tcPr>
            <w:tcW w:w="782" w:type="dxa"/>
            <w:shd w:val="clear" w:color="auto" w:fill="auto"/>
            <w:noWrap w:val="0"/>
            <w:vAlign w:val="center"/>
          </w:tcPr>
          <w:p w14:paraId="2D46EC65">
            <w:pPr>
              <w:autoSpaceDE w:val="0"/>
              <w:autoSpaceDN w:val="0"/>
              <w:adjustRightInd w:val="0"/>
              <w:spacing w:line="400" w:lineRule="exact"/>
              <w:ind w:firstLine="0" w:firstLineChars="0"/>
              <w:jc w:val="center"/>
              <w:rPr>
                <w:rFonts w:ascii="仿宋" w:hAnsi="仿宋" w:eastAsia="仿宋" w:cs="仿宋"/>
                <w:color w:val="000000"/>
                <w:sz w:val="28"/>
                <w:szCs w:val="28"/>
              </w:rPr>
            </w:pPr>
            <w:r>
              <w:rPr>
                <w:rFonts w:hint="eastAsia" w:ascii="仿宋" w:hAnsi="仿宋" w:eastAsia="仿宋" w:cs="仿宋"/>
                <w:sz w:val="28"/>
                <w:szCs w:val="28"/>
              </w:rPr>
              <w:t>整改日期</w:t>
            </w:r>
          </w:p>
        </w:tc>
        <w:tc>
          <w:tcPr>
            <w:tcW w:w="900" w:type="dxa"/>
            <w:shd w:val="clear" w:color="auto" w:fill="auto"/>
            <w:noWrap w:val="0"/>
            <w:vAlign w:val="center"/>
          </w:tcPr>
          <w:p w14:paraId="6BD53990">
            <w:pPr>
              <w:autoSpaceDE w:val="0"/>
              <w:autoSpaceDN w:val="0"/>
              <w:adjustRightInd w:val="0"/>
              <w:spacing w:line="400" w:lineRule="exact"/>
              <w:ind w:firstLine="0" w:firstLineChars="0"/>
              <w:jc w:val="center"/>
              <w:rPr>
                <w:rFonts w:ascii="仿宋" w:hAnsi="仿宋" w:eastAsia="仿宋" w:cs="仿宋"/>
                <w:sz w:val="28"/>
                <w:szCs w:val="28"/>
              </w:rPr>
            </w:pPr>
            <w:r>
              <w:rPr>
                <w:rFonts w:hint="eastAsia" w:ascii="仿宋" w:hAnsi="仿宋" w:eastAsia="仿宋" w:cs="仿宋"/>
                <w:sz w:val="28"/>
                <w:szCs w:val="28"/>
              </w:rPr>
              <w:t>验证人</w:t>
            </w:r>
          </w:p>
        </w:tc>
        <w:tc>
          <w:tcPr>
            <w:tcW w:w="680" w:type="dxa"/>
            <w:shd w:val="clear" w:color="auto" w:fill="auto"/>
            <w:noWrap w:val="0"/>
            <w:vAlign w:val="center"/>
          </w:tcPr>
          <w:p w14:paraId="2BBC5699">
            <w:pPr>
              <w:autoSpaceDE w:val="0"/>
              <w:autoSpaceDN w:val="0"/>
              <w:adjustRightInd w:val="0"/>
              <w:spacing w:line="400" w:lineRule="exact"/>
              <w:ind w:firstLine="0" w:firstLineChars="0"/>
              <w:jc w:val="center"/>
              <w:rPr>
                <w:rFonts w:hint="eastAsia" w:ascii="仿宋" w:hAnsi="仿宋" w:eastAsia="仿宋" w:cs="仿宋"/>
                <w:sz w:val="28"/>
                <w:szCs w:val="28"/>
              </w:rPr>
            </w:pPr>
            <w:r>
              <w:rPr>
                <w:rFonts w:hint="eastAsia" w:ascii="仿宋" w:hAnsi="仿宋" w:eastAsia="仿宋" w:cs="仿宋"/>
                <w:sz w:val="28"/>
                <w:szCs w:val="28"/>
              </w:rPr>
              <w:t>备注</w:t>
            </w:r>
          </w:p>
        </w:tc>
      </w:tr>
      <w:tr w14:paraId="60B2D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470" w:type="dxa"/>
            <w:shd w:val="clear" w:color="auto" w:fill="auto"/>
            <w:noWrap w:val="0"/>
            <w:vAlign w:val="center"/>
          </w:tcPr>
          <w:p w14:paraId="076AC009">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877" w:type="dxa"/>
            <w:shd w:val="clear" w:color="auto" w:fill="auto"/>
            <w:noWrap w:val="0"/>
            <w:vAlign w:val="center"/>
          </w:tcPr>
          <w:p w14:paraId="4BDC6F78">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820" w:type="dxa"/>
            <w:shd w:val="clear" w:color="auto" w:fill="auto"/>
            <w:noWrap w:val="0"/>
            <w:vAlign w:val="center"/>
          </w:tcPr>
          <w:p w14:paraId="6CD3C792">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840" w:type="dxa"/>
            <w:shd w:val="clear" w:color="auto" w:fill="auto"/>
            <w:noWrap w:val="0"/>
            <w:vAlign w:val="center"/>
          </w:tcPr>
          <w:p w14:paraId="628BF8F3">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930" w:type="dxa"/>
            <w:shd w:val="clear" w:color="auto" w:fill="auto"/>
            <w:noWrap w:val="0"/>
            <w:vAlign w:val="center"/>
          </w:tcPr>
          <w:p w14:paraId="59C4D8AC">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3186" w:type="dxa"/>
            <w:shd w:val="clear" w:color="auto" w:fill="auto"/>
            <w:noWrap w:val="0"/>
            <w:vAlign w:val="center"/>
          </w:tcPr>
          <w:p w14:paraId="1192E513">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242" w:type="dxa"/>
            <w:shd w:val="clear" w:color="auto" w:fill="auto"/>
            <w:noWrap w:val="0"/>
            <w:vAlign w:val="center"/>
          </w:tcPr>
          <w:p w14:paraId="09551B76">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909" w:type="dxa"/>
            <w:shd w:val="clear" w:color="auto" w:fill="auto"/>
            <w:noWrap w:val="0"/>
            <w:vAlign w:val="center"/>
          </w:tcPr>
          <w:p w14:paraId="074FB6E3">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782" w:type="dxa"/>
            <w:shd w:val="clear" w:color="auto" w:fill="auto"/>
            <w:noWrap w:val="0"/>
            <w:vAlign w:val="center"/>
          </w:tcPr>
          <w:p w14:paraId="2B941CBC">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982" w:type="dxa"/>
            <w:shd w:val="clear" w:color="auto" w:fill="auto"/>
            <w:noWrap w:val="0"/>
            <w:vAlign w:val="center"/>
          </w:tcPr>
          <w:p w14:paraId="1AC46E29">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782" w:type="dxa"/>
            <w:shd w:val="clear" w:color="auto" w:fill="auto"/>
            <w:noWrap w:val="0"/>
            <w:vAlign w:val="center"/>
          </w:tcPr>
          <w:p w14:paraId="36D10F64">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900" w:type="dxa"/>
            <w:shd w:val="clear" w:color="auto" w:fill="auto"/>
            <w:noWrap w:val="0"/>
            <w:vAlign w:val="center"/>
          </w:tcPr>
          <w:p w14:paraId="7209AB18">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680" w:type="dxa"/>
            <w:shd w:val="clear" w:color="auto" w:fill="auto"/>
            <w:noWrap w:val="0"/>
            <w:vAlign w:val="center"/>
          </w:tcPr>
          <w:p w14:paraId="3DC0829F">
            <w:pPr>
              <w:autoSpaceDE w:val="0"/>
              <w:autoSpaceDN w:val="0"/>
              <w:adjustRightInd w:val="0"/>
              <w:spacing w:line="560" w:lineRule="exact"/>
              <w:ind w:firstLine="560"/>
              <w:jc w:val="left"/>
              <w:rPr>
                <w:rFonts w:hint="eastAsia" w:ascii="仿宋" w:hAnsi="仿宋" w:eastAsia="仿宋" w:cs="仿宋"/>
                <w:color w:val="000000"/>
                <w:sz w:val="28"/>
                <w:szCs w:val="28"/>
              </w:rPr>
            </w:pPr>
          </w:p>
        </w:tc>
      </w:tr>
      <w:tr w14:paraId="0E875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470" w:type="dxa"/>
            <w:shd w:val="clear" w:color="auto" w:fill="auto"/>
            <w:noWrap w:val="0"/>
            <w:vAlign w:val="center"/>
          </w:tcPr>
          <w:p w14:paraId="329658F9">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877" w:type="dxa"/>
            <w:shd w:val="clear" w:color="auto" w:fill="auto"/>
            <w:noWrap w:val="0"/>
            <w:vAlign w:val="center"/>
          </w:tcPr>
          <w:p w14:paraId="306F5747">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820" w:type="dxa"/>
            <w:shd w:val="clear" w:color="auto" w:fill="auto"/>
            <w:noWrap w:val="0"/>
            <w:vAlign w:val="center"/>
          </w:tcPr>
          <w:p w14:paraId="6DF03096">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840" w:type="dxa"/>
            <w:shd w:val="clear" w:color="auto" w:fill="auto"/>
            <w:noWrap w:val="0"/>
            <w:vAlign w:val="center"/>
          </w:tcPr>
          <w:p w14:paraId="23109219">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930" w:type="dxa"/>
            <w:shd w:val="clear" w:color="auto" w:fill="auto"/>
            <w:noWrap w:val="0"/>
            <w:vAlign w:val="center"/>
          </w:tcPr>
          <w:p w14:paraId="184D1B6F">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3186" w:type="dxa"/>
            <w:shd w:val="clear" w:color="auto" w:fill="auto"/>
            <w:noWrap w:val="0"/>
            <w:vAlign w:val="center"/>
          </w:tcPr>
          <w:p w14:paraId="34DF5362">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242" w:type="dxa"/>
            <w:shd w:val="clear" w:color="auto" w:fill="auto"/>
            <w:noWrap w:val="0"/>
            <w:vAlign w:val="center"/>
          </w:tcPr>
          <w:p w14:paraId="450EA22C">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909" w:type="dxa"/>
            <w:shd w:val="clear" w:color="auto" w:fill="auto"/>
            <w:noWrap w:val="0"/>
            <w:vAlign w:val="center"/>
          </w:tcPr>
          <w:p w14:paraId="6E3C7854">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782" w:type="dxa"/>
            <w:shd w:val="clear" w:color="auto" w:fill="auto"/>
            <w:noWrap w:val="0"/>
            <w:vAlign w:val="center"/>
          </w:tcPr>
          <w:p w14:paraId="454F98E1">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982" w:type="dxa"/>
            <w:shd w:val="clear" w:color="auto" w:fill="auto"/>
            <w:noWrap w:val="0"/>
            <w:vAlign w:val="center"/>
          </w:tcPr>
          <w:p w14:paraId="0D5A6BEC">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782" w:type="dxa"/>
            <w:shd w:val="clear" w:color="auto" w:fill="auto"/>
            <w:noWrap w:val="0"/>
            <w:vAlign w:val="center"/>
          </w:tcPr>
          <w:p w14:paraId="1CACD5B0">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900" w:type="dxa"/>
            <w:shd w:val="clear" w:color="auto" w:fill="auto"/>
            <w:noWrap w:val="0"/>
            <w:vAlign w:val="center"/>
          </w:tcPr>
          <w:p w14:paraId="7795D6E8">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680" w:type="dxa"/>
            <w:shd w:val="clear" w:color="auto" w:fill="auto"/>
            <w:noWrap w:val="0"/>
            <w:vAlign w:val="center"/>
          </w:tcPr>
          <w:p w14:paraId="597252AE">
            <w:pPr>
              <w:autoSpaceDE w:val="0"/>
              <w:autoSpaceDN w:val="0"/>
              <w:adjustRightInd w:val="0"/>
              <w:spacing w:line="560" w:lineRule="exact"/>
              <w:ind w:firstLine="560"/>
              <w:jc w:val="left"/>
              <w:rPr>
                <w:rFonts w:hint="eastAsia" w:ascii="仿宋" w:hAnsi="仿宋" w:eastAsia="仿宋" w:cs="仿宋"/>
                <w:color w:val="000000"/>
                <w:sz w:val="28"/>
                <w:szCs w:val="28"/>
              </w:rPr>
            </w:pPr>
          </w:p>
        </w:tc>
      </w:tr>
      <w:tr w14:paraId="7227E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470" w:type="dxa"/>
            <w:shd w:val="clear" w:color="auto" w:fill="auto"/>
            <w:noWrap w:val="0"/>
            <w:vAlign w:val="center"/>
          </w:tcPr>
          <w:p w14:paraId="65911603">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877" w:type="dxa"/>
            <w:shd w:val="clear" w:color="auto" w:fill="auto"/>
            <w:noWrap w:val="0"/>
            <w:vAlign w:val="center"/>
          </w:tcPr>
          <w:p w14:paraId="70F48A9B">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820" w:type="dxa"/>
            <w:shd w:val="clear" w:color="auto" w:fill="auto"/>
            <w:noWrap w:val="0"/>
            <w:vAlign w:val="center"/>
          </w:tcPr>
          <w:p w14:paraId="39A7CE5D">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840" w:type="dxa"/>
            <w:shd w:val="clear" w:color="auto" w:fill="auto"/>
            <w:noWrap w:val="0"/>
            <w:vAlign w:val="center"/>
          </w:tcPr>
          <w:p w14:paraId="5948DAF6">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930" w:type="dxa"/>
            <w:shd w:val="clear" w:color="auto" w:fill="auto"/>
            <w:noWrap w:val="0"/>
            <w:vAlign w:val="center"/>
          </w:tcPr>
          <w:p w14:paraId="310F3B41">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3186" w:type="dxa"/>
            <w:shd w:val="clear" w:color="auto" w:fill="auto"/>
            <w:noWrap w:val="0"/>
            <w:vAlign w:val="center"/>
          </w:tcPr>
          <w:p w14:paraId="18A1F298">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242" w:type="dxa"/>
            <w:shd w:val="clear" w:color="auto" w:fill="auto"/>
            <w:noWrap w:val="0"/>
            <w:vAlign w:val="center"/>
          </w:tcPr>
          <w:p w14:paraId="40A2D65C">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909" w:type="dxa"/>
            <w:shd w:val="clear" w:color="auto" w:fill="auto"/>
            <w:noWrap w:val="0"/>
            <w:vAlign w:val="center"/>
          </w:tcPr>
          <w:p w14:paraId="444C1778">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782" w:type="dxa"/>
            <w:shd w:val="clear" w:color="auto" w:fill="auto"/>
            <w:noWrap w:val="0"/>
            <w:vAlign w:val="center"/>
          </w:tcPr>
          <w:p w14:paraId="13072240">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982" w:type="dxa"/>
            <w:shd w:val="clear" w:color="auto" w:fill="auto"/>
            <w:noWrap w:val="0"/>
            <w:vAlign w:val="center"/>
          </w:tcPr>
          <w:p w14:paraId="7F04D499">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782" w:type="dxa"/>
            <w:shd w:val="clear" w:color="auto" w:fill="auto"/>
            <w:noWrap w:val="0"/>
            <w:vAlign w:val="center"/>
          </w:tcPr>
          <w:p w14:paraId="1C53A58C">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900" w:type="dxa"/>
            <w:shd w:val="clear" w:color="auto" w:fill="auto"/>
            <w:noWrap w:val="0"/>
            <w:vAlign w:val="center"/>
          </w:tcPr>
          <w:p w14:paraId="694D8583">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680" w:type="dxa"/>
            <w:shd w:val="clear" w:color="auto" w:fill="auto"/>
            <w:noWrap w:val="0"/>
            <w:vAlign w:val="center"/>
          </w:tcPr>
          <w:p w14:paraId="77D942DA">
            <w:pPr>
              <w:autoSpaceDE w:val="0"/>
              <w:autoSpaceDN w:val="0"/>
              <w:adjustRightInd w:val="0"/>
              <w:spacing w:line="560" w:lineRule="exact"/>
              <w:ind w:firstLine="560"/>
              <w:jc w:val="left"/>
              <w:rPr>
                <w:rFonts w:hint="eastAsia" w:ascii="仿宋" w:hAnsi="仿宋" w:eastAsia="仿宋" w:cs="仿宋"/>
                <w:color w:val="000000"/>
                <w:sz w:val="28"/>
                <w:szCs w:val="28"/>
              </w:rPr>
            </w:pPr>
          </w:p>
        </w:tc>
      </w:tr>
      <w:tr w14:paraId="0A2F0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470" w:type="dxa"/>
            <w:shd w:val="clear" w:color="auto" w:fill="auto"/>
            <w:noWrap w:val="0"/>
            <w:vAlign w:val="center"/>
          </w:tcPr>
          <w:p w14:paraId="280BCB11">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877" w:type="dxa"/>
            <w:shd w:val="clear" w:color="auto" w:fill="auto"/>
            <w:noWrap w:val="0"/>
            <w:vAlign w:val="center"/>
          </w:tcPr>
          <w:p w14:paraId="076AD5A3">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820" w:type="dxa"/>
            <w:shd w:val="clear" w:color="auto" w:fill="auto"/>
            <w:noWrap w:val="0"/>
            <w:vAlign w:val="center"/>
          </w:tcPr>
          <w:p w14:paraId="1532F877">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840" w:type="dxa"/>
            <w:shd w:val="clear" w:color="auto" w:fill="auto"/>
            <w:noWrap w:val="0"/>
            <w:vAlign w:val="center"/>
          </w:tcPr>
          <w:p w14:paraId="5C57D5DD">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930" w:type="dxa"/>
            <w:shd w:val="clear" w:color="auto" w:fill="auto"/>
            <w:noWrap w:val="0"/>
            <w:vAlign w:val="center"/>
          </w:tcPr>
          <w:p w14:paraId="6B7DE2AE">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3186" w:type="dxa"/>
            <w:shd w:val="clear" w:color="auto" w:fill="auto"/>
            <w:noWrap w:val="0"/>
            <w:vAlign w:val="center"/>
          </w:tcPr>
          <w:p w14:paraId="57978485">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242" w:type="dxa"/>
            <w:shd w:val="clear" w:color="auto" w:fill="auto"/>
            <w:noWrap w:val="0"/>
            <w:vAlign w:val="center"/>
          </w:tcPr>
          <w:p w14:paraId="4F87A556">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909" w:type="dxa"/>
            <w:shd w:val="clear" w:color="auto" w:fill="auto"/>
            <w:noWrap w:val="0"/>
            <w:vAlign w:val="center"/>
          </w:tcPr>
          <w:p w14:paraId="34BC6E70">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782" w:type="dxa"/>
            <w:shd w:val="clear" w:color="auto" w:fill="auto"/>
            <w:noWrap w:val="0"/>
            <w:vAlign w:val="center"/>
          </w:tcPr>
          <w:p w14:paraId="540F7C36">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982" w:type="dxa"/>
            <w:shd w:val="clear" w:color="auto" w:fill="auto"/>
            <w:noWrap w:val="0"/>
            <w:vAlign w:val="center"/>
          </w:tcPr>
          <w:p w14:paraId="60EB755B">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782" w:type="dxa"/>
            <w:shd w:val="clear" w:color="auto" w:fill="auto"/>
            <w:noWrap w:val="0"/>
            <w:vAlign w:val="center"/>
          </w:tcPr>
          <w:p w14:paraId="30B79509">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900" w:type="dxa"/>
            <w:shd w:val="clear" w:color="auto" w:fill="auto"/>
            <w:noWrap w:val="0"/>
            <w:vAlign w:val="center"/>
          </w:tcPr>
          <w:p w14:paraId="6EEA2360">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680" w:type="dxa"/>
            <w:shd w:val="clear" w:color="auto" w:fill="auto"/>
            <w:noWrap w:val="0"/>
            <w:vAlign w:val="center"/>
          </w:tcPr>
          <w:p w14:paraId="641F05C4">
            <w:pPr>
              <w:autoSpaceDE w:val="0"/>
              <w:autoSpaceDN w:val="0"/>
              <w:adjustRightInd w:val="0"/>
              <w:spacing w:line="560" w:lineRule="exact"/>
              <w:ind w:firstLine="560"/>
              <w:jc w:val="left"/>
              <w:rPr>
                <w:rFonts w:hint="eastAsia" w:ascii="仿宋" w:hAnsi="仿宋" w:eastAsia="仿宋" w:cs="仿宋"/>
                <w:color w:val="000000"/>
                <w:sz w:val="28"/>
                <w:szCs w:val="28"/>
              </w:rPr>
            </w:pPr>
          </w:p>
        </w:tc>
      </w:tr>
      <w:tr w14:paraId="05075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470" w:type="dxa"/>
            <w:shd w:val="clear" w:color="auto" w:fill="auto"/>
            <w:noWrap w:val="0"/>
            <w:vAlign w:val="center"/>
          </w:tcPr>
          <w:p w14:paraId="7362E07E">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877" w:type="dxa"/>
            <w:shd w:val="clear" w:color="auto" w:fill="auto"/>
            <w:noWrap w:val="0"/>
            <w:vAlign w:val="center"/>
          </w:tcPr>
          <w:p w14:paraId="162D4691">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820" w:type="dxa"/>
            <w:shd w:val="clear" w:color="auto" w:fill="auto"/>
            <w:noWrap w:val="0"/>
            <w:vAlign w:val="center"/>
          </w:tcPr>
          <w:p w14:paraId="44A39C73">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840" w:type="dxa"/>
            <w:shd w:val="clear" w:color="auto" w:fill="auto"/>
            <w:noWrap w:val="0"/>
            <w:vAlign w:val="center"/>
          </w:tcPr>
          <w:p w14:paraId="0FCF9CAD">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930" w:type="dxa"/>
            <w:shd w:val="clear" w:color="auto" w:fill="auto"/>
            <w:noWrap w:val="0"/>
            <w:vAlign w:val="center"/>
          </w:tcPr>
          <w:p w14:paraId="78349BE7">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3186" w:type="dxa"/>
            <w:shd w:val="clear" w:color="auto" w:fill="auto"/>
            <w:noWrap w:val="0"/>
            <w:vAlign w:val="center"/>
          </w:tcPr>
          <w:p w14:paraId="4DB31CC4">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242" w:type="dxa"/>
            <w:shd w:val="clear" w:color="auto" w:fill="auto"/>
            <w:noWrap w:val="0"/>
            <w:vAlign w:val="center"/>
          </w:tcPr>
          <w:p w14:paraId="0EC89602">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909" w:type="dxa"/>
            <w:shd w:val="clear" w:color="auto" w:fill="auto"/>
            <w:noWrap w:val="0"/>
            <w:vAlign w:val="center"/>
          </w:tcPr>
          <w:p w14:paraId="1F30625F">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782" w:type="dxa"/>
            <w:shd w:val="clear" w:color="auto" w:fill="auto"/>
            <w:noWrap w:val="0"/>
            <w:vAlign w:val="center"/>
          </w:tcPr>
          <w:p w14:paraId="4A27426E">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1982" w:type="dxa"/>
            <w:shd w:val="clear" w:color="auto" w:fill="auto"/>
            <w:noWrap w:val="0"/>
            <w:vAlign w:val="center"/>
          </w:tcPr>
          <w:p w14:paraId="229A4F74">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782" w:type="dxa"/>
            <w:shd w:val="clear" w:color="auto" w:fill="auto"/>
            <w:noWrap w:val="0"/>
            <w:vAlign w:val="center"/>
          </w:tcPr>
          <w:p w14:paraId="40BBA591">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900" w:type="dxa"/>
            <w:shd w:val="clear" w:color="auto" w:fill="auto"/>
            <w:noWrap w:val="0"/>
            <w:vAlign w:val="center"/>
          </w:tcPr>
          <w:p w14:paraId="0DA9B626">
            <w:pPr>
              <w:autoSpaceDE w:val="0"/>
              <w:autoSpaceDN w:val="0"/>
              <w:adjustRightInd w:val="0"/>
              <w:spacing w:line="560" w:lineRule="exact"/>
              <w:ind w:firstLine="560"/>
              <w:jc w:val="left"/>
              <w:rPr>
                <w:rFonts w:hint="eastAsia" w:ascii="仿宋" w:hAnsi="仿宋" w:eastAsia="仿宋" w:cs="仿宋"/>
                <w:color w:val="000000"/>
                <w:sz w:val="28"/>
                <w:szCs w:val="28"/>
              </w:rPr>
            </w:pPr>
          </w:p>
        </w:tc>
        <w:tc>
          <w:tcPr>
            <w:tcW w:w="680" w:type="dxa"/>
            <w:shd w:val="clear" w:color="auto" w:fill="auto"/>
            <w:noWrap w:val="0"/>
            <w:vAlign w:val="center"/>
          </w:tcPr>
          <w:p w14:paraId="53082135">
            <w:pPr>
              <w:autoSpaceDE w:val="0"/>
              <w:autoSpaceDN w:val="0"/>
              <w:adjustRightInd w:val="0"/>
              <w:spacing w:line="560" w:lineRule="exact"/>
              <w:ind w:firstLine="560"/>
              <w:jc w:val="left"/>
              <w:rPr>
                <w:rFonts w:hint="eastAsia" w:ascii="仿宋" w:hAnsi="仿宋" w:eastAsia="仿宋" w:cs="仿宋"/>
                <w:color w:val="000000"/>
                <w:sz w:val="28"/>
                <w:szCs w:val="28"/>
              </w:rPr>
            </w:pPr>
          </w:p>
        </w:tc>
      </w:tr>
    </w:tbl>
    <w:p w14:paraId="17C577ED">
      <w:pPr>
        <w:pStyle w:val="17"/>
        <w:spacing w:line="360" w:lineRule="exact"/>
        <w:ind w:firstLine="560" w:firstLineChars="200"/>
        <w:rPr>
          <w:rFonts w:hint="eastAsia" w:ascii="仿宋" w:hAnsi="仿宋" w:eastAsia="仿宋" w:cs="仿宋"/>
          <w:color w:val="000000"/>
          <w:sz w:val="28"/>
          <w:szCs w:val="28"/>
        </w:rPr>
      </w:pPr>
      <w:r>
        <w:rPr>
          <w:rFonts w:hint="eastAsia" w:ascii="仿宋" w:hAnsi="仿宋" w:eastAsia="仿宋" w:cs="仿宋"/>
          <w:color w:val="000000"/>
          <w:sz w:val="28"/>
          <w:szCs w:val="28"/>
        </w:rPr>
        <w:t>备注：1.隐患级别分为重大隐患和一般隐患。</w:t>
      </w:r>
    </w:p>
    <w:p w14:paraId="5DA7F2AC">
      <w:pPr>
        <w:pStyle w:val="17"/>
        <w:spacing w:line="360" w:lineRule="exact"/>
        <w:ind w:firstLine="560" w:firstLineChars="200"/>
        <w:rPr>
          <w:rFonts w:ascii="仿宋" w:hAnsi="仿宋" w:eastAsia="仿宋" w:cs="仿宋"/>
          <w:color w:val="000000"/>
          <w:sz w:val="28"/>
          <w:szCs w:val="28"/>
        </w:rPr>
      </w:pPr>
      <w:r>
        <w:rPr>
          <w:rFonts w:hint="eastAsia" w:ascii="仿宋" w:hAnsi="仿宋" w:eastAsia="仿宋" w:cs="仿宋"/>
          <w:color w:val="000000"/>
          <w:sz w:val="28"/>
          <w:szCs w:val="28"/>
        </w:rPr>
        <w:t>2.隐患类别划分为行车安全、人身安全、外部环境与综合治理、工程建设、特种设备、食品卫生、消防安全、规章制度、综合保障、结合部十类隐患。</w:t>
      </w:r>
    </w:p>
    <w:p w14:paraId="1F3DF6ED">
      <w:pPr>
        <w:pStyle w:val="17"/>
        <w:spacing w:line="360" w:lineRule="exact"/>
        <w:ind w:firstLine="560" w:firstLineChars="200"/>
        <w:rPr>
          <w:rFonts w:hint="eastAsia" w:ascii="仿宋" w:hAnsi="仿宋" w:eastAsia="仿宋" w:cs="仿宋"/>
          <w:color w:val="000000"/>
          <w:sz w:val="28"/>
          <w:szCs w:val="28"/>
        </w:rPr>
      </w:pPr>
      <w:r>
        <w:rPr>
          <w:rFonts w:hint="eastAsia" w:ascii="仿宋" w:hAnsi="仿宋" w:eastAsia="仿宋" w:cs="仿宋"/>
          <w:color w:val="000000"/>
          <w:sz w:val="28"/>
          <w:szCs w:val="28"/>
        </w:rPr>
        <w:t>3.本表格各</w:t>
      </w:r>
      <w:r>
        <w:rPr>
          <w:rFonts w:hint="eastAsia" w:ascii="仿宋" w:hAnsi="仿宋" w:eastAsia="仿宋" w:cs="仿宋"/>
          <w:color w:val="000000"/>
          <w:sz w:val="28"/>
          <w:szCs w:val="28"/>
          <w:lang w:eastAsia="zh-CN"/>
        </w:rPr>
        <w:t>委外单位</w:t>
      </w:r>
      <w:r>
        <w:rPr>
          <w:rFonts w:hint="eastAsia" w:ascii="仿宋" w:hAnsi="仿宋" w:eastAsia="仿宋" w:cs="仿宋"/>
          <w:color w:val="000000"/>
          <w:sz w:val="28"/>
          <w:szCs w:val="28"/>
        </w:rPr>
        <w:t>、物业单位每月月底前报送。</w:t>
      </w:r>
    </w:p>
    <w:p w14:paraId="0537AC99">
      <w:pPr>
        <w:pStyle w:val="17"/>
        <w:spacing w:line="360" w:lineRule="exact"/>
        <w:ind w:firstLine="560" w:firstLineChars="200"/>
        <w:rPr>
          <w:rFonts w:ascii="仿宋" w:hAnsi="仿宋" w:eastAsia="仿宋" w:cs="仿宋"/>
          <w:color w:val="000000"/>
          <w:sz w:val="28"/>
          <w:szCs w:val="28"/>
        </w:rPr>
      </w:pPr>
      <w:r>
        <w:rPr>
          <w:rFonts w:hint="eastAsia" w:ascii="仿宋" w:hAnsi="仿宋" w:eastAsia="仿宋" w:cs="仿宋"/>
          <w:color w:val="000000"/>
          <w:sz w:val="28"/>
          <w:szCs w:val="28"/>
        </w:rPr>
        <w:t>4.不能立即整改的重大隐患和须上级部门组织协调整改的隐患也须在本表登记，并在备注栏填写向上级主管部门的报告情况。</w:t>
      </w:r>
    </w:p>
    <w:sectPr>
      <w:pgSz w:w="16838" w:h="11906" w:orient="landscape"/>
      <w:pgMar w:top="1800" w:right="1440" w:bottom="1800" w:left="144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640"/>
      </w:pPr>
      <w:r>
        <w:separator/>
      </w:r>
    </w:p>
  </w:endnote>
  <w:endnote w:type="continuationSeparator" w:id="1">
    <w:p>
      <w:pPr>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B684E47-7174-4590-9A12-EAC771EC6B2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5DFACC4D-DE91-428F-9454-E6F252DAB77D}"/>
  </w:font>
  <w:font w:name="仿宋_GB2312">
    <w:panose1 w:val="02010609030101010101"/>
    <w:charset w:val="86"/>
    <w:family w:val="modern"/>
    <w:pitch w:val="default"/>
    <w:sig w:usb0="00000001" w:usb1="080E0000" w:usb2="00000000" w:usb3="00000000" w:csb0="00040000" w:csb1="00000000"/>
    <w:embedRegular r:id="rId3" w:fontKey="{52656149-1954-4014-932A-18EEDF130E4A}"/>
  </w:font>
  <w:font w:name="方正小标宋简体">
    <w:panose1 w:val="02000000000000000000"/>
    <w:charset w:val="86"/>
    <w:family w:val="auto"/>
    <w:pitch w:val="default"/>
    <w:sig w:usb0="00000001" w:usb1="08000000" w:usb2="00000000" w:usb3="00000000" w:csb0="00040000" w:csb1="00000000"/>
    <w:embedRegular r:id="rId4" w:fontKey="{8A29336D-8CE1-473B-A9D9-1A5D6216A474}"/>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embedRegular r:id="rId5" w:fontKey="{33ECED9A-8013-4908-BAF5-8D0C8C61F88D}"/>
  </w:font>
  <w:font w:name="楷体_GB2312">
    <w:panose1 w:val="02010609030101010101"/>
    <w:charset w:val="86"/>
    <w:family w:val="modern"/>
    <w:pitch w:val="default"/>
    <w:sig w:usb0="00000001" w:usb1="080E0000" w:usb2="00000000" w:usb3="00000000" w:csb0="00040000" w:csb1="00000000"/>
    <w:embedRegular r:id="rId6" w:fontKey="{EB662B00-7DD0-49B4-9B46-49476714A684}"/>
  </w:font>
  <w:font w:name="仿宋">
    <w:panose1 w:val="02010609060101010101"/>
    <w:charset w:val="86"/>
    <w:family w:val="modern"/>
    <w:pitch w:val="default"/>
    <w:sig w:usb0="800002BF" w:usb1="38CF7CFA" w:usb2="00000016" w:usb3="00000000" w:csb0="00040001" w:csb1="00000000"/>
    <w:embedRegular r:id="rId7" w:fontKey="{48F2F1BF-9978-424B-8206-1F53B893320F}"/>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D9E97">
    <w:pPr>
      <w:pStyle w:val="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6409D">
    <w:pPr>
      <w:pStyle w:val="9"/>
      <w:ind w:firstLine="640"/>
    </w:pPr>
    <w:r>
      <w:rPr>
        <w:rFonts w:ascii="宋体" w:hAnsi="宋体" w:eastAsia="宋体"/>
        <w:sz w:val="32"/>
        <w:szCs w:val="32"/>
      </w:rPr>
      <w:fldChar w:fldCharType="begin"/>
    </w:r>
    <w:r>
      <w:rPr>
        <w:rFonts w:ascii="宋体" w:hAnsi="宋体" w:eastAsia="宋体"/>
        <w:sz w:val="32"/>
        <w:szCs w:val="32"/>
      </w:rPr>
      <w:instrText xml:space="preserve"> PAGE   \* MERGEFORMAT </w:instrText>
    </w:r>
    <w:r>
      <w:rPr>
        <w:rFonts w:ascii="宋体" w:hAnsi="宋体" w:eastAsia="宋体"/>
        <w:sz w:val="32"/>
        <w:szCs w:val="32"/>
      </w:rPr>
      <w:fldChar w:fldCharType="separate"/>
    </w:r>
    <w:r>
      <w:rPr>
        <w:rFonts w:ascii="宋体" w:hAnsi="宋体" w:eastAsia="宋体"/>
        <w:sz w:val="32"/>
        <w:szCs w:val="32"/>
        <w:lang w:val="zh-CN"/>
      </w:rPr>
      <w:t>-</w:t>
    </w:r>
    <w:r>
      <w:rPr>
        <w:rFonts w:ascii="宋体" w:hAnsi="宋体" w:eastAsia="宋体"/>
        <w:sz w:val="32"/>
        <w:szCs w:val="32"/>
      </w:rPr>
      <w:t xml:space="preserve"> 14 -</w:t>
    </w:r>
    <w:r>
      <w:rPr>
        <w:rFonts w:ascii="宋体" w:hAnsi="宋体" w:eastAsia="宋体"/>
        <w:sz w:val="32"/>
        <w:szCs w:val="32"/>
      </w:rPr>
      <w:fldChar w:fldCharType="end"/>
    </w:r>
  </w:p>
  <w:p w14:paraId="3E260ADA">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BFB34">
    <w:pPr>
      <w:pStyle w:val="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34867">
    <w:pPr>
      <w:pStyle w:val="9"/>
      <w:ind w:firstLine="360"/>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E4C8EA">
                          <w:pPr>
                            <w:pStyle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  \* MERGEFORMAT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- 1 -</w:t>
                          </w:r>
                          <w:r>
                            <w:rPr>
                              <w:rFonts w:hint="eastAsia" w:ascii="仿宋_GB2312" w:hAnsi="仿宋_GB2312" w:eastAsia="仿宋_GB2312" w:cs="仿宋_GB2312"/>
                              <w:sz w:val="32"/>
                              <w:szCs w:val="3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40E4C8EA">
                    <w:pPr>
                      <w:pStyle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  \* MERGEFORMAT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- 1 -</w:t>
                    </w:r>
                    <w:r>
                      <w:rPr>
                        <w:rFonts w:hint="eastAsia" w:ascii="仿宋_GB2312" w:hAnsi="仿宋_GB2312" w:eastAsia="仿宋_GB2312" w:cs="仿宋_GB2312"/>
                        <w:sz w:val="32"/>
                        <w:szCs w:val="32"/>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5D72F">
    <w:pPr>
      <w:pStyle w:val="9"/>
      <w:ind w:right="360" w:firstLine="560"/>
      <w:jc w:val="right"/>
      <w:rPr>
        <w:sz w:val="28"/>
      </w:rPr>
    </w:pPr>
    <w:r>
      <w:rPr>
        <w:sz w:val="2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08DC90">
                          <w:pPr>
                            <w:pStyle w:val="9"/>
                            <w:wordWrap w:val="0"/>
                            <w:ind w:firstLine="560"/>
                            <w:jc w:val="right"/>
                            <w:rPr>
                              <w:rStyle w:val="16"/>
                              <w:sz w:val="28"/>
                            </w:rPr>
                          </w:pPr>
                          <w:r>
                            <w:rPr>
                              <w:rStyle w:val="16"/>
                              <w:rFonts w:hint="eastAsia" w:ascii="仿宋_GB2312" w:hAnsi="仿宋_GB2312" w:eastAsia="仿宋_GB2312" w:cs="仿宋_GB2312"/>
                              <w:sz w:val="32"/>
                              <w:szCs w:val="32"/>
                            </w:rPr>
                            <w:t>—</w:t>
                          </w:r>
                          <w:r>
                            <w:rPr>
                              <w:rStyle w:val="16"/>
                              <w:rFonts w:hint="eastAsia" w:ascii="仿宋_GB2312" w:hAnsi="仿宋_GB2312" w:eastAsia="仿宋_GB2312" w:cs="仿宋_GB2312"/>
                              <w:sz w:val="32"/>
                              <w:szCs w:val="32"/>
                            </w:rPr>
                            <w:fldChar w:fldCharType="begin"/>
                          </w:r>
                          <w:r>
                            <w:rPr>
                              <w:rStyle w:val="16"/>
                              <w:rFonts w:hint="eastAsia" w:ascii="仿宋_GB2312" w:hAnsi="仿宋_GB2312" w:eastAsia="仿宋_GB2312" w:cs="仿宋_GB2312"/>
                              <w:sz w:val="32"/>
                              <w:szCs w:val="32"/>
                            </w:rPr>
                            <w:instrText xml:space="preserve">PAGE  </w:instrText>
                          </w:r>
                          <w:r>
                            <w:rPr>
                              <w:rStyle w:val="16"/>
                              <w:rFonts w:hint="eastAsia" w:ascii="仿宋_GB2312" w:hAnsi="仿宋_GB2312" w:eastAsia="仿宋_GB2312" w:cs="仿宋_GB2312"/>
                              <w:sz w:val="32"/>
                              <w:szCs w:val="32"/>
                            </w:rPr>
                            <w:fldChar w:fldCharType="separate"/>
                          </w:r>
                          <w:r>
                            <w:rPr>
                              <w:rStyle w:val="16"/>
                              <w:rFonts w:hint="eastAsia" w:ascii="仿宋_GB2312" w:hAnsi="仿宋_GB2312" w:eastAsia="仿宋_GB2312" w:cs="仿宋_GB2312"/>
                              <w:sz w:val="32"/>
                              <w:szCs w:val="32"/>
                            </w:rPr>
                            <w:t>30</w:t>
                          </w:r>
                          <w:r>
                            <w:rPr>
                              <w:rStyle w:val="16"/>
                              <w:rFonts w:hint="eastAsia" w:ascii="仿宋_GB2312" w:hAnsi="仿宋_GB2312" w:eastAsia="仿宋_GB2312" w:cs="仿宋_GB2312"/>
                              <w:sz w:val="32"/>
                              <w:szCs w:val="32"/>
                            </w:rPr>
                            <w:fldChar w:fldCharType="end"/>
                          </w:r>
                          <w:r>
                            <w:rPr>
                              <w:rStyle w:val="16"/>
                              <w:rFonts w:hint="eastAsia" w:ascii="仿宋_GB2312" w:hAnsi="仿宋_GB2312" w:eastAsia="仿宋_GB2312" w:cs="仿宋_GB2312"/>
                              <w:sz w:val="32"/>
                              <w:szCs w:val="32"/>
                            </w:rPr>
                            <w:t>—</w:t>
                          </w:r>
                          <w:r>
                            <w:rPr>
                              <w:rStyle w:val="16"/>
                              <w:rFonts w:hint="eastAsia"/>
                              <w:sz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D08DC90">
                    <w:pPr>
                      <w:pStyle w:val="9"/>
                      <w:wordWrap w:val="0"/>
                      <w:ind w:firstLine="560"/>
                      <w:jc w:val="right"/>
                      <w:rPr>
                        <w:rStyle w:val="16"/>
                        <w:sz w:val="28"/>
                      </w:rPr>
                    </w:pPr>
                    <w:r>
                      <w:rPr>
                        <w:rStyle w:val="16"/>
                        <w:rFonts w:hint="eastAsia" w:ascii="仿宋_GB2312" w:hAnsi="仿宋_GB2312" w:eastAsia="仿宋_GB2312" w:cs="仿宋_GB2312"/>
                        <w:sz w:val="32"/>
                        <w:szCs w:val="32"/>
                      </w:rPr>
                      <w:t>—</w:t>
                    </w:r>
                    <w:r>
                      <w:rPr>
                        <w:rStyle w:val="16"/>
                        <w:rFonts w:hint="eastAsia" w:ascii="仿宋_GB2312" w:hAnsi="仿宋_GB2312" w:eastAsia="仿宋_GB2312" w:cs="仿宋_GB2312"/>
                        <w:sz w:val="32"/>
                        <w:szCs w:val="32"/>
                      </w:rPr>
                      <w:fldChar w:fldCharType="begin"/>
                    </w:r>
                    <w:r>
                      <w:rPr>
                        <w:rStyle w:val="16"/>
                        <w:rFonts w:hint="eastAsia" w:ascii="仿宋_GB2312" w:hAnsi="仿宋_GB2312" w:eastAsia="仿宋_GB2312" w:cs="仿宋_GB2312"/>
                        <w:sz w:val="32"/>
                        <w:szCs w:val="32"/>
                      </w:rPr>
                      <w:instrText xml:space="preserve">PAGE  </w:instrText>
                    </w:r>
                    <w:r>
                      <w:rPr>
                        <w:rStyle w:val="16"/>
                        <w:rFonts w:hint="eastAsia" w:ascii="仿宋_GB2312" w:hAnsi="仿宋_GB2312" w:eastAsia="仿宋_GB2312" w:cs="仿宋_GB2312"/>
                        <w:sz w:val="32"/>
                        <w:szCs w:val="32"/>
                      </w:rPr>
                      <w:fldChar w:fldCharType="separate"/>
                    </w:r>
                    <w:r>
                      <w:rPr>
                        <w:rStyle w:val="16"/>
                        <w:rFonts w:hint="eastAsia" w:ascii="仿宋_GB2312" w:hAnsi="仿宋_GB2312" w:eastAsia="仿宋_GB2312" w:cs="仿宋_GB2312"/>
                        <w:sz w:val="32"/>
                        <w:szCs w:val="32"/>
                      </w:rPr>
                      <w:t>30</w:t>
                    </w:r>
                    <w:r>
                      <w:rPr>
                        <w:rStyle w:val="16"/>
                        <w:rFonts w:hint="eastAsia" w:ascii="仿宋_GB2312" w:hAnsi="仿宋_GB2312" w:eastAsia="仿宋_GB2312" w:cs="仿宋_GB2312"/>
                        <w:sz w:val="32"/>
                        <w:szCs w:val="32"/>
                      </w:rPr>
                      <w:fldChar w:fldCharType="end"/>
                    </w:r>
                    <w:r>
                      <w:rPr>
                        <w:rStyle w:val="16"/>
                        <w:rFonts w:hint="eastAsia" w:ascii="仿宋_GB2312" w:hAnsi="仿宋_GB2312" w:eastAsia="仿宋_GB2312" w:cs="仿宋_GB2312"/>
                        <w:sz w:val="32"/>
                        <w:szCs w:val="32"/>
                      </w:rPr>
                      <w:t>—</w:t>
                    </w:r>
                    <w:r>
                      <w:rPr>
                        <w:rStyle w:val="16"/>
                        <w:rFonts w:hint="eastAsia"/>
                        <w:sz w:val="28"/>
                      </w:rPr>
                      <w:t xml:space="preserve">  </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D81B9">
    <w:pPr>
      <w:pStyle w:val="9"/>
      <w:framePr w:w="1266" w:wrap="around" w:vAnchor="text" w:hAnchor="margin" w:xAlign="outside" w:y="1"/>
      <w:ind w:firstLine="280" w:firstLineChars="100"/>
      <w:rPr>
        <w:rStyle w:val="16"/>
        <w:sz w:val="28"/>
      </w:rPr>
    </w:pPr>
    <w:r>
      <w:rPr>
        <w:rStyle w:val="16"/>
        <w:rFonts w:hint="eastAsia" w:ascii="仿宋_GB2312"/>
        <w:sz w:val="28"/>
      </w:rPr>
      <w:t>—</w:t>
    </w:r>
    <w:r>
      <w:rPr>
        <w:rStyle w:val="16"/>
        <w:sz w:val="28"/>
      </w:rPr>
      <w:fldChar w:fldCharType="begin"/>
    </w:r>
    <w:r>
      <w:rPr>
        <w:rStyle w:val="16"/>
        <w:sz w:val="28"/>
      </w:rPr>
      <w:instrText xml:space="preserve">PAGE  </w:instrText>
    </w:r>
    <w:r>
      <w:rPr>
        <w:rStyle w:val="16"/>
        <w:sz w:val="28"/>
      </w:rPr>
      <w:fldChar w:fldCharType="separate"/>
    </w:r>
    <w:r>
      <w:rPr>
        <w:rStyle w:val="16"/>
        <w:sz w:val="28"/>
      </w:rPr>
      <w:t>2</w:t>
    </w:r>
    <w:r>
      <w:rPr>
        <w:rStyle w:val="16"/>
        <w:sz w:val="28"/>
      </w:rPr>
      <w:fldChar w:fldCharType="end"/>
    </w:r>
    <w:r>
      <w:rPr>
        <w:rStyle w:val="16"/>
        <w:rFonts w:hint="eastAsia" w:ascii="仿宋_GB2312"/>
        <w:sz w:val="28"/>
      </w:rPr>
      <w:t>—</w:t>
    </w:r>
  </w:p>
  <w:p w14:paraId="2C3A1959">
    <w:pPr>
      <w:pStyle w:val="9"/>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640"/>
      </w:pPr>
      <w:r>
        <w:separator/>
      </w:r>
    </w:p>
  </w:footnote>
  <w:footnote w:type="continuationSeparator" w:id="1">
    <w:p>
      <w:pPr>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1030D">
    <w:pPr>
      <w:pStyle w:val="10"/>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1E5FE">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2AD34">
    <w:pPr>
      <w:pStyle w:val="1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0FE254"/>
    <w:multiLevelType w:val="singleLevel"/>
    <w:tmpl w:val="860FE254"/>
    <w:lvl w:ilvl="0" w:tentative="0">
      <w:start w:val="1"/>
      <w:numFmt w:val="decimal"/>
      <w:suff w:val="nothing"/>
      <w:lvlText w:val="%1."/>
      <w:lvlJc w:val="left"/>
      <w:pPr>
        <w:ind w:left="454" w:hanging="454"/>
      </w:pPr>
      <w:rPr>
        <w:rFonts w:hint="default"/>
      </w:rPr>
    </w:lvl>
  </w:abstractNum>
  <w:abstractNum w:abstractNumId="1">
    <w:nsid w:val="8C69DC6A"/>
    <w:multiLevelType w:val="singleLevel"/>
    <w:tmpl w:val="8C69DC6A"/>
    <w:lvl w:ilvl="0" w:tentative="0">
      <w:start w:val="1"/>
      <w:numFmt w:val="chineseCounting"/>
      <w:suff w:val="nothing"/>
      <w:lvlText w:val="（%1）"/>
      <w:lvlJc w:val="left"/>
      <w:rPr>
        <w:rFonts w:hint="eastAsia"/>
      </w:rPr>
    </w:lvl>
  </w:abstractNum>
  <w:abstractNum w:abstractNumId="2">
    <w:nsid w:val="D8D0E3AD"/>
    <w:multiLevelType w:val="singleLevel"/>
    <w:tmpl w:val="D8D0E3AD"/>
    <w:lvl w:ilvl="0" w:tentative="0">
      <w:start w:val="1"/>
      <w:numFmt w:val="chineseCounting"/>
      <w:suff w:val="nothing"/>
      <w:lvlText w:val="（%1）"/>
      <w:lvlJc w:val="left"/>
      <w:pPr>
        <w:ind w:left="0" w:firstLine="420"/>
      </w:pPr>
      <w:rPr>
        <w:rFonts w:hint="eastAsia"/>
      </w:rPr>
    </w:lvl>
  </w:abstractNum>
  <w:abstractNum w:abstractNumId="3">
    <w:nsid w:val="E729F16D"/>
    <w:multiLevelType w:val="singleLevel"/>
    <w:tmpl w:val="E729F16D"/>
    <w:lvl w:ilvl="0" w:tentative="0">
      <w:start w:val="1"/>
      <w:numFmt w:val="decimal"/>
      <w:suff w:val="nothing"/>
      <w:lvlText w:val="%1."/>
      <w:lvlJc w:val="left"/>
      <w:pPr>
        <w:ind w:left="454" w:hanging="454"/>
      </w:pPr>
      <w:rPr>
        <w:rFonts w:hint="default"/>
      </w:rPr>
    </w:lvl>
  </w:abstractNum>
  <w:abstractNum w:abstractNumId="4">
    <w:nsid w:val="26FEFC6F"/>
    <w:multiLevelType w:val="singleLevel"/>
    <w:tmpl w:val="26FEFC6F"/>
    <w:lvl w:ilvl="0" w:tentative="0">
      <w:start w:val="1"/>
      <w:numFmt w:val="decimal"/>
      <w:suff w:val="nothing"/>
      <w:lvlText w:val="%1."/>
      <w:lvlJc w:val="left"/>
      <w:pPr>
        <w:ind w:left="454" w:hanging="454"/>
      </w:pPr>
      <w:rPr>
        <w:rFonts w:hint="default"/>
      </w:rPr>
    </w:lvl>
  </w:abstractNum>
  <w:abstractNum w:abstractNumId="5">
    <w:nsid w:val="6082C2D2"/>
    <w:multiLevelType w:val="multilevel"/>
    <w:tmpl w:val="6082C2D2"/>
    <w:lvl w:ilvl="0" w:tentative="0">
      <w:start w:val="1"/>
      <w:numFmt w:val="chineseCounting"/>
      <w:suff w:val="nothing"/>
      <w:lvlText w:val="第%1章　"/>
      <w:lvlJc w:val="left"/>
      <w:pPr>
        <w:tabs>
          <w:tab w:val="left" w:pos="0"/>
        </w:tabs>
        <w:ind w:left="0" w:firstLine="402"/>
      </w:pPr>
      <w:rPr>
        <w:rFonts w:hint="eastAsia" w:ascii="黑体" w:hAnsi="黑体" w:eastAsia="黑体" w:cs="黑体"/>
        <w:sz w:val="32"/>
        <w:szCs w:val="32"/>
      </w:rPr>
    </w:lvl>
    <w:lvl w:ilvl="1" w:tentative="0">
      <w:start w:val="1"/>
      <w:numFmt w:val="chineseCounting"/>
      <w:suff w:val="nothing"/>
      <w:lvlText w:val="第%2条　"/>
      <w:lvlJc w:val="left"/>
      <w:pPr>
        <w:ind w:left="0" w:firstLine="402"/>
      </w:pPr>
      <w:rPr>
        <w:rFonts w:hint="eastAsia" w:ascii="宋体" w:hAnsi="宋体" w:eastAsia="宋体" w:cs="宋体"/>
      </w:rPr>
    </w:lvl>
    <w:lvl w:ilvl="2" w:tentative="0">
      <w:start w:val="1"/>
      <w:numFmt w:val="chineseCounting"/>
      <w:suff w:val="nothing"/>
      <w:lvlText w:val="（%3）　"/>
      <w:lvlJc w:val="left"/>
      <w:pPr>
        <w:ind w:left="0" w:firstLine="402"/>
      </w:pPr>
      <w:rPr>
        <w:rFonts w:hint="eastAsia" w:ascii="宋体" w:hAnsi="宋体" w:eastAsia="宋体" w:cs="宋体"/>
      </w:rPr>
    </w:lvl>
    <w:lvl w:ilvl="3" w:tentative="0">
      <w:start w:val="1"/>
      <w:numFmt w:val="chineseCounting"/>
      <w:suff w:val="nothing"/>
      <w:lvlText w:val="%4"/>
      <w:lvlJc w:val="left"/>
      <w:pPr>
        <w:ind w:left="0" w:firstLine="402"/>
      </w:pPr>
      <w:rPr>
        <w:rFonts w:hint="eastAsia" w:ascii="宋体" w:hAnsi="宋体" w:eastAsia="宋体" w:cs="宋体"/>
      </w:rPr>
    </w:lvl>
    <w:lvl w:ilvl="4" w:tentative="0">
      <w:start w:val="1"/>
      <w:numFmt w:val="decimal"/>
      <w:suff w:val="nothing"/>
      <w:lvlText w:val="%5．"/>
      <w:lvlJc w:val="left"/>
      <w:pPr>
        <w:ind w:left="0" w:firstLine="402"/>
      </w:pPr>
      <w:rPr>
        <w:rFonts w:hint="eastAsia" w:ascii="宋体" w:hAnsi="宋体" w:eastAsia="宋体" w:cs="宋体"/>
      </w:rPr>
    </w:lvl>
    <w:lvl w:ilvl="5" w:tentative="0">
      <w:start w:val="1"/>
      <w:numFmt w:val="decimal"/>
      <w:suff w:val="nothing"/>
      <w:lvlText w:val="（%6）"/>
      <w:lvlJc w:val="left"/>
      <w:pPr>
        <w:ind w:left="0" w:firstLine="402"/>
      </w:pPr>
      <w:rPr>
        <w:rFonts w:hint="eastAsia"/>
      </w:rPr>
    </w:lvl>
    <w:lvl w:ilvl="6" w:tentative="0">
      <w:start w:val="1"/>
      <w:numFmt w:val="decimalEnclosedCircleChinese"/>
      <w:suff w:val="nothing"/>
      <w:lvlText w:val="%7 "/>
      <w:lvlJc w:val="left"/>
      <w:pPr>
        <w:ind w:left="0" w:firstLine="402"/>
      </w:pPr>
      <w:rPr>
        <w:rFonts w:hint="eastAsia"/>
      </w:rPr>
    </w:lvl>
    <w:lvl w:ilvl="7" w:tentative="0">
      <w:start w:val="1"/>
      <w:numFmt w:val="decimal"/>
      <w:suff w:val="nothing"/>
      <w:lvlText w:val="%8）"/>
      <w:lvlJc w:val="left"/>
      <w:pPr>
        <w:ind w:left="0" w:firstLine="402"/>
      </w:pPr>
      <w:rPr>
        <w:rFonts w:hint="eastAsia"/>
      </w:rPr>
    </w:lvl>
    <w:lvl w:ilvl="8" w:tentative="0">
      <w:start w:val="1"/>
      <w:numFmt w:val="lowerLetter"/>
      <w:suff w:val="nothing"/>
      <w:lvlText w:val="%9．"/>
      <w:lvlJc w:val="left"/>
      <w:pPr>
        <w:ind w:left="0" w:firstLine="402"/>
      </w:pPr>
      <w:rPr>
        <w:rFonts w:hint="eastAsia"/>
      </w:rPr>
    </w:lvl>
  </w:abstractNum>
  <w:num w:numId="1">
    <w:abstractNumId w:val="5"/>
  </w:num>
  <w:num w:numId="2">
    <w:abstractNumId w:val="2"/>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TrueTypeFonts/>
  <w:saveSubsetFonts/>
  <w:bordersDoNotSurroundHeader w:val="0"/>
  <w:bordersDoNotSurroundFooter w:val="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U1MDcxNTJmMGE5OWNhM2MyZDVkMTZiNDIxYWMyYjgifQ=="/>
  </w:docVars>
  <w:rsids>
    <w:rsidRoot w:val="00BB0F6F"/>
    <w:rsid w:val="00075B8B"/>
    <w:rsid w:val="00075E05"/>
    <w:rsid w:val="0014699E"/>
    <w:rsid w:val="00173B95"/>
    <w:rsid w:val="001B2BB5"/>
    <w:rsid w:val="001C6927"/>
    <w:rsid w:val="001F5E9A"/>
    <w:rsid w:val="00225313"/>
    <w:rsid w:val="00263843"/>
    <w:rsid w:val="00271141"/>
    <w:rsid w:val="00283F81"/>
    <w:rsid w:val="002B4CB0"/>
    <w:rsid w:val="002C2492"/>
    <w:rsid w:val="002E064D"/>
    <w:rsid w:val="003562AB"/>
    <w:rsid w:val="00381115"/>
    <w:rsid w:val="00453619"/>
    <w:rsid w:val="004E081E"/>
    <w:rsid w:val="005317E9"/>
    <w:rsid w:val="005373D6"/>
    <w:rsid w:val="005A365A"/>
    <w:rsid w:val="005A7C89"/>
    <w:rsid w:val="00650589"/>
    <w:rsid w:val="007712E0"/>
    <w:rsid w:val="0077660D"/>
    <w:rsid w:val="0080218D"/>
    <w:rsid w:val="008121AF"/>
    <w:rsid w:val="00820074"/>
    <w:rsid w:val="00854DF2"/>
    <w:rsid w:val="008778A3"/>
    <w:rsid w:val="00880807"/>
    <w:rsid w:val="0089723C"/>
    <w:rsid w:val="008F7603"/>
    <w:rsid w:val="0093020C"/>
    <w:rsid w:val="00946AAD"/>
    <w:rsid w:val="00960DC9"/>
    <w:rsid w:val="00963AB1"/>
    <w:rsid w:val="00975F1F"/>
    <w:rsid w:val="009A12AF"/>
    <w:rsid w:val="00A10442"/>
    <w:rsid w:val="00A2646F"/>
    <w:rsid w:val="00A70FE9"/>
    <w:rsid w:val="00A95E35"/>
    <w:rsid w:val="00A96BA8"/>
    <w:rsid w:val="00AD4AD6"/>
    <w:rsid w:val="00B2347F"/>
    <w:rsid w:val="00B261FE"/>
    <w:rsid w:val="00B90C8A"/>
    <w:rsid w:val="00BB0F6F"/>
    <w:rsid w:val="00BC5802"/>
    <w:rsid w:val="00BC61AF"/>
    <w:rsid w:val="00BD5DE0"/>
    <w:rsid w:val="00BE34AF"/>
    <w:rsid w:val="00CF0D61"/>
    <w:rsid w:val="00CF3A4D"/>
    <w:rsid w:val="00D07C74"/>
    <w:rsid w:val="00D95F40"/>
    <w:rsid w:val="00DD5F7B"/>
    <w:rsid w:val="00E006DB"/>
    <w:rsid w:val="00E43C60"/>
    <w:rsid w:val="00E566E5"/>
    <w:rsid w:val="00EA459A"/>
    <w:rsid w:val="00ED3B97"/>
    <w:rsid w:val="00EE3EF4"/>
    <w:rsid w:val="00EE6FF6"/>
    <w:rsid w:val="00FA557F"/>
    <w:rsid w:val="01806B0D"/>
    <w:rsid w:val="01D772E7"/>
    <w:rsid w:val="01D9762F"/>
    <w:rsid w:val="02CD5A6F"/>
    <w:rsid w:val="03302C1B"/>
    <w:rsid w:val="03522419"/>
    <w:rsid w:val="035F1D98"/>
    <w:rsid w:val="03F57A66"/>
    <w:rsid w:val="03FA477C"/>
    <w:rsid w:val="04487635"/>
    <w:rsid w:val="04AF6C46"/>
    <w:rsid w:val="05DD246D"/>
    <w:rsid w:val="06063F70"/>
    <w:rsid w:val="060B5125"/>
    <w:rsid w:val="064B0F24"/>
    <w:rsid w:val="07F700FF"/>
    <w:rsid w:val="082150BE"/>
    <w:rsid w:val="08557843"/>
    <w:rsid w:val="09AD2157"/>
    <w:rsid w:val="0A040C77"/>
    <w:rsid w:val="0A5061ED"/>
    <w:rsid w:val="0A74341A"/>
    <w:rsid w:val="0BC8669E"/>
    <w:rsid w:val="0BD6111C"/>
    <w:rsid w:val="0BEE1921"/>
    <w:rsid w:val="0CA43DEC"/>
    <w:rsid w:val="1174390E"/>
    <w:rsid w:val="12236435"/>
    <w:rsid w:val="1319260B"/>
    <w:rsid w:val="14BC1D32"/>
    <w:rsid w:val="14E54E1F"/>
    <w:rsid w:val="151C677A"/>
    <w:rsid w:val="16866C85"/>
    <w:rsid w:val="17BB4AA5"/>
    <w:rsid w:val="17D34E50"/>
    <w:rsid w:val="182061EA"/>
    <w:rsid w:val="18B90B18"/>
    <w:rsid w:val="18E34C4C"/>
    <w:rsid w:val="1A686408"/>
    <w:rsid w:val="1AE71241"/>
    <w:rsid w:val="1B2D5F5D"/>
    <w:rsid w:val="1C890966"/>
    <w:rsid w:val="1CFE11EF"/>
    <w:rsid w:val="1F8D23B7"/>
    <w:rsid w:val="214D03C3"/>
    <w:rsid w:val="219C0FD7"/>
    <w:rsid w:val="21FA118A"/>
    <w:rsid w:val="22FF4F97"/>
    <w:rsid w:val="239E572E"/>
    <w:rsid w:val="24DD1775"/>
    <w:rsid w:val="25B95C47"/>
    <w:rsid w:val="26A429F8"/>
    <w:rsid w:val="274829A5"/>
    <w:rsid w:val="28AC5D15"/>
    <w:rsid w:val="29A70519"/>
    <w:rsid w:val="2AE92DE3"/>
    <w:rsid w:val="2BF950BF"/>
    <w:rsid w:val="2CD21052"/>
    <w:rsid w:val="30114D7F"/>
    <w:rsid w:val="301B768C"/>
    <w:rsid w:val="318B39B5"/>
    <w:rsid w:val="31A03506"/>
    <w:rsid w:val="320320A3"/>
    <w:rsid w:val="330B7D6A"/>
    <w:rsid w:val="3339731A"/>
    <w:rsid w:val="34561A0A"/>
    <w:rsid w:val="359263D2"/>
    <w:rsid w:val="35FC5797"/>
    <w:rsid w:val="364B6F15"/>
    <w:rsid w:val="37D641EB"/>
    <w:rsid w:val="385B51EE"/>
    <w:rsid w:val="3A4456D9"/>
    <w:rsid w:val="3AE813A4"/>
    <w:rsid w:val="3B2D176C"/>
    <w:rsid w:val="3C7E335B"/>
    <w:rsid w:val="3CD64CFC"/>
    <w:rsid w:val="3E0D4A20"/>
    <w:rsid w:val="3E396C3F"/>
    <w:rsid w:val="40173D30"/>
    <w:rsid w:val="411C3143"/>
    <w:rsid w:val="429E0122"/>
    <w:rsid w:val="439A72BB"/>
    <w:rsid w:val="43F36130"/>
    <w:rsid w:val="45EB37A7"/>
    <w:rsid w:val="47727BCE"/>
    <w:rsid w:val="47BC4B5E"/>
    <w:rsid w:val="48474F49"/>
    <w:rsid w:val="48F2193E"/>
    <w:rsid w:val="49EB2294"/>
    <w:rsid w:val="4C592E7C"/>
    <w:rsid w:val="4C6B100D"/>
    <w:rsid w:val="4C781E06"/>
    <w:rsid w:val="4C922882"/>
    <w:rsid w:val="4D322037"/>
    <w:rsid w:val="4E3C79A4"/>
    <w:rsid w:val="4E683E21"/>
    <w:rsid w:val="4EFD443D"/>
    <w:rsid w:val="50691E89"/>
    <w:rsid w:val="520926F2"/>
    <w:rsid w:val="534A673B"/>
    <w:rsid w:val="546D5CA2"/>
    <w:rsid w:val="552A34F4"/>
    <w:rsid w:val="55AE2AAB"/>
    <w:rsid w:val="55E4027B"/>
    <w:rsid w:val="56902031"/>
    <w:rsid w:val="56EC10A5"/>
    <w:rsid w:val="57B679F5"/>
    <w:rsid w:val="5833136E"/>
    <w:rsid w:val="58733302"/>
    <w:rsid w:val="59254D4C"/>
    <w:rsid w:val="5A451CE5"/>
    <w:rsid w:val="5C0C4088"/>
    <w:rsid w:val="5C844566"/>
    <w:rsid w:val="5DEE7F91"/>
    <w:rsid w:val="5E553D67"/>
    <w:rsid w:val="5E654E72"/>
    <w:rsid w:val="5EF44223"/>
    <w:rsid w:val="5F001A68"/>
    <w:rsid w:val="60C855BB"/>
    <w:rsid w:val="618C5327"/>
    <w:rsid w:val="61CE07DC"/>
    <w:rsid w:val="623D15A6"/>
    <w:rsid w:val="636B5B38"/>
    <w:rsid w:val="64243F39"/>
    <w:rsid w:val="64BB6D9B"/>
    <w:rsid w:val="6607227A"/>
    <w:rsid w:val="66253311"/>
    <w:rsid w:val="67011618"/>
    <w:rsid w:val="68907022"/>
    <w:rsid w:val="68EC3434"/>
    <w:rsid w:val="69385333"/>
    <w:rsid w:val="6945721E"/>
    <w:rsid w:val="6B4078AA"/>
    <w:rsid w:val="6C8D2FC3"/>
    <w:rsid w:val="6D275125"/>
    <w:rsid w:val="6E2F0D25"/>
    <w:rsid w:val="6E6C5E96"/>
    <w:rsid w:val="6F002737"/>
    <w:rsid w:val="707A0DD5"/>
    <w:rsid w:val="70AB2B85"/>
    <w:rsid w:val="71ED1BD0"/>
    <w:rsid w:val="749E4EA6"/>
    <w:rsid w:val="74C50E20"/>
    <w:rsid w:val="751302CF"/>
    <w:rsid w:val="75E519E7"/>
    <w:rsid w:val="76C5721B"/>
    <w:rsid w:val="771C566F"/>
    <w:rsid w:val="785C3C59"/>
    <w:rsid w:val="789E0306"/>
    <w:rsid w:val="794C6A35"/>
    <w:rsid w:val="79D55FA9"/>
    <w:rsid w:val="7A2E1C39"/>
    <w:rsid w:val="7AFB4482"/>
    <w:rsid w:val="7B512E8E"/>
    <w:rsid w:val="7B762A49"/>
    <w:rsid w:val="7BF524BD"/>
    <w:rsid w:val="7E3F1F87"/>
    <w:rsid w:val="7F1E6DDB"/>
    <w:rsid w:val="7F5B621B"/>
    <w:rsid w:val="7F7804B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iPriority="99"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880" w:firstLineChars="200"/>
      <w:jc w:val="both"/>
    </w:pPr>
    <w:rPr>
      <w:rFonts w:ascii="Times New Roman" w:hAnsi="Times New Roman" w:eastAsia="仿宋_GB2312" w:cs="Times New Roman"/>
      <w:kern w:val="2"/>
      <w:sz w:val="3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eastAsia="方正小标宋简体"/>
      <w:kern w:val="44"/>
      <w:sz w:val="44"/>
    </w:rPr>
  </w:style>
  <w:style w:type="paragraph" w:styleId="3">
    <w:name w:val="heading 2"/>
    <w:basedOn w:val="1"/>
    <w:next w:val="1"/>
    <w:qFormat/>
    <w:uiPriority w:val="0"/>
    <w:pPr>
      <w:keepNext/>
      <w:keepLines/>
      <w:spacing w:before="260" w:beforeLines="0" w:beforeAutospacing="0" w:after="260" w:afterLines="0" w:afterAutospacing="0" w:line="413" w:lineRule="auto"/>
      <w:jc w:val="center"/>
      <w:outlineLvl w:val="1"/>
    </w:pPr>
    <w:rPr>
      <w:rFonts w:ascii="Arial" w:hAnsi="Arial" w:eastAsia="黑体"/>
    </w:rPr>
  </w:style>
  <w:style w:type="paragraph" w:styleId="4">
    <w:name w:val="heading 3"/>
    <w:basedOn w:val="1"/>
    <w:next w:val="1"/>
    <w:link w:val="18"/>
    <w:qFormat/>
    <w:uiPriority w:val="0"/>
    <w:pPr>
      <w:keepNext/>
      <w:keepLines/>
      <w:spacing w:before="260" w:beforeLines="0" w:beforeAutospacing="0" w:after="260" w:afterLines="0" w:afterAutospacing="0" w:line="413" w:lineRule="auto"/>
      <w:outlineLvl w:val="2"/>
    </w:pPr>
    <w:rPr>
      <w:rFonts w:eastAsia="楷体"/>
    </w:rPr>
  </w:style>
  <w:style w:type="paragraph" w:styleId="5">
    <w:name w:val="heading 4"/>
    <w:basedOn w:val="1"/>
    <w:next w:val="1"/>
    <w:link w:val="19"/>
    <w:qFormat/>
    <w:uiPriority w:val="0"/>
    <w:pPr>
      <w:keepNext/>
      <w:keepLines/>
      <w:spacing w:beforeLines="0" w:beforeAutospacing="0" w:afterLines="0" w:afterAutospacing="0" w:line="240" w:lineRule="auto"/>
      <w:outlineLvl w:val="3"/>
    </w:pPr>
    <w:rPr>
      <w:rFonts w:ascii="Arial" w:hAnsi="Arial" w:eastAsia="楷体"/>
      <w:sz w:val="32"/>
    </w:rPr>
  </w:style>
  <w:style w:type="character" w:default="1" w:styleId="15">
    <w:name w:val="Default Paragraph Font"/>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6">
    <w:name w:val="caption"/>
    <w:basedOn w:val="1"/>
    <w:next w:val="1"/>
    <w:qFormat/>
    <w:uiPriority w:val="0"/>
    <w:pPr>
      <w:spacing w:before="152" w:after="160"/>
    </w:pPr>
    <w:rPr>
      <w:rFonts w:ascii="Arial" w:hAnsi="Arial" w:eastAsia="黑体"/>
    </w:rPr>
  </w:style>
  <w:style w:type="paragraph" w:styleId="7">
    <w:name w:val="Date"/>
    <w:basedOn w:val="1"/>
    <w:next w:val="1"/>
    <w:qFormat/>
    <w:uiPriority w:val="0"/>
    <w:pPr>
      <w:ind w:left="100" w:leftChars="2500"/>
    </w:pPr>
  </w:style>
  <w:style w:type="paragraph" w:styleId="8">
    <w:name w:val="Balloon Text"/>
    <w:basedOn w:val="1"/>
    <w:link w:val="24"/>
    <w:qFormat/>
    <w:uiPriority w:val="0"/>
    <w:rPr>
      <w:sz w:val="18"/>
      <w:szCs w:val="18"/>
    </w:r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rPr>
  </w:style>
  <w:style w:type="paragraph" w:styleId="11">
    <w:name w:val="Body Text 2"/>
    <w:basedOn w:val="1"/>
    <w:unhideWhenUsed/>
    <w:qFormat/>
    <w:uiPriority w:val="99"/>
    <w:pPr>
      <w:spacing w:after="120" w:line="480" w:lineRule="auto"/>
    </w:pPr>
    <w:rPr>
      <w:rFonts w:ascii="Calibri" w:hAnsi="Calibri" w:eastAsia="宋体" w:cs="Times New Roman"/>
    </w:rPr>
  </w:style>
  <w:style w:type="paragraph" w:styleId="12">
    <w:name w:val="Normal (Web)"/>
    <w:basedOn w:val="1"/>
    <w:qFormat/>
    <w:uiPriority w:val="99"/>
    <w:rPr>
      <w:sz w:val="24"/>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page number"/>
    <w:qFormat/>
    <w:uiPriority w:val="0"/>
    <w:rPr>
      <w:rFonts w:ascii="Times New Roman" w:hAnsi="Times New Roman" w:eastAsia="宋体" w:cs="Times New Roman"/>
    </w:rPr>
  </w:style>
  <w:style w:type="paragraph" w:customStyle="1" w:styleId="17">
    <w:name w:val="样式 10 磅"/>
    <w:qFormat/>
    <w:uiPriority w:val="0"/>
    <w:pPr>
      <w:widowControl w:val="0"/>
      <w:jc w:val="both"/>
    </w:pPr>
    <w:rPr>
      <w:rFonts w:ascii="Times New Roman" w:hAnsi="Times New Roman" w:eastAsia="宋体" w:cs="Times New Roman"/>
      <w:kern w:val="2"/>
      <w:sz w:val="21"/>
      <w:szCs w:val="22"/>
      <w:lang w:val="en-US" w:eastAsia="zh-CN" w:bidi="ar-SA"/>
    </w:rPr>
  </w:style>
  <w:style w:type="character" w:customStyle="1" w:styleId="18">
    <w:name w:val="标题 3 Char"/>
    <w:link w:val="4"/>
    <w:qFormat/>
    <w:uiPriority w:val="0"/>
    <w:rPr>
      <w:rFonts w:eastAsia="楷体"/>
      <w:sz w:val="32"/>
    </w:rPr>
  </w:style>
  <w:style w:type="character" w:customStyle="1" w:styleId="19">
    <w:name w:val="标题 4 Char"/>
    <w:link w:val="5"/>
    <w:qFormat/>
    <w:uiPriority w:val="0"/>
    <w:rPr>
      <w:rFonts w:ascii="Arial" w:hAnsi="Arial" w:eastAsia="楷体"/>
      <w:sz w:val="32"/>
    </w:rPr>
  </w:style>
  <w:style w:type="paragraph" w:customStyle="1" w:styleId="20">
    <w:name w:val="表格"/>
    <w:basedOn w:val="1"/>
    <w:qFormat/>
    <w:uiPriority w:val="0"/>
    <w:pPr>
      <w:adjustRightInd w:val="0"/>
      <w:snapToGrid w:val="0"/>
      <w:spacing w:line="460" w:lineRule="exact"/>
      <w:jc w:val="center"/>
    </w:pPr>
    <w:rPr>
      <w:rFonts w:eastAsia="仿宋_GB2312"/>
      <w:bCs/>
      <w:sz w:val="24"/>
    </w:rPr>
  </w:style>
  <w:style w:type="paragraph" w:styleId="21">
    <w:name w:val="List Paragraph"/>
    <w:basedOn w:val="1"/>
    <w:qFormat/>
    <w:uiPriority w:val="0"/>
    <w:pPr>
      <w:ind w:firstLine="420" w:firstLineChars="200"/>
    </w:pPr>
    <w:rPr>
      <w:rFonts w:eastAsia="宋体"/>
      <w:sz w:val="21"/>
      <w:szCs w:val="22"/>
    </w:rPr>
  </w:style>
  <w:style w:type="paragraph" w:customStyle="1" w:styleId="22">
    <w:name w:val="p0"/>
    <w:basedOn w:val="1"/>
    <w:qFormat/>
    <w:uiPriority w:val="0"/>
    <w:pPr>
      <w:widowControl/>
    </w:pPr>
    <w:rPr>
      <w:rFonts w:eastAsia="宋体" w:cs="宋体"/>
      <w:kern w:val="0"/>
      <w:sz w:val="21"/>
      <w:szCs w:val="21"/>
    </w:rPr>
  </w:style>
  <w:style w:type="character" w:customStyle="1" w:styleId="23">
    <w:name w:val="fontstyle01"/>
    <w:qFormat/>
    <w:uiPriority w:val="0"/>
    <w:rPr>
      <w:rFonts w:hint="eastAsia" w:ascii="仿宋_GB2312" w:hAnsi="Times New Roman" w:eastAsia="仿宋_GB2312" w:cs="Times New Roman"/>
      <w:color w:val="000000"/>
      <w:sz w:val="32"/>
      <w:szCs w:val="32"/>
    </w:rPr>
  </w:style>
  <w:style w:type="character" w:customStyle="1" w:styleId="24">
    <w:name w:val="批注框文本 Char"/>
    <w:link w:val="8"/>
    <w:qFormat/>
    <w:uiPriority w:val="0"/>
    <w:rPr>
      <w:rFonts w:eastAsia="仿宋_GB2312"/>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23616;&#25991;.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局文</Template>
  <Pages>32</Pages>
  <Words>4205</Words>
  <Characters>4235</Characters>
  <Lines>90</Lines>
  <Paragraphs>25</Paragraphs>
  <TotalTime>58</TotalTime>
  <ScaleCrop>false</ScaleCrop>
  <LinksUpToDate>false</LinksUpToDate>
  <CharactersWithSpaces>4305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2022-09-22T12:34:00Z</dcterms:created>
  <dc:creator>Administrator</dc:creator>
  <cp:lastModifiedBy>许泽鑫</cp:lastModifiedBy>
  <cp:lastPrinted>2023-08-12T05:46:00Z</cp:lastPrinted>
  <dcterms:modified xsi:type="dcterms:W3CDTF">2025-12-01T09:28:26Z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A720E0458B7947FCB80484DFE2EED3E7_13</vt:lpwstr>
  </property>
  <property fmtid="{D5CDD505-2E9C-101B-9397-08002B2CF9AE}" pid="4" name="KSOTemplateDocerSaveRecord">
    <vt:lpwstr>eyJoZGlkIjoiZDE3Njg1ZDRiNTkyZDNiNTBhY2EyZWU3YTg5MGYxNGEiLCJ1c2VySWQiOiI0MDMwOTA3NzcifQ==</vt:lpwstr>
  </property>
</Properties>
</file>