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pacing w:val="28"/>
          <w:sz w:val="40"/>
        </w:rPr>
      </w:pPr>
      <w:r>
        <mc:AlternateContent>
          <mc:Choice Requires="wps">
            <w:drawing>
              <wp:anchor behindDoc="0" distT="0" distB="0" distL="114935" distR="114935" simplePos="0" locked="0" layoutInCell="0" allowOverlap="1" relativeHeight="2">
                <wp:simplePos x="0" y="0"/>
                <wp:positionH relativeFrom="column">
                  <wp:posOffset>5074920</wp:posOffset>
                </wp:positionH>
                <wp:positionV relativeFrom="paragraph">
                  <wp:posOffset>-528955</wp:posOffset>
                </wp:positionV>
                <wp:extent cx="666750" cy="638175"/>
                <wp:effectExtent l="1905" t="1905" r="2540" b="2540"/>
                <wp:wrapNone/>
                <wp:docPr id="1" name=""/>
                <a:graphic xmlns:a="http://schemas.openxmlformats.org/drawingml/2006/main">
                  <a:graphicData uri="http://schemas.microsoft.com/office/word/2010/wordprocessingShape">
                    <wps:wsp>
                      <wps:cNvSpPr/>
                      <wps:spPr>
                        <a:xfrm>
                          <a:off x="0" y="0"/>
                          <a:ext cx="666720" cy="638280"/>
                        </a:xfrm>
                        <a:prstGeom prst="ellipse">
                          <a:avLst/>
                        </a:prstGeom>
                        <a:noFill/>
                        <a:ln cap="rnd" w="3240">
                          <a:solidFill>
                            <a:srgbClr val="000000"/>
                          </a:solidFill>
                          <a:custDash>
                            <a:ds d="100000" sp="1000"/>
                          </a:custDash>
                          <a:miter/>
                        </a:ln>
                      </wps:spPr>
                      <wps:style>
                        <a:lnRef idx="0"/>
                        <a:fillRef idx="0"/>
                        <a:effectRef idx="0"/>
                        <a:fontRef idx="minor"/>
                      </wps:style>
                      <wps:bodyPr/>
                    </wps:wsp>
                  </a:graphicData>
                </a:graphic>
              </wp:anchor>
            </w:drawing>
          </mc:Choice>
          <mc:Fallback>
            <w:pict>
              <v:oval id="shape_0" stroked="t" o:allowincell="f" style="position:absolute;margin-left:399.6pt;margin-top:-41.65pt;width:52.45pt;height:50.2pt;mso-wrap-style:none;v-text-anchor:middle">
                <v:fill o:detectmouseclick="t" on="false"/>
                <v:stroke color="black" weight="3240" dashstyle="shortdot" joinstyle="miter" endcap="round"/>
                <w10:wrap type="none"/>
              </v:oval>
            </w:pict>
          </mc:Fallback>
        </mc:AlternateContent>
      </w:r>
      <w:r>
        <w:rPr>
          <w:spacing w:val="28"/>
          <w:sz w:val="40"/>
        </w:rPr>
        <w:t>誓</w:t>
      </w:r>
      <w:r>
        <w:rPr>
          <w:rFonts w:cs="Century" w:eastAsia="Century"/>
          <w:spacing w:val="28"/>
          <w:sz w:val="40"/>
        </w:rPr>
        <w:t xml:space="preserve"> </w:t>
      </w:r>
      <w:r>
        <w:rPr>
          <w:spacing w:val="28"/>
          <w:sz w:val="40"/>
        </w:rPr>
        <w:t>　約　</w:t>
      </w:r>
      <w:r>
        <w:rPr>
          <w:rFonts w:cs="Century" w:eastAsia="Century"/>
          <w:spacing w:val="28"/>
          <w:sz w:val="40"/>
        </w:rPr>
        <w:t xml:space="preserve"> </w:t>
      </w:r>
      <w:r>
        <w:rPr>
          <w:spacing w:val="28"/>
          <w:sz w:val="40"/>
        </w:rPr>
        <w:t>書</w:t>
      </w:r>
    </w:p>
    <w:p>
      <w:pPr>
        <w:pStyle w:val="TextBody"/>
        <w:spacing w:lineRule="auto" w:line="240"/>
        <w:rPr>
          <w:spacing w:val="28"/>
          <w:sz w:val="40"/>
        </w:rPr>
      </w:pPr>
      <w:r>
        <w:rPr>
          <w:spacing w:val="28"/>
          <w:sz w:val="40"/>
        </w:rPr>
      </w:r>
    </w:p>
    <w:p>
      <w:pPr>
        <w:pStyle w:val="TextBody"/>
        <w:spacing w:lineRule="auto" w:line="240"/>
        <w:rPr/>
      </w:pPr>
      <w:r>
        <w:rPr/>
      </w:r>
    </w:p>
    <w:p>
      <w:pPr>
        <w:pStyle w:val="TextBody"/>
        <w:spacing w:lineRule="auto" w:line="240"/>
        <w:rPr/>
      </w:pPr>
      <w:r>
        <w:rPr/>
        <w:t>　令和　　年　　月　　日付けで提出しました農地転用等の通知に対し、貴土地改良区地区除外等処理規程第３条により協議を受けました下記事項を、承諾し履行することを誓約します。</w:t>
      </w:r>
    </w:p>
    <w:p>
      <w:pPr>
        <w:pStyle w:val="Normal"/>
        <w:rPr>
          <w:sz w:val="24"/>
        </w:rPr>
      </w:pPr>
      <w:r>
        <w:rPr>
          <w:sz w:val="24"/>
        </w:rPr>
      </w:r>
    </w:p>
    <w:p>
      <w:pPr>
        <w:pStyle w:val="Style17"/>
        <w:rPr/>
      </w:pPr>
      <w:r>
        <w:rPr/>
        <w:t>記</w:t>
      </w:r>
    </w:p>
    <w:p>
      <w:pPr>
        <w:pStyle w:val="Normal"/>
        <w:rPr/>
      </w:pPr>
      <w:r>
        <w:rPr/>
      </w:r>
    </w:p>
    <w:p>
      <w:pPr>
        <w:pStyle w:val="Normal"/>
        <w:ind w:left="220" w:hanging="220"/>
        <w:rPr>
          <w:sz w:val="22"/>
        </w:rPr>
      </w:pPr>
      <w:r>
        <w:rPr>
          <w:sz w:val="22"/>
        </w:rPr>
        <w:t>１．転用土地内に現に有する農業用施設の改廃が豊川総合用水土地改良区の管理する施設の効用に影響を及ぼす場合はその補償工事の施行及び経費の負担をすること。</w:t>
      </w:r>
    </w:p>
    <w:p>
      <w:pPr>
        <w:pStyle w:val="Normal"/>
        <w:rPr>
          <w:sz w:val="22"/>
        </w:rPr>
      </w:pPr>
      <w:r>
        <w:rPr>
          <w:sz w:val="22"/>
        </w:rPr>
      </w:r>
    </w:p>
    <w:p>
      <w:pPr>
        <w:pStyle w:val="Normal"/>
        <w:ind w:left="220" w:hanging="220"/>
        <w:rPr>
          <w:sz w:val="22"/>
        </w:rPr>
      </w:pPr>
      <w:r>
        <w:rPr>
          <w:sz w:val="22"/>
        </w:rPr>
        <w:t>２．豊川総合用水土地改良区が現に施行し又は施行予定の土地改良事業に対し協力すること。</w:t>
      </w:r>
    </w:p>
    <w:p>
      <w:pPr>
        <w:pStyle w:val="Normal"/>
        <w:rPr>
          <w:sz w:val="22"/>
        </w:rPr>
      </w:pPr>
      <w:r>
        <w:rPr>
          <w:sz w:val="22"/>
        </w:rPr>
      </w:r>
    </w:p>
    <w:p>
      <w:pPr>
        <w:pStyle w:val="Normal"/>
        <w:ind w:left="220" w:hanging="220"/>
        <w:rPr>
          <w:sz w:val="22"/>
        </w:rPr>
      </w:pPr>
      <w:r>
        <w:rPr>
          <w:sz w:val="22"/>
        </w:rPr>
        <w:t>３．転用地の所有権又は賃借権を、第三者に譲渡する場合は、本誓約の履行を妨げないため予め貴土地改良区の指示を受けます。</w:t>
      </w:r>
    </w:p>
    <w:p>
      <w:pPr>
        <w:pStyle w:val="Normal"/>
        <w:rPr>
          <w:sz w:val="22"/>
        </w:rPr>
      </w:pPr>
      <w:r>
        <w:rPr>
          <w:sz w:val="22"/>
        </w:rPr>
      </w:r>
    </w:p>
    <w:p>
      <w:pPr>
        <w:pStyle w:val="Normal"/>
        <w:ind w:left="220" w:hanging="220"/>
        <w:rPr>
          <w:sz w:val="22"/>
        </w:rPr>
      </w:pPr>
      <w:r>
        <w:rPr>
          <w:sz w:val="22"/>
        </w:rPr>
        <w:t>４．その他豊川総合用水土地改良区の事業運営に支障なきよう留意し、貴土地改良区の指示事項を遵守すること。</w:t>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pPr>
      <w:r>
        <w:rPr>
          <w:sz w:val="22"/>
        </w:rPr>
        <w:t>　　令和　　年　　月　　日</w:t>
      </w:r>
    </w:p>
    <w:p>
      <w:pPr>
        <w:pStyle w:val="Normal"/>
        <w:rPr>
          <w:sz w:val="22"/>
        </w:rPr>
      </w:pPr>
      <w:r>
        <w:rPr>
          <w:sz w:val="22"/>
        </w:rPr>
      </w:r>
    </w:p>
    <w:p>
      <w:pPr>
        <w:pStyle w:val="Normal"/>
        <w:ind w:firstLine="3960"/>
        <w:rPr>
          <w:sz w:val="22"/>
        </w:rPr>
      </w:pPr>
      <w:r>
        <w:rPr>
          <w:sz w:val="22"/>
        </w:rPr>
        <w:t>住所</w:t>
      </w:r>
    </w:p>
    <w:p>
      <w:pPr>
        <w:pStyle w:val="Normal"/>
        <w:rPr>
          <w:sz w:val="22"/>
        </w:rPr>
      </w:pPr>
      <w:r>
        <mc:AlternateContent>
          <mc:Choice Requires="wps">
            <w:drawing>
              <wp:anchor behindDoc="0" distT="0" distB="0" distL="114935" distR="114935" simplePos="0" locked="0" layoutInCell="0" allowOverlap="1" relativeHeight="3">
                <wp:simplePos x="0" y="0"/>
                <wp:positionH relativeFrom="column">
                  <wp:posOffset>4520565</wp:posOffset>
                </wp:positionH>
                <wp:positionV relativeFrom="paragraph">
                  <wp:posOffset>47625</wp:posOffset>
                </wp:positionV>
                <wp:extent cx="666750" cy="638175"/>
                <wp:effectExtent l="1905" t="2540" r="2540" b="1905"/>
                <wp:wrapNone/>
                <wp:docPr id="2" name=""/>
                <a:graphic xmlns:a="http://schemas.openxmlformats.org/drawingml/2006/main">
                  <a:graphicData uri="http://schemas.microsoft.com/office/word/2010/wordprocessingShape">
                    <wps:wsp>
                      <wps:cNvSpPr/>
                      <wps:spPr>
                        <a:xfrm>
                          <a:off x="0" y="0"/>
                          <a:ext cx="666720" cy="638280"/>
                        </a:xfrm>
                        <a:prstGeom prst="ellipse">
                          <a:avLst/>
                        </a:prstGeom>
                        <a:noFill/>
                        <a:ln cap="rnd" w="3240">
                          <a:solidFill>
                            <a:srgbClr val="000000"/>
                          </a:solidFill>
                          <a:custDash>
                            <a:ds d="100000" sp="1000"/>
                          </a:custDash>
                          <a:miter/>
                        </a:ln>
                      </wps:spPr>
                      <wps:style>
                        <a:lnRef idx="0"/>
                        <a:fillRef idx="0"/>
                        <a:effectRef idx="0"/>
                        <a:fontRef idx="minor"/>
                      </wps:style>
                      <wps:bodyPr/>
                    </wps:wsp>
                  </a:graphicData>
                </a:graphic>
              </wp:anchor>
            </w:drawing>
          </mc:Choice>
          <mc:Fallback>
            <w:pict>
              <v:oval id="shape_0" stroked="t" o:allowincell="f" style="position:absolute;margin-left:355.95pt;margin-top:3.75pt;width:52.45pt;height:50.2pt;mso-wrap-style:none;v-text-anchor:middle">
                <v:fill o:detectmouseclick="t" on="false"/>
                <v:stroke color="black" weight="3240" dashstyle="shortdot" joinstyle="miter" endcap="round"/>
                <w10:wrap type="none"/>
              </v:oval>
            </w:pict>
          </mc:Fallback>
        </mc:AlternateContent>
      </w:r>
      <w:r>
        <w:rPr>
          <w:sz w:val="22"/>
        </w:rPr>
        <w:tab/>
        <w:tab/>
      </w:r>
      <w:r>
        <w:rPr>
          <w:sz w:val="22"/>
        </w:rPr>
        <w:t>　</w:t>
      </w:r>
      <w:r>
        <w:rPr>
          <w:sz w:val="22"/>
        </w:rPr>
        <w:tab/>
      </w:r>
      <w:r>
        <w:rPr>
          <w:sz w:val="22"/>
        </w:rPr>
        <w:t>　転用関係者</w:t>
      </w:r>
    </w:p>
    <w:p>
      <w:pPr>
        <w:pStyle w:val="Normal"/>
        <w:ind w:firstLine="3960"/>
        <w:rPr>
          <w:sz w:val="22"/>
        </w:rPr>
      </w:pPr>
      <w:r>
        <w:rPr>
          <w:sz w:val="22"/>
        </w:rPr>
        <w:t>氏名</w:t>
      </w:r>
      <w:r>
        <w:rPr>
          <w:sz w:val="22"/>
        </w:rPr>
        <w:tab/>
        <w:tab/>
        <w:tab/>
        <w:tab/>
      </w:r>
      <w:r>
        <w:rPr>
          <w:sz w:val="22"/>
        </w:rPr>
        <w:t>㊞</w:t>
      </w:r>
    </w:p>
    <w:p>
      <w:pPr>
        <w:pStyle w:val="Normal"/>
        <w:rPr>
          <w:sz w:val="22"/>
        </w:rPr>
      </w:pPr>
      <w:r>
        <w:rPr>
          <w:sz w:val="22"/>
        </w:rPr>
      </w:r>
    </w:p>
    <w:p>
      <w:pPr>
        <w:pStyle w:val="Normal"/>
        <w:rPr>
          <w:sz w:val="24"/>
        </w:rPr>
      </w:pPr>
      <w:r>
        <w:rPr>
          <w:sz w:val="24"/>
        </w:rPr>
        <w:tab/>
      </w:r>
      <w:r>
        <w:rPr>
          <w:sz w:val="24"/>
        </w:rPr>
        <w:t>　</w:t>
      </w:r>
    </w:p>
    <w:p>
      <w:pPr>
        <w:pStyle w:val="Normal"/>
        <w:rPr>
          <w:sz w:val="24"/>
        </w:rPr>
      </w:pPr>
      <w:r>
        <w:rPr>
          <w:sz w:val="24"/>
        </w:rPr>
      </w:r>
    </w:p>
    <w:p>
      <w:pPr>
        <w:pStyle w:val="Normal"/>
        <w:ind w:firstLine="520"/>
        <w:rPr>
          <w:spacing w:val="10"/>
          <w:sz w:val="24"/>
        </w:rPr>
      </w:pPr>
      <w:r>
        <w:rPr>
          <w:spacing w:val="10"/>
          <w:sz w:val="24"/>
        </w:rPr>
        <w:t>豊川総合用水土地改良区理事長　殿</w:t>
      </w:r>
    </w:p>
    <w:p>
      <w:pPr>
        <w:pStyle w:val="Normal"/>
        <w:rPr>
          <w:spacing w:val="10"/>
          <w:sz w:val="24"/>
        </w:rPr>
      </w:pPr>
      <w:r>
        <w:rPr>
          <w:spacing w:val="10"/>
          <w:sz w:val="24"/>
        </w:rPr>
      </w:r>
    </w:p>
    <w:sectPr>
      <w:type w:val="nextPage"/>
      <w:pgSz w:w="11906" w:h="16838"/>
      <w:pgMar w:left="1701" w:right="1701" w:gutter="0" w:header="0" w:top="1418" w:footer="0" w:bottom="1418"/>
      <w:pgNumType w:fmt="decimal"/>
      <w:formProt w:val="false"/>
      <w:textDirection w:val="lrTb"/>
      <w:docGrid w:type="lines"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entury">
    <w:charset w:val="00"/>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84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entury" w:hAnsi="Century" w:eastAsia="ＭＳ 明朝;MS Mincho" w:cs="Times New Roman"/>
      <w:color w:val="auto"/>
      <w:kern w:val="2"/>
      <w:sz w:val="21"/>
      <w:szCs w:val="24"/>
      <w:lang w:val="en-US" w:eastAsia="ja-JP" w:bidi="ar-SA"/>
    </w:rPr>
  </w:style>
  <w:style w:type="character" w:styleId="Style14">
    <w:name w:val="段落フォント"/>
    <w:qFormat/>
    <w:rPr/>
  </w:style>
  <w:style w:type="character" w:styleId="Style15">
    <w:name w:val="ヘッダー (文字)"/>
    <w:qFormat/>
    <w:rPr>
      <w:kern w:val="2"/>
      <w:sz w:val="21"/>
      <w:szCs w:val="24"/>
    </w:rPr>
  </w:style>
  <w:style w:type="character" w:styleId="Style16">
    <w:name w:val="フッター (文字)"/>
    <w:qFormat/>
    <w:rPr>
      <w:kern w:val="2"/>
      <w:sz w:val="21"/>
      <w:szCs w:val="24"/>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360"/>
      <w:ind w:right="-283" w:hanging="0"/>
    </w:pPr>
    <w:rPr>
      <w:sz w:val="24"/>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Style17">
    <w:name w:val="記"/>
    <w:basedOn w:val="Normal"/>
    <w:next w:val="Normal"/>
    <w:qFormat/>
    <w:pPr>
      <w:jc w:val="center"/>
    </w:pPr>
    <w:rPr>
      <w:sz w:val="24"/>
    </w:rPr>
  </w:style>
  <w:style w:type="paragraph" w:styleId="Style18">
    <w:name w:val="結語"/>
    <w:basedOn w:val="Normal"/>
    <w:qFormat/>
    <w:pPr>
      <w:jc w:val="right"/>
    </w:pPr>
    <w:rPr>
      <w:sz w:val="24"/>
    </w:rPr>
  </w:style>
  <w:style w:type="paragraph" w:styleId="TextBodyIndent">
    <w:name w:val="Body Text Indent"/>
    <w:basedOn w:val="Normal"/>
    <w:pPr>
      <w:ind w:left="220" w:hanging="220"/>
    </w:pPr>
    <w:rPr>
      <w:sz w:val="22"/>
    </w:rPr>
  </w:style>
  <w:style w:type="paragraph" w:styleId="HeaderandFooter">
    <w:name w:val="Header and Footer"/>
    <w:basedOn w:val="Normal"/>
    <w:qFormat/>
    <w:pPr>
      <w:suppressLineNumbers/>
      <w:tabs>
        <w:tab w:val="clear" w:pos="840"/>
        <w:tab w:val="center" w:pos="4819" w:leader="none"/>
        <w:tab w:val="right" w:pos="9638" w:leader="none"/>
      </w:tabs>
    </w:pPr>
    <w:rPr/>
  </w:style>
  <w:style w:type="paragraph" w:styleId="Header">
    <w:name w:val="Header"/>
    <w:basedOn w:val="Normal"/>
    <w:pPr>
      <w:tabs>
        <w:tab w:val="clear" w:pos="840"/>
        <w:tab w:val="center" w:pos="4252" w:leader="none"/>
        <w:tab w:val="right" w:pos="8504" w:leader="none"/>
      </w:tabs>
      <w:snapToGrid w:val="false"/>
    </w:pPr>
    <w:rPr/>
  </w:style>
  <w:style w:type="paragraph" w:styleId="Footer">
    <w:name w:val="Footer"/>
    <w:basedOn w:val="Normal"/>
    <w:pPr>
      <w:tabs>
        <w:tab w:val="clear" w:pos="840"/>
        <w:tab w:val="center" w:pos="4252" w:leader="none"/>
        <w:tab w:val="right" w:pos="8504" w:leader="none"/>
      </w:tabs>
      <w:snapToGrid w:val="fals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19</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2008-06-10T04:45:00Z</dcterms:created>
  <dc:creator>METRA_13</dc:creator>
  <dc:description/>
  <cp:keywords/>
  <dc:language>en-US</dc:language>
  <cp:lastModifiedBy>C-15</cp:lastModifiedBy>
  <cp:lastPrinted>2008-06-11T08:46:00Z</cp:lastPrinted>
  <dcterms:modified xsi:type="dcterms:W3CDTF">2022-02-10T01:50:00Z</dcterms:modified>
  <cp:revision>12</cp:revision>
  <dc:subject/>
  <dc:title>農地転用等の通知及び意見書交付願</dc:title>
</cp:coreProperties>
</file>