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63.png" ContentType="image/png"/>
  <Override PartName="/word/media/rId81.png" ContentType="image/png"/>
  <Override PartName="/word/media/rId186.png" ContentType="image/png"/>
  <Override PartName="/word/media/rId191.png" ContentType="image/png"/>
  <Override PartName="/word/media/rId49.png" ContentType="image/png"/>
  <Override PartName="/word/media/rId26.png" ContentType="image/png"/>
  <Override PartName="/word/media/rId32.png" ContentType="image/png"/>
  <Override PartName="/word/media/rId196.png" ContentType="image/png"/>
  <Override PartName="/word/media/rId201.png" ContentType="image/png"/>
  <Override PartName="/word/media/rId54.png" ContentType="image/png"/>
  <Override PartName="/word/media/rId38.png" ContentType="image/png"/>
  <Override PartName="/word/media/rId106.png" ContentType="image/png"/>
  <Override PartName="/word/media/rId180.png" ContentType="image/png"/>
  <Override PartName="/word/media/rId88.png" ContentType="image/png"/>
  <Override PartName="/word/media/rId112.png" ContentType="image/png"/>
  <Override PartName="/word/media/rId98.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2026-07-06</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22"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19"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We need a citation for the Uncertainty of Outcome Hypothesis</w:t>
            </w:r>
          </w:p>
          <w:p/>
        </w:tc>
      </w:tr>
    </w:tbl>
    <w:p>
      <w:pPr>
        <w:pStyle w:val="BodyText"/>
      </w:pPr>
      <w:r>
        <w:t xml:space="preserve">Coates et al. (2014)</w:t>
      </w:r>
      <w:r>
        <w:t xml:space="preserve"> </w:t>
      </w:r>
      <w:r>
        <w:t xml:space="preserve">use more recent behavioral economics models to suggest that people evaluate gains and losses relative to a reference point and tend to dislike losses more than they like equivalent wins.</w:t>
      </w:r>
      <w:r>
        <w:t xml:space="preserve"> </w:t>
      </w:r>
      <w:r>
        <w:t xml:space="preserve">They argue that applying this idea of loss aversion may better explain why fans choose to go to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Let’s say more about expected utility and non-linearity</w:t>
            </w:r>
          </w:p>
          <w:p/>
        </w:tc>
      </w:tr>
    </w:tbl>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Studies of attendance and winning percentage often consider the latter as causing the former.</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w:t>
      </w:r>
      <w:r>
        <w:t xml:space="preserve"> </w:t>
      </w:r>
      <w:r>
        <w:t xml:space="preserve">The study did not establish causation both ways.</w:t>
      </w:r>
      <w:r>
        <w:t xml:space="preserve"> </w:t>
      </w:r>
      <w:r>
        <w:t xml:space="preserve">Lemke et al. (2010)</w:t>
      </w:r>
      <w:r>
        <w:t xml:space="preserve"> </w:t>
      </w:r>
      <w:r>
        <w:t xml:space="preserve">found attendance increases as home team win probability increases.</w:t>
      </w:r>
      <w:r>
        <w:t xml:space="preserve"> </w:t>
      </w:r>
      <w:r>
        <w:t xml:space="preserve">There is evidence that causation may run from attendance to winning percentage, but the bulk of the literature has found the other 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pPr>
            <w:r>
              <w:t xml:space="preserve">What evidence? We should cite something if there is evidence.</w:t>
            </w:r>
          </w:p>
          <w:p>
            <w:pPr>
              <w:pStyle w:val="BodyText"/>
            </w:pPr>
            <w:pPr>
              <w:spacing w:after="16"/>
            </w:pPr>
            <w:r>
              <w:t xml:space="preserve">Also, really? Attedance causes winning percentage to rise???</w:t>
            </w:r>
          </w:p>
          <w:p/>
        </w:tc>
      </w:tr>
    </w:tbl>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What revenue models??</w:t>
            </w:r>
          </w:p>
          <w:p/>
        </w:tc>
      </w:tr>
    </w:tbl>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is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19"/>
    <w:bookmarkStart w:id="20"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They do not control for the growth in population over the period 1955-2006.</w:t>
      </w:r>
      <w:r>
        <w:t xml:space="preserve"> </w:t>
      </w:r>
      <w:r>
        <w:t xml:space="preserve">This comparison suggests that the current disparity in attendance between the women’s and men’s league should not be interpreted simply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among others.</w:t>
      </w:r>
    </w:p>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20"/>
    <w:bookmarkStart w:id="21"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21"/>
    <w:bookmarkEnd w:id="22"/>
    <w:bookmarkStart w:id="46" w:name="sec-data"/>
    <w:p>
      <w:pPr>
        <w:pStyle w:val="Heading2"/>
      </w:pPr>
      <w:r>
        <w:t xml:space="preserve">2 Data</w:t>
      </w:r>
    </w:p>
    <w:bookmarkStart w:id="25"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(Zimmerman 2026)</w:t>
      </w:r>
      <w:r>
        <w:t xml:space="preserve">, an online repository for women’s basketball data that collects attendance numbers directly from the league’s records</w:t>
      </w:r>
      <w:r>
        <w:rPr>
          <w:rStyle w:val="FootnoteReference"/>
        </w:rPr>
        <w:footnoteReference w:id="23"/>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For example, 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2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2018-07-18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2024-06-04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2006-08-13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2015-06-11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2008-06-03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2000-07-10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AmericanAirlines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2025-08-05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2018-08-18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Start w:id="31"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 Agha and Berri 2023 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by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player with less celebrity, Wilson’s effect on attendance relative to Clark’s provides additional benchmarking possibilities.</w:t>
      </w:r>
    </w:p>
    <w:bookmarkStart w:id="30" w:name="cell-fig-boxplots"/>
    <w:tbl>
      <w:tblPr>
        <w:tblStyle w:val="Table"/>
        <w:tblW w:type="pct" w:w="5000"/>
        <w:tblLayout w:type="fixed"/>
        <w:tblLook w:firstRow="0" w:lastRow="0" w:firstColumn="0" w:lastColumn="0" w:noHBand="0" w:noVBand="0" w:val="0000"/>
      </w:tblPr>
      <w:tblGrid>
        <w:gridCol w:w="7920"/>
      </w:tblGrid>
      <w:tr>
        <w:tc>
          <w:tcPr/>
          <w:bookmarkStart w:id="29" w:name="fig-boxplots"/>
          <w:p>
            <w:pPr>
              <w:pStyle w:val="Compact"/>
              <w:jc w:val="center"/>
            </w:pPr>
            <w:r>
              <w:drawing>
                <wp:inline>
                  <wp:extent cx="4620126" cy="3696101"/>
                  <wp:effectExtent b="0" l="0" r="0" t="0"/>
                  <wp:docPr descr="" title="" id="27" name="Picture"/>
                  <a:graphic>
                    <a:graphicData uri="http://schemas.openxmlformats.org/drawingml/2006/picture">
                      <pic:pic>
                        <pic:nvPicPr>
                          <pic:cNvPr descr="index_files/figure-docx/fig-boxplots-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2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End w:id="31"/>
    <w:bookmarkStart w:id="37" w:name="arena-capacity"/>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36" w:name="cell-fig-boxplots-capacity"/>
    <w:tbl>
      <w:tblPr>
        <w:tblStyle w:val="Table"/>
        <w:tblW w:type="pct" w:w="5000"/>
        <w:tblLayout w:type="fixed"/>
        <w:tblLook w:firstRow="0" w:lastRow="0" w:firstColumn="0" w:lastColumn="0" w:noHBand="0" w:noVBand="0" w:val="0000"/>
      </w:tblPr>
      <w:tblGrid>
        <w:gridCol w:w="7920"/>
      </w:tblGrid>
      <w:tr>
        <w:tc>
          <w:tcPr/>
          <w:bookmarkStart w:id="35" w:name="fig-boxplots-capacity"/>
          <w:p>
            <w:pPr>
              <w:pStyle w:val="Compact"/>
              <w:jc w:val="center"/>
            </w:pPr>
            <w:r>
              <w:drawing>
                <wp:inline>
                  <wp:extent cx="4620126" cy="3696101"/>
                  <wp:effectExtent b="0" l="0" r="0" t="0"/>
                  <wp:docPr descr="" title="" id="33" name="Picture"/>
                  <a:graphic>
                    <a:graphicData uri="http://schemas.openxmlformats.org/drawingml/2006/picture">
                      <pic:pic>
                        <pic:nvPicPr>
                          <pic:cNvPr descr="index_files/figure-docx/fig-boxplots-capacity-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bookmarkEnd w:id="37"/>
    <w:bookmarkStart w:id="43"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42" w:name="cell-fig-elo"/>
    <w:tbl>
      <w:tblPr>
        <w:tblStyle w:val="Table"/>
        <w:tblW w:type="pct" w:w="5000"/>
        <w:tblLayout w:type="fixed"/>
        <w:tblLook w:firstRow="0" w:lastRow="0" w:firstColumn="0" w:lastColumn="0" w:noHBand="0" w:noVBand="0" w:val="0000"/>
      </w:tblPr>
      <w:tblGrid>
        <w:gridCol w:w="7920"/>
      </w:tblGrid>
      <w:tr>
        <w:tc>
          <w:tcPr/>
          <w:bookmarkStart w:id="41" w:name="fig-elo"/>
          <w:p>
            <w:pPr>
              <w:pStyle w:val="Compact"/>
              <w:jc w:val="center"/>
            </w:pPr>
            <w:r>
              <w:drawing>
                <wp:inline>
                  <wp:extent cx="4620126" cy="3696101"/>
                  <wp:effectExtent b="0" l="0" r="0" t="0"/>
                  <wp:docPr descr="" title="" id="39" name="Picture"/>
                  <a:graphic>
                    <a:graphicData uri="http://schemas.openxmlformats.org/drawingml/2006/picture">
                      <pic:pic>
                        <pic:nvPicPr>
                          <pic:cNvPr descr="index_files/figure-docx/fig-elo-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4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2"/>
    <w:bookmarkEnd w:id="43"/>
    <w:bookmarkStart w:id="45"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77" w:name="methods"/>
    <w:p>
      <w:pPr>
        <w:pStyle w:val="Heading2"/>
      </w:pPr>
      <w:r>
        <w:t xml:space="preserve">3 Methods</w:t>
      </w:r>
    </w:p>
    <w:bookmarkStart w:id="60"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 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How does this compare to Coates, et al?</w:t>
            </w:r>
          </w:p>
          <w:p/>
        </w:tc>
      </w:tr>
    </w:tbl>
    <w:bookmarkStart w:id="53" w:name="cell-fig-attendance-year"/>
    <w:tbl>
      <w:tblPr>
        <w:tblStyle w:val="Table"/>
        <w:tblW w:type="pct" w:w="5000"/>
        <w:tblLayout w:type="fixed"/>
        <w:tblLook w:firstRow="0" w:lastRow="0" w:firstColumn="0" w:lastColumn="0" w:noHBand="0" w:noVBand="0" w:val="0000"/>
      </w:tblPr>
      <w:tblGrid>
        <w:gridCol w:w="7920"/>
      </w:tblGrid>
      <w:tr>
        <w:tc>
          <w:tcPr/>
          <w:bookmarkStart w:id="52" w:name="fig-attendance-year"/>
          <w:p>
            <w:pPr>
              <w:pStyle w:val="Compact"/>
              <w:jc w:val="center"/>
            </w:pPr>
            <w:r>
              <w:drawing>
                <wp:inline>
                  <wp:extent cx="4620126" cy="3696101"/>
                  <wp:effectExtent b="0" l="0" r="0" t="0"/>
                  <wp:docPr descr="" title="" id="50" name="Picture"/>
                  <a:graphic>
                    <a:graphicData uri="http://schemas.openxmlformats.org/drawingml/2006/picture">
                      <pic:pic>
                        <pic:nvPicPr>
                          <pic:cNvPr descr="index_files/figure-docx/fig-attendance-year-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 up.</w:t>
            </w:r>
          </w:p>
          <w:bookmarkEnd w:id="5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3"/>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58" w:name="cell-fig-capacity-year"/>
    <w:tbl>
      <w:tblPr>
        <w:tblStyle w:val="Table"/>
        <w:tblW w:type="pct" w:w="5000"/>
        <w:tblLayout w:type="fixed"/>
        <w:tblLook w:firstRow="0" w:lastRow="0" w:firstColumn="0" w:lastColumn="0" w:noHBand="0" w:noVBand="0" w:val="0000"/>
      </w:tblPr>
      <w:tblGrid>
        <w:gridCol w:w="7920"/>
      </w:tblGrid>
      <w:tr>
        <w:tc>
          <w:tcPr/>
          <w:bookmarkStart w:id="57" w:name="fig-capacity-year"/>
          <w:p>
            <w:pPr>
              <w:pStyle w:val="Compact"/>
              <w:jc w:val="center"/>
            </w:pPr>
            <w:r>
              <w:drawing>
                <wp:inline>
                  <wp:extent cx="4620126" cy="3696101"/>
                  <wp:effectExtent b="0" l="0" r="0" t="0"/>
                  <wp:docPr descr="" title="" id="55" name="Picture"/>
                  <a:graphic>
                    <a:graphicData uri="http://schemas.openxmlformats.org/drawingml/2006/picture">
                      <pic:pic>
                        <pic:nvPicPr>
                          <pic:cNvPr descr="index_files/figure-docx/fig-capacity-year-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5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8"/>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in order to generate more excitement in the arena and positive images on telecasts,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59"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w:tblPr>
              <w:tblStyle w:val="Table"/>
              <w:tblW w:type="pct" w:w="5000"/>
              <w:tblLayout w:type="fixed"/>
              <w:tblLook w:firstRow="1" w:lastRow="0" w:firstColumn="0" w:lastColumn="0" w:noHBand="0" w:noVBand="0" w:val="0020"/>
            </w:tblPr>
            <w:tblGrid>
              <w:gridCol w:w="2029"/>
              <w:gridCol w:w="720"/>
              <w:gridCol w:w="654"/>
              <w:gridCol w:w="981"/>
              <w:gridCol w:w="981"/>
              <w:gridCol w:w="850"/>
              <w:gridCol w:w="850"/>
              <w:gridCol w:w="850"/>
            </w:tblGrid>
            <w:tr>
              <w:trPr>
                <w:tblHeader w:val="on"/>
              </w:trPr>
              <w:tc>
                <w:tcPr/>
                <w:p>
                  <w:pPr>
                    <w:pStyle w:val="Compact"/>
                    <w:jc w:val="left"/>
                    <w:jc w:val="center"/>
                  </w:pPr>
                  <w:r>
                    <w:t xml:space="preserve">Arena</w:t>
                  </w:r>
                </w:p>
              </w:tc>
              <w:tc>
                <w:tcPr/>
                <w:p>
                  <w:pPr>
                    <w:pStyle w:val="Compact"/>
                    <w:jc w:val="left"/>
                    <w:jc w:val="center"/>
                  </w:pPr>
                  <w:r>
                    <w:t xml:space="preserve">Home Teams</w:t>
                  </w:r>
                </w:p>
              </w:tc>
              <w:tc>
                <w:tcPr/>
                <w:p>
                  <w:pPr>
                    <w:pStyle w:val="Compact"/>
                    <w:jc w:val="right"/>
                    <w:jc w:val="center"/>
                  </w:pPr>
                  <w:r>
                    <w:t xml:space="preserve">Num Games</w:t>
                  </w:r>
                </w:p>
              </w:tc>
              <w:tc>
                <w:tcPr/>
                <w:p>
                  <w:pPr>
                    <w:pStyle w:val="Compact"/>
                    <w:jc w:val="right"/>
                    <w:jc w:val="center"/>
                  </w:pPr>
                  <w:r>
                    <w:t xml:space="preserve">Max Attendance</w:t>
                  </w:r>
                </w:p>
              </w:tc>
              <w:tc>
                <w:tcPr/>
                <w:p>
                  <w:pPr>
                    <w:pStyle w:val="Compact"/>
                    <w:jc w:val="right"/>
                    <w:jc w:val="center"/>
                  </w:pPr>
                  <w:r>
                    <w:t xml:space="preserve">Avg Attendance</w:t>
                  </w:r>
                </w:p>
              </w:tc>
              <w:tc>
                <w:tcPr/>
                <w:p>
                  <w:pPr>
                    <w:pStyle w:val="Compact"/>
                    <w:jc w:val="right"/>
                    <w:jc w:val="center"/>
                  </w:pPr>
                  <w:r>
                    <w:t xml:space="preserve">Num Sellouts</w:t>
                  </w:r>
                </w:p>
              </w:tc>
              <w:tc>
                <w:tcPr/>
                <w:p>
                  <w:pPr>
                    <w:pStyle w:val="Compact"/>
                    <w:jc w:val="right"/>
                    <w:jc w:val="center"/>
                  </w:pPr>
                  <w:r>
                    <w:t xml:space="preserve">Pct Sellouts</w:t>
                  </w:r>
                </w:p>
              </w:tc>
              <w:tc>
                <w:tcPr/>
                <w:p>
                  <w:pPr>
                    <w:pStyle w:val="Compact"/>
                    <w:jc w:val="right"/>
                    <w:jc w:val="center"/>
                  </w:pPr>
                  <w:r>
                    <w:t xml:space="preserve">Avg Capacity</w:t>
                  </w:r>
                </w:p>
              </w:tc>
            </w:tr>
            <w:tr>
              <w:tc>
                <w:tcPr/>
                <w:p>
                  <w:pPr>
                    <w:pStyle w:val="Compact"/>
                    <w:jc w:val="left"/>
                    <w:jc w:val="center"/>
                  </w:pPr>
                  <w:r>
                    <w:t xml:space="preserve">Entertainment and Sports Arena</w:t>
                  </w:r>
                </w:p>
              </w:tc>
              <w:tc>
                <w:tcPr/>
                <w:p>
                  <w:pPr>
                    <w:pStyle w:val="Compact"/>
                    <w:jc w:val="left"/>
                    <w:jc w:val="center"/>
                  </w:pPr>
                  <w:r>
                    <w:t xml:space="preserve">WAS</w:t>
                  </w:r>
                </w:p>
              </w:tc>
              <w:tc>
                <w:tcPr/>
                <w:p>
                  <w:pPr>
                    <w:pStyle w:val="Compact"/>
                    <w:jc w:val="right"/>
                    <w:jc w:val="center"/>
                  </w:pPr>
                  <w:r>
                    <w:t xml:space="preserve">84</w:t>
                  </w:r>
                </w:p>
              </w:tc>
              <w:tc>
                <w:tcPr/>
                <w:p>
                  <w:pPr>
                    <w:pStyle w:val="Compact"/>
                    <w:jc w:val="right"/>
                    <w:jc w:val="center"/>
                  </w:pPr>
                  <w:r>
                    <w:t xml:space="preserve">4210</w:t>
                  </w:r>
                </w:p>
              </w:tc>
              <w:tc>
                <w:tcPr/>
                <w:p>
                  <w:pPr>
                    <w:pStyle w:val="Compact"/>
                    <w:jc w:val="right"/>
                    <w:jc w:val="center"/>
                  </w:pPr>
                  <w:r>
                    <w:t xml:space="preserve">3578.3</w:t>
                  </w:r>
                </w:p>
              </w:tc>
              <w:tc>
                <w:tcPr/>
                <w:p>
                  <w:pPr>
                    <w:pStyle w:val="Compact"/>
                    <w:jc w:val="right"/>
                    <w:jc w:val="center"/>
                  </w:pPr>
                  <w:r>
                    <w:t xml:space="preserve">47</w:t>
                  </w:r>
                </w:p>
              </w:tc>
              <w:tc>
                <w:tcPr/>
                <w:p>
                  <w:pPr>
                    <w:pStyle w:val="Compact"/>
                    <w:jc w:val="right"/>
                    <w:jc w:val="center"/>
                  </w:pPr>
                  <w:r>
                    <w:t xml:space="preserve">0.56</w:t>
                  </w:r>
                </w:p>
              </w:tc>
              <w:tc>
                <w:tcPr/>
                <w:p>
                  <w:pPr>
                    <w:pStyle w:val="Compact"/>
                    <w:jc w:val="right"/>
                    <w:jc w:val="center"/>
                  </w:pPr>
                  <w:r>
                    <w:t xml:space="preserve">0.85</w:t>
                  </w:r>
                </w:p>
              </w:tc>
            </w:tr>
            <w:tr>
              <w:tc>
                <w:tcPr/>
                <w:p>
                  <w:pPr>
                    <w:pStyle w:val="Compact"/>
                    <w:jc w:val="left"/>
                    <w:jc w:val="center"/>
                  </w:pPr>
                  <w:r>
                    <w:t xml:space="preserve">Gainbridge Fieldhouse</w:t>
                  </w:r>
                </w:p>
              </w:tc>
              <w:tc>
                <w:tcPr/>
                <w:p>
                  <w:pPr>
                    <w:pStyle w:val="Compact"/>
                    <w:jc w:val="left"/>
                    <w:jc w:val="center"/>
                  </w:pPr>
                  <w:r>
                    <w:t xml:space="preserve">IND</w:t>
                  </w:r>
                </w:p>
              </w:tc>
              <w:tc>
                <w:tcPr/>
                <w:p>
                  <w:pPr>
                    <w:pStyle w:val="Compact"/>
                    <w:jc w:val="right"/>
                    <w:jc w:val="center"/>
                  </w:pPr>
                  <w:r>
                    <w:t xml:space="preserve">404</w:t>
                  </w:r>
                </w:p>
              </w:tc>
              <w:tc>
                <w:tcPr/>
                <w:p>
                  <w:pPr>
                    <w:pStyle w:val="Compact"/>
                    <w:jc w:val="right"/>
                    <w:jc w:val="center"/>
                  </w:pPr>
                  <w:r>
                    <w:t xml:space="preserve">18345</w:t>
                  </w:r>
                </w:p>
              </w:tc>
              <w:tc>
                <w:tcPr/>
                <w:p>
                  <w:pPr>
                    <w:pStyle w:val="Compact"/>
                    <w:jc w:val="right"/>
                    <w:jc w:val="center"/>
                  </w:pPr>
                  <w:r>
                    <w:t xml:space="preserve">8573.0</w:t>
                  </w:r>
                </w:p>
              </w:tc>
              <w:tc>
                <w:tcPr/>
                <w:p>
                  <w:pPr>
                    <w:pStyle w:val="Compact"/>
                    <w:jc w:val="right"/>
                    <w:jc w:val="center"/>
                  </w:pPr>
                  <w:r>
                    <w:t xml:space="preserve">27</w:t>
                  </w:r>
                </w:p>
              </w:tc>
              <w:tc>
                <w:tcPr/>
                <w:p>
                  <w:pPr>
                    <w:pStyle w:val="Compact"/>
                    <w:jc w:val="right"/>
                    <w:jc w:val="center"/>
                  </w:pPr>
                  <w:r>
                    <w:t xml:space="preserve">0.07</w:t>
                  </w:r>
                </w:p>
              </w:tc>
              <w:tc>
                <w:tcPr/>
                <w:p>
                  <w:pPr>
                    <w:pStyle w:val="Compact"/>
                    <w:jc w:val="right"/>
                    <w:jc w:val="center"/>
                  </w:pPr>
                  <w:r>
                    <w:t xml:space="preserve">0.47</w:t>
                  </w:r>
                </w:p>
              </w:tc>
            </w:tr>
            <w:tr>
              <w:tc>
                <w:tcPr/>
                <w:p>
                  <w:pPr>
                    <w:pStyle w:val="Compact"/>
                    <w:jc w:val="left"/>
                    <w:jc w:val="center"/>
                  </w:pPr>
                  <w:r>
                    <w:t xml:space="preserve">Chase Center</w:t>
                  </w:r>
                </w:p>
              </w:tc>
              <w:tc>
                <w:tcPr/>
                <w:p>
                  <w:pPr>
                    <w:pStyle w:val="Compact"/>
                    <w:jc w:val="left"/>
                    <w:jc w:val="center"/>
                  </w:pPr>
                  <w:r>
                    <w:t xml:space="preserve">GSV</w:t>
                  </w:r>
                </w:p>
              </w:tc>
              <w:tc>
                <w:tcPr/>
                <w:p>
                  <w:pPr>
                    <w:pStyle w:val="Compact"/>
                    <w:jc w:val="right"/>
                    <w:jc w:val="center"/>
                  </w:pPr>
                  <w:r>
                    <w:t xml:space="preserve">22</w:t>
                  </w:r>
                </w:p>
              </w:tc>
              <w:tc>
                <w:tcPr/>
                <w:p>
                  <w:pPr>
                    <w:pStyle w:val="Compact"/>
                    <w:jc w:val="right"/>
                    <w:jc w:val="center"/>
                  </w:pPr>
                  <w:r>
                    <w:t xml:space="preserve">18064</w:t>
                  </w:r>
                </w:p>
              </w:tc>
              <w:tc>
                <w:tcPr/>
                <w:p>
                  <w:pPr>
                    <w:pStyle w:val="Compact"/>
                    <w:jc w:val="right"/>
                    <w:jc w:val="center"/>
                  </w:pPr>
                  <w:r>
                    <w:t xml:space="preserve">18064.0</w:t>
                  </w:r>
                </w:p>
              </w:tc>
              <w:tc>
                <w:tcPr/>
                <w:p>
                  <w:pPr>
                    <w:pStyle w:val="Compact"/>
                    <w:jc w:val="right"/>
                    <w:jc w:val="center"/>
                  </w:pPr>
                  <w:r>
                    <w:t xml:space="preserve">22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Mohegan Sun Arena</w:t>
                  </w:r>
                </w:p>
              </w:tc>
              <w:tc>
                <w:tcPr/>
                <w:p>
                  <w:pPr>
                    <w:pStyle w:val="Compact"/>
                    <w:jc w:val="left"/>
                    <w:jc w:val="center"/>
                  </w:pPr>
                  <w:r>
                    <w:t xml:space="preserve">CON</w:t>
                  </w:r>
                </w:p>
              </w:tc>
              <w:tc>
                <w:tcPr/>
                <w:p>
                  <w:pPr>
                    <w:pStyle w:val="Compact"/>
                    <w:jc w:val="right"/>
                    <w:jc w:val="center"/>
                  </w:pPr>
                  <w:r>
                    <w:t xml:space="preserve">381</w:t>
                  </w:r>
                </w:p>
              </w:tc>
              <w:tc>
                <w:tcPr/>
                <w:p>
                  <w:pPr>
                    <w:pStyle w:val="Compact"/>
                    <w:jc w:val="right"/>
                    <w:jc w:val="center"/>
                  </w:pPr>
                  <w:r>
                    <w:t xml:space="preserve">9518</w:t>
                  </w:r>
                </w:p>
              </w:tc>
              <w:tc>
                <w:tcPr/>
                <w:p>
                  <w:pPr>
                    <w:pStyle w:val="Compact"/>
                    <w:jc w:val="right"/>
                    <w:jc w:val="center"/>
                  </w:pPr>
                  <w:r>
                    <w:t xml:space="preserve">6690.8</w:t>
                  </w:r>
                </w:p>
              </w:tc>
              <w:tc>
                <w:tcPr/>
                <w:p>
                  <w:pPr>
                    <w:pStyle w:val="Compact"/>
                    <w:jc w:val="right"/>
                    <w:jc w:val="center"/>
                  </w:pPr>
                  <w:r>
                    <w:t xml:space="preserve">16</w:t>
                  </w:r>
                </w:p>
              </w:tc>
              <w:tc>
                <w:tcPr/>
                <w:p>
                  <w:pPr>
                    <w:pStyle w:val="Compact"/>
                    <w:jc w:val="right"/>
                    <w:jc w:val="center"/>
                  </w:pPr>
                  <w:r>
                    <w:t xml:space="preserve">0.04</w:t>
                  </w:r>
                </w:p>
              </w:tc>
              <w:tc>
                <w:tcPr/>
                <w:p>
                  <w:pPr>
                    <w:pStyle w:val="Compact"/>
                    <w:jc w:val="right"/>
                    <w:jc w:val="center"/>
                  </w:pPr>
                  <w:r>
                    <w:t xml:space="preserve">0.70</w:t>
                  </w:r>
                </w:p>
              </w:tc>
            </w:tr>
            <w:tr>
              <w:tc>
                <w:tcPr/>
                <w:p>
                  <w:pPr>
                    <w:pStyle w:val="Compact"/>
                    <w:jc w:val="left"/>
                    <w:jc w:val="center"/>
                  </w:pPr>
                  <w:r>
                    <w:t xml:space="preserve">Barclays Center</w:t>
                  </w:r>
                </w:p>
              </w:tc>
              <w:tc>
                <w:tcPr/>
                <w:p>
                  <w:pPr>
                    <w:pStyle w:val="Compact"/>
                    <w:jc w:val="left"/>
                    <w:jc w:val="center"/>
                  </w:pPr>
                  <w:r>
                    <w:t xml:space="preserve">NYL</w:t>
                  </w:r>
                </w:p>
              </w:tc>
              <w:tc>
                <w:tcPr/>
                <w:p>
                  <w:pPr>
                    <w:pStyle w:val="Compact"/>
                    <w:jc w:val="right"/>
                    <w:jc w:val="center"/>
                  </w:pPr>
                  <w:r>
                    <w:t xml:space="preserve">97</w:t>
                  </w:r>
                </w:p>
              </w:tc>
              <w:tc>
                <w:tcPr/>
                <w:p>
                  <w:pPr>
                    <w:pStyle w:val="Compact"/>
                    <w:jc w:val="right"/>
                    <w:jc w:val="center"/>
                  </w:pPr>
                  <w:r>
                    <w:t xml:space="preserve">17758</w:t>
                  </w:r>
                </w:p>
              </w:tc>
              <w:tc>
                <w:tcPr/>
                <w:p>
                  <w:pPr>
                    <w:pStyle w:val="Compact"/>
                    <w:jc w:val="right"/>
                    <w:jc w:val="center"/>
                  </w:pPr>
                  <w:r>
                    <w:t xml:space="preserve">9288.1</w:t>
                  </w:r>
                </w:p>
              </w:tc>
              <w:tc>
                <w:tcPr/>
                <w:p>
                  <w:pPr>
                    <w:pStyle w:val="Compact"/>
                    <w:jc w:val="right"/>
                    <w:jc w:val="center"/>
                  </w:pPr>
                  <w:r>
                    <w:t xml:space="preserve">14</w:t>
                  </w:r>
                </w:p>
              </w:tc>
              <w:tc>
                <w:tcPr/>
                <w:p>
                  <w:pPr>
                    <w:pStyle w:val="Compact"/>
                    <w:jc w:val="right"/>
                    <w:jc w:val="center"/>
                  </w:pPr>
                  <w:r>
                    <w:t xml:space="preserve">0.14</w:t>
                  </w:r>
                </w:p>
              </w:tc>
              <w:tc>
                <w:tcPr/>
                <w:p>
                  <w:pPr>
                    <w:pStyle w:val="Compact"/>
                    <w:jc w:val="right"/>
                    <w:jc w:val="center"/>
                  </w:pPr>
                  <w:r>
                    <w:t xml:space="preserve">0.52</w:t>
                  </w:r>
                </w:p>
              </w:tc>
            </w:tr>
            <w:tr>
              <w:tc>
                <w:tcPr/>
                <w:p>
                  <w:pPr>
                    <w:pStyle w:val="Compact"/>
                    <w:jc w:val="left"/>
                    <w:jc w:val="center"/>
                  </w:pPr>
                  <w:r>
                    <w:t xml:space="preserve">Capital One Arena</w:t>
                  </w:r>
                </w:p>
              </w:tc>
              <w:tc>
                <w:tcPr/>
                <w:p>
                  <w:pPr>
                    <w:pStyle w:val="Compact"/>
                    <w:jc w:val="left"/>
                    <w:jc w:val="center"/>
                  </w:pPr>
                  <w:r>
                    <w:t xml:space="preserve">WAS</w:t>
                  </w:r>
                </w:p>
              </w:tc>
              <w:tc>
                <w:tcPr/>
                <w:p>
                  <w:pPr>
                    <w:pStyle w:val="Compact"/>
                    <w:jc w:val="right"/>
                    <w:jc w:val="center"/>
                  </w:pPr>
                  <w:r>
                    <w:t xml:space="preserve">357</w:t>
                  </w:r>
                </w:p>
              </w:tc>
              <w:tc>
                <w:tcPr/>
                <w:p>
                  <w:pPr>
                    <w:pStyle w:val="Compact"/>
                    <w:jc w:val="right"/>
                    <w:jc w:val="center"/>
                  </w:pPr>
                  <w:r>
                    <w:t xml:space="preserve">20711</w:t>
                  </w:r>
                </w:p>
              </w:tc>
              <w:tc>
                <w:tcPr/>
                <w:p>
                  <w:pPr>
                    <w:pStyle w:val="Compact"/>
                    <w:jc w:val="right"/>
                    <w:jc w:val="center"/>
                  </w:pPr>
                  <w:r>
                    <w:t xml:space="preserve">10673.8</w:t>
                  </w:r>
                </w:p>
              </w:tc>
              <w:tc>
                <w:tcPr/>
                <w:p>
                  <w:pPr>
                    <w:pStyle w:val="Compact"/>
                    <w:jc w:val="right"/>
                    <w:jc w:val="center"/>
                  </w:pPr>
                  <w:r>
                    <w:t xml:space="preserve">14</w:t>
                  </w:r>
                </w:p>
              </w:tc>
              <w:tc>
                <w:tcPr/>
                <w:p>
                  <w:pPr>
                    <w:pStyle w:val="Compact"/>
                    <w:jc w:val="right"/>
                    <w:jc w:val="center"/>
                  </w:pPr>
                  <w:r>
                    <w:t xml:space="preserve">0.04</w:t>
                  </w:r>
                </w:p>
              </w:tc>
              <w:tc>
                <w:tcPr/>
                <w:p>
                  <w:pPr>
                    <w:pStyle w:val="Compact"/>
                    <w:jc w:val="right"/>
                    <w:jc w:val="center"/>
                  </w:pPr>
                  <w:r>
                    <w:t xml:space="preserve">0.52</w:t>
                  </w:r>
                </w:p>
              </w:tc>
            </w:tr>
            <w:tr>
              <w:tc>
                <w:tcPr/>
                <w:p>
                  <w:pPr>
                    <w:pStyle w:val="Compact"/>
                    <w:jc w:val="left"/>
                    <w:jc w:val="center"/>
                  </w:pPr>
                  <w:r>
                    <w:t xml:space="preserve">Crypto.com Arena</w:t>
                  </w:r>
                </w:p>
              </w:tc>
              <w:tc>
                <w:tcPr/>
                <w:p>
                  <w:pPr>
                    <w:pStyle w:val="Compact"/>
                    <w:jc w:val="left"/>
                    <w:jc w:val="center"/>
                  </w:pPr>
                  <w:r>
                    <w:t xml:space="preserve">LAS</w:t>
                  </w:r>
                </w:p>
              </w:tc>
              <w:tc>
                <w:tcPr/>
                <w:p>
                  <w:pPr>
                    <w:pStyle w:val="Compact"/>
                    <w:jc w:val="right"/>
                    <w:jc w:val="center"/>
                  </w:pPr>
                  <w:r>
                    <w:t xml:space="preserve">401</w:t>
                  </w:r>
                </w:p>
              </w:tc>
              <w:tc>
                <w:tcPr/>
                <w:p>
                  <w:pPr>
                    <w:pStyle w:val="Compact"/>
                    <w:jc w:val="right"/>
                    <w:jc w:val="center"/>
                  </w:pPr>
                  <w:r>
                    <w:t xml:space="preserve">19282</w:t>
                  </w:r>
                </w:p>
              </w:tc>
              <w:tc>
                <w:tcPr/>
                <w:p>
                  <w:pPr>
                    <w:pStyle w:val="Compact"/>
                    <w:jc w:val="right"/>
                    <w:jc w:val="center"/>
                  </w:pPr>
                  <w:r>
                    <w:t xml:space="preserve">9645.7</w:t>
                  </w:r>
                </w:p>
              </w:tc>
              <w:tc>
                <w:tcPr/>
                <w:p>
                  <w:pPr>
                    <w:pStyle w:val="Compact"/>
                    <w:jc w:val="right"/>
                    <w:jc w:val="center"/>
                  </w:pPr>
                  <w:r>
                    <w:t xml:space="preserve">10</w:t>
                  </w:r>
                </w:p>
              </w:tc>
              <w:tc>
                <w:tcPr/>
                <w:p>
                  <w:pPr>
                    <w:pStyle w:val="Compact"/>
                    <w:jc w:val="right"/>
                    <w:jc w:val="center"/>
                  </w:pPr>
                  <w:r>
                    <w:t xml:space="preserve">0.02</w:t>
                  </w:r>
                </w:p>
              </w:tc>
              <w:tc>
                <w:tcPr/>
                <w:p>
                  <w:pPr>
                    <w:pStyle w:val="Compact"/>
                    <w:jc w:val="right"/>
                    <w:jc w:val="center"/>
                  </w:pPr>
                  <w:r>
                    <w:t xml:space="preserve">0.50</w:t>
                  </w:r>
                </w:p>
              </w:tc>
            </w:tr>
            <w:tr>
              <w:tc>
                <w:tcPr/>
                <w:p>
                  <w:pPr>
                    <w:pStyle w:val="Compact"/>
                    <w:jc w:val="left"/>
                    <w:jc w:val="center"/>
                  </w:pPr>
                  <w:r>
                    <w:t xml:space="preserve">Compaq Center</w:t>
                  </w:r>
                </w:p>
              </w:tc>
              <w:tc>
                <w:tcPr/>
                <w:p>
                  <w:pPr>
                    <w:pStyle w:val="Compact"/>
                    <w:jc w:val="left"/>
                    <w:jc w:val="center"/>
                  </w:pPr>
                  <w:r>
                    <w:t xml:space="preserve">HOU</w:t>
                  </w:r>
                </w:p>
              </w:tc>
              <w:tc>
                <w:tcPr/>
                <w:p>
                  <w:pPr>
                    <w:pStyle w:val="Compact"/>
                    <w:jc w:val="right"/>
                    <w:jc w:val="center"/>
                  </w:pPr>
                  <w:r>
                    <w:t xml:space="preserve">144</w:t>
                  </w:r>
                </w:p>
              </w:tc>
              <w:tc>
                <w:tcPr/>
                <w:p>
                  <w:pPr>
                    <w:pStyle w:val="Compact"/>
                    <w:jc w:val="right"/>
                    <w:jc w:val="center"/>
                  </w:pPr>
                  <w:r>
                    <w:t xml:space="preserve">16285</w:t>
                  </w:r>
                </w:p>
              </w:tc>
              <w:tc>
                <w:tcPr/>
                <w:p>
                  <w:pPr>
                    <w:pStyle w:val="Compact"/>
                    <w:jc w:val="right"/>
                    <w:jc w:val="center"/>
                  </w:pPr>
                  <w:r>
                    <w:t xml:space="preserve">10265.2</w:t>
                  </w:r>
                </w:p>
              </w:tc>
              <w:tc>
                <w:tcPr/>
                <w:p>
                  <w:pPr>
                    <w:pStyle w:val="Compact"/>
                    <w:jc w:val="right"/>
                    <w:jc w:val="center"/>
                  </w:pPr>
                  <w:r>
                    <w:t xml:space="preserve">9</w:t>
                  </w:r>
                </w:p>
              </w:tc>
              <w:tc>
                <w:tcPr/>
                <w:p>
                  <w:pPr>
                    <w:pStyle w:val="Compact"/>
                    <w:jc w:val="right"/>
                    <w:jc w:val="center"/>
                  </w:pPr>
                  <w:r>
                    <w:t xml:space="preserve">0.06</w:t>
                  </w:r>
                </w:p>
              </w:tc>
              <w:tc>
                <w:tcPr/>
                <w:p>
                  <w:pPr>
                    <w:pStyle w:val="Compact"/>
                    <w:jc w:val="right"/>
                    <w:jc w:val="center"/>
                  </w:pPr>
                  <w:r>
                    <w:t xml:space="preserve">0.63</w:t>
                  </w:r>
                </w:p>
              </w:tc>
            </w:tr>
            <w:tr>
              <w:tc>
                <w:tcPr/>
                <w:p>
                  <w:pPr>
                    <w:pStyle w:val="Compact"/>
                    <w:jc w:val="left"/>
                    <w:jc w:val="center"/>
                  </w:pPr>
                  <w:r>
                    <w:t xml:space="preserve">ARCO Arena</w:t>
                  </w:r>
                </w:p>
              </w:tc>
              <w:tc>
                <w:tcPr/>
                <w:p>
                  <w:pPr>
                    <w:pStyle w:val="Compact"/>
                    <w:jc w:val="left"/>
                    <w:jc w:val="center"/>
                  </w:pPr>
                  <w:r>
                    <w:t xml:space="preserve">SAC</w:t>
                  </w:r>
                </w:p>
              </w:tc>
              <w:tc>
                <w:tcPr/>
                <w:p>
                  <w:pPr>
                    <w:pStyle w:val="Compact"/>
                    <w:jc w:val="right"/>
                    <w:jc w:val="center"/>
                  </w:pPr>
                  <w:r>
                    <w:t xml:space="preserve">212</w:t>
                  </w:r>
                </w:p>
              </w:tc>
              <w:tc>
                <w:tcPr/>
                <w:p>
                  <w:pPr>
                    <w:pStyle w:val="Compact"/>
                    <w:jc w:val="right"/>
                    <w:jc w:val="center"/>
                  </w:pPr>
                  <w:r>
                    <w:t xml:space="preserve">17317</w:t>
                  </w:r>
                </w:p>
              </w:tc>
              <w:tc>
                <w:tcPr/>
                <w:p>
                  <w:pPr>
                    <w:pStyle w:val="Compact"/>
                    <w:jc w:val="right"/>
                    <w:jc w:val="center"/>
                  </w:pPr>
                  <w:r>
                    <w:t xml:space="preserve">8324.1</w:t>
                  </w:r>
                </w:p>
              </w:tc>
              <w:tc>
                <w:tcPr/>
                <w:p>
                  <w:pPr>
                    <w:pStyle w:val="Compact"/>
                    <w:jc w:val="right"/>
                    <w:jc w:val="center"/>
                  </w:pPr>
                  <w:r>
                    <w:t xml:space="preserve">7</w:t>
                  </w:r>
                </w:p>
              </w:tc>
              <w:tc>
                <w:tcPr/>
                <w:p>
                  <w:pPr>
                    <w:pStyle w:val="Compact"/>
                    <w:jc w:val="right"/>
                    <w:jc w:val="center"/>
                  </w:pPr>
                  <w:r>
                    <w:t xml:space="preserve">0.03</w:t>
                  </w:r>
                </w:p>
              </w:tc>
              <w:tc>
                <w:tcPr/>
                <w:p>
                  <w:pPr>
                    <w:pStyle w:val="Compact"/>
                    <w:jc w:val="right"/>
                    <w:jc w:val="center"/>
                  </w:pPr>
                  <w:r>
                    <w:t xml:space="preserve">0.48</w:t>
                  </w:r>
                </w:p>
              </w:tc>
            </w:tr>
            <w:tr>
              <w:tc>
                <w:tcPr/>
                <w:p>
                  <w:pPr>
                    <w:pStyle w:val="Compact"/>
                    <w:jc w:val="left"/>
                    <w:jc w:val="center"/>
                  </w:pPr>
                  <w:r>
                    <w:t xml:space="preserve">Madison Square Garden</w:t>
                  </w:r>
                </w:p>
              </w:tc>
              <w:tc>
                <w:tcPr/>
                <w:p>
                  <w:pPr>
                    <w:pStyle w:val="Compact"/>
                    <w:jc w:val="left"/>
                    <w:jc w:val="center"/>
                  </w:pPr>
                  <w:r>
                    <w:t xml:space="preserve">NYL</w:t>
                  </w:r>
                </w:p>
              </w:tc>
              <w:tc>
                <w:tcPr/>
                <w:p>
                  <w:pPr>
                    <w:pStyle w:val="Compact"/>
                    <w:jc w:val="right"/>
                    <w:jc w:val="center"/>
                  </w:pPr>
                  <w:r>
                    <w:t xml:space="preserve">292</w:t>
                  </w:r>
                </w:p>
              </w:tc>
              <w:tc>
                <w:tcPr/>
                <w:p>
                  <w:pPr>
                    <w:pStyle w:val="Compact"/>
                    <w:jc w:val="right"/>
                    <w:jc w:val="center"/>
                  </w:pPr>
                  <w:r>
                    <w:t xml:space="preserve">19563</w:t>
                  </w:r>
                </w:p>
              </w:tc>
              <w:tc>
                <w:tcPr/>
                <w:p>
                  <w:pPr>
                    <w:pStyle w:val="Compact"/>
                    <w:jc w:val="right"/>
                    <w:jc w:val="center"/>
                  </w:pPr>
                  <w:r>
                    <w:t xml:space="preserve">11347.6</w:t>
                  </w:r>
                </w:p>
              </w:tc>
              <w:tc>
                <w:tcPr/>
                <w:p>
                  <w:pPr>
                    <w:pStyle w:val="Compact"/>
                    <w:jc w:val="right"/>
                    <w:jc w:val="center"/>
                  </w:pPr>
                  <w:r>
                    <w:t xml:space="preserve">6</w:t>
                  </w:r>
                </w:p>
              </w:tc>
              <w:tc>
                <w:tcPr/>
                <w:p>
                  <w:pPr>
                    <w:pStyle w:val="Compact"/>
                    <w:jc w:val="right"/>
                    <w:jc w:val="center"/>
                  </w:pPr>
                  <w:r>
                    <w:t xml:space="preserve">0.02</w:t>
                  </w:r>
                </w:p>
              </w:tc>
              <w:tc>
                <w:tcPr/>
                <w:p>
                  <w:pPr>
                    <w:pStyle w:val="Compact"/>
                    <w:jc w:val="right"/>
                    <w:jc w:val="center"/>
                  </w:pPr>
                  <w:r>
                    <w:t xml:space="preserve">0.58</w:t>
                  </w:r>
                </w:p>
              </w:tc>
            </w:tr>
            <w:tr>
              <w:tc>
                <w:tcPr/>
                <w:p>
                  <w:pPr>
                    <w:pStyle w:val="Compact"/>
                    <w:jc w:val="left"/>
                    <w:jc w:val="center"/>
                  </w:pPr>
                  <w:r>
                    <w:t xml:space="preserve">Total among 60 arenas</w:t>
                  </w:r>
                </w:p>
              </w:tc>
              <w:tc>
                <w:tcPr/>
                <w:p>
                  <w:pPr>
                    <w:pStyle w:val="Compact"/>
                    <w:jc w:val="left"/>
                    <w:jc w:val="center"/>
                  </w:pPr>
                  <w:r>
                    <w:t xml:space="preserve">19</w:t>
                  </w:r>
                </w:p>
              </w:tc>
              <w:tc>
                <w:tcPr/>
                <w:p>
                  <w:pPr>
                    <w:pStyle w:val="Compact"/>
                    <w:jc w:val="right"/>
                    <w:jc w:val="center"/>
                  </w:pPr>
                  <w:r>
                    <w:t xml:space="preserve">6164</w:t>
                  </w:r>
                </w:p>
              </w:tc>
              <w:tc>
                <w:tcPr/>
                <w:p>
                  <w:pPr>
                    <w:pStyle w:val="Compact"/>
                    <w:jc w:val="right"/>
                    <w:jc w:val="center"/>
                  </w:pPr>
                  <w:r>
                    <w:t xml:space="preserve">20711</w:t>
                  </w:r>
                </w:p>
              </w:tc>
              <w:tc>
                <w:tcPr/>
                <w:p>
                  <w:pPr>
                    <w:pStyle w:val="Compact"/>
                    <w:jc w:val="right"/>
                    <w:jc w:val="center"/>
                  </w:pPr>
                  <w:r>
                    <w:t xml:space="preserve">8076.6</w:t>
                  </w:r>
                </w:p>
              </w:tc>
              <w:tc>
                <w:tcPr/>
                <w:p>
                  <w:pPr>
                    <w:pStyle w:val="Compact"/>
                    <w:jc w:val="right"/>
                    <w:jc w:val="center"/>
                  </w:pPr>
                  <w:r>
                    <w:t xml:space="preserve">218</w:t>
                  </w:r>
                </w:p>
              </w:tc>
              <w:tc>
                <w:tcPr/>
                <w:p>
                  <w:pPr>
                    <w:pStyle w:val="Compact"/>
                    <w:jc w:val="right"/>
                    <w:jc w:val="center"/>
                  </w:pPr>
                  <w:r>
                    <w:t xml:space="preserve">0.04</w:t>
                  </w:r>
                </w:p>
              </w:tc>
              <w:tc>
                <w:tcPr/>
                <w:p>
                  <w:pPr>
                    <w:pStyle w:val="Compact"/>
                    <w:jc w:val="right"/>
                    <w:jc w:val="center"/>
                  </w:pPr>
                  <w:r>
                    <w:t xml:space="preserve">0.39</w:t>
                  </w:r>
                </w:p>
              </w:tc>
            </w:tr>
          </w:tbl>
          <w:bookmarkEnd w:id="5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9"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r>
        <w:rPr>
          <w:rStyle w:val="FootnoteReference"/>
        </w:rPr>
        <w:footnoteReference w:id="61"/>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68"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62" w:name="tbl-cor"/>
          <w:p>
            <w:pPr>
              <w:jc w:val="center"/>
            </w:pPr>
            <w:pPr>
              <w:jc w:val="left"/>
              <w:spacing w:before="200"/>
              <w:pStyle w:val="ImageCaption"/>
            </w:pPr>
            <w:r>
              <w:t xml:space="preserve">Table 4: Correlations among normalized fan engagment variables.</w:t>
            </w:r>
          </w:p>
          <w:tbl>
            <w:tblPr>
              <w:tblStyle w:val="Table"/>
              <w:tblW w:type="pct" w:w="5000"/>
              <w:tblLayout w:type="fixed"/>
              <w:tblLook w:firstRow="1" w:lastRow="0" w:firstColumn="0" w:lastColumn="0" w:noHBand="0" w:noVBand="0" w:val="0020"/>
            </w:tblPr>
            <w:tblGrid>
              <w:gridCol w:w="2132"/>
              <w:gridCol w:w="1929"/>
              <w:gridCol w:w="2132"/>
              <w:gridCol w:w="1726"/>
            </w:tblGrid>
            <w:tr>
              <w:trPr>
                <w:tblHeader w:val="on"/>
              </w:trPr>
              <w:tc>
                <w:tcPr/>
                <w:p>
                  <w:pPr>
                    <w:pStyle w:val="Compact"/>
                  </w:pPr>
                </w:p>
              </w:tc>
              <w:tc>
                <w:tcPr/>
                <w:p>
                  <w:pPr>
                    <w:pStyle w:val="Compact"/>
                    <w:jc w:val="right"/>
                    <w:jc w:val="center"/>
                  </w:pPr>
                  <w:r>
                    <w:t xml:space="preserve">Z1 Quality of Play</w:t>
                  </w:r>
                </w:p>
              </w:tc>
              <w:tc>
                <w:tcPr/>
                <w:p>
                  <w:pPr>
                    <w:pStyle w:val="Compact"/>
                    <w:jc w:val="right"/>
                    <w:jc w:val="center"/>
                  </w:pPr>
                  <w:r>
                    <w:t xml:space="preserve">Z2 Uncertain Outcome</w:t>
                  </w:r>
                </w:p>
              </w:tc>
              <w:tc>
                <w:tcPr/>
                <w:p>
                  <w:pPr>
                    <w:pStyle w:val="Compact"/>
                    <w:jc w:val="right"/>
                    <w:jc w:val="center"/>
                  </w:pPr>
                  <w:r>
                    <w:t xml:space="preserve">Z3 Loss Aversion</w:t>
                  </w:r>
                </w:p>
              </w:tc>
            </w:tr>
            <w:tr>
              <w:tc>
                <w:tcPr/>
                <w:p>
                  <w:pPr>
                    <w:pStyle w:val="Compact"/>
                    <w:jc w:val="left"/>
                    <w:jc w:val="center"/>
                  </w:pPr>
                  <w:r>
                    <w:t xml:space="preserve">Z1 Quality of Play</w:t>
                  </w:r>
                </w:p>
              </w:tc>
              <w:tc>
                <w:tcPr/>
                <w:p>
                  <w:pPr>
                    <w:pStyle w:val="Compact"/>
                    <w:jc w:val="right"/>
                    <w:jc w:val="center"/>
                  </w:pPr>
                  <w:r>
                    <w:t xml:space="preserve">1.000</w:t>
                  </w:r>
                </w:p>
              </w:tc>
              <w:tc>
                <w:tcPr/>
                <w:p>
                  <w:pPr>
                    <w:pStyle w:val="Compact"/>
                    <w:jc w:val="right"/>
                    <w:jc w:val="center"/>
                  </w:pPr>
                  <w:r>
                    <w:t xml:space="preserve">-0.022</w:t>
                  </w:r>
                </w:p>
              </w:tc>
              <w:tc>
                <w:tcPr/>
                <w:p>
                  <w:pPr>
                    <w:pStyle w:val="Compact"/>
                    <w:jc w:val="right"/>
                    <w:jc w:val="center"/>
                  </w:pPr>
                  <w:r>
                    <w:t xml:space="preserve">-0.003</w:t>
                  </w:r>
                </w:p>
              </w:tc>
            </w:tr>
            <w:tr>
              <w:tc>
                <w:tcPr/>
                <w:p>
                  <w:pPr>
                    <w:pStyle w:val="Compact"/>
                    <w:jc w:val="left"/>
                    <w:jc w:val="center"/>
                  </w:pPr>
                  <w:r>
                    <w:t xml:space="preserve">Z2 Uncertain Outcome</w:t>
                  </w:r>
                </w:p>
              </w:tc>
              <w:tc>
                <w:tcPr/>
                <w:p>
                  <w:pPr>
                    <w:pStyle w:val="Compact"/>
                    <w:jc w:val="right"/>
                    <w:jc w:val="center"/>
                  </w:pPr>
                  <w:r>
                    <w:t xml:space="preserve">-0.022</w:t>
                  </w:r>
                </w:p>
              </w:tc>
              <w:tc>
                <w:tcPr/>
                <w:p>
                  <w:pPr>
                    <w:pStyle w:val="Compact"/>
                    <w:jc w:val="right"/>
                    <w:jc w:val="center"/>
                  </w:pPr>
                  <w:r>
                    <w:t xml:space="preserve">1.000</w:t>
                  </w:r>
                </w:p>
              </w:tc>
              <w:tc>
                <w:tcPr/>
                <w:p>
                  <w:pPr>
                    <w:pStyle w:val="Compact"/>
                    <w:jc w:val="right"/>
                    <w:jc w:val="center"/>
                  </w:pPr>
                  <w:r>
                    <w:t xml:space="preserve">-0.103</w:t>
                  </w:r>
                </w:p>
              </w:tc>
            </w:tr>
            <w:tr>
              <w:tc>
                <w:tcPr/>
                <w:p>
                  <w:pPr>
                    <w:pStyle w:val="Compact"/>
                    <w:jc w:val="left"/>
                    <w:jc w:val="center"/>
                  </w:pPr>
                  <w:r>
                    <w:t xml:space="preserve">Z3 Loss Aversion</w:t>
                  </w:r>
                </w:p>
              </w:tc>
              <w:tc>
                <w:tcPr/>
                <w:p>
                  <w:pPr>
                    <w:pStyle w:val="Compact"/>
                    <w:jc w:val="right"/>
                    <w:jc w:val="center"/>
                  </w:pPr>
                  <w:r>
                    <w:t xml:space="preserve">-0.003</w:t>
                  </w:r>
                </w:p>
              </w:tc>
              <w:tc>
                <w:tcPr/>
                <w:p>
                  <w:pPr>
                    <w:pStyle w:val="Compact"/>
                    <w:jc w:val="right"/>
                    <w:jc w:val="center"/>
                  </w:pPr>
                  <w:r>
                    <w:t xml:space="preserve">-0.103</w:t>
                  </w:r>
                </w:p>
              </w:tc>
              <w:tc>
                <w:tcPr/>
                <w:p>
                  <w:pPr>
                    <w:pStyle w:val="Compact"/>
                    <w:jc w:val="right"/>
                    <w:jc w:val="center"/>
                  </w:pPr>
                  <w:r>
                    <w:t xml:space="preserve">1.000</w:t>
                  </w:r>
                </w:p>
              </w:tc>
            </w:tr>
          </w:tbl>
          <w:bookmarkEnd w:id="6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67" w:name="cell-fig-all-z"/>
    <w:tbl>
      <w:tblPr>
        <w:tblStyle w:val="Table"/>
        <w:tblW w:type="pct" w:w="5000"/>
        <w:tblLayout w:type="fixed"/>
        <w:tblLook w:firstRow="0" w:lastRow="0" w:firstColumn="0" w:lastColumn="0" w:noHBand="0" w:noVBand="0" w:val="0000"/>
      </w:tblPr>
      <w:tblGrid>
        <w:gridCol w:w="7920"/>
      </w:tblGrid>
      <w:tr>
        <w:tc>
          <w:tcPr/>
          <w:bookmarkStart w:id="66" w:name="fig-all-z"/>
          <w:p>
            <w:pPr>
              <w:pStyle w:val="Compact"/>
              <w:jc w:val="center"/>
            </w:pPr>
            <w:r>
              <w:drawing>
                <wp:inline>
                  <wp:extent cx="4620126" cy="3696101"/>
                  <wp:effectExtent b="0" l="0" r="0" t="0"/>
                  <wp:docPr descr="" title="" id="64" name="Picture"/>
                  <a:graphic>
                    <a:graphicData uri="http://schemas.openxmlformats.org/drawingml/2006/picture">
                      <pic:pic>
                        <pic:nvPicPr>
                          <pic:cNvPr descr="index_files/figure-docx/fig-all-z-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engagment measures as a function of home and away pregrame Elo ratings. The lack of correlation across these measures is obvious. The 4th panel shows the simple sum of all three measures.</w:t>
            </w:r>
          </w:p>
          <w:bookmarkEnd w:id="6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7"/>
    <w:bookmarkEnd w:id="68"/>
    <w:bookmarkEnd w:id="69"/>
    <w:bookmarkStart w:id="71" w:name="sec-control"/>
    <w:p>
      <w:pPr>
        <w:pStyle w:val="Heading3"/>
      </w:pPr>
      <w:r>
        <w:t xml:space="preserve">3.3 Control variables</w:t>
      </w:r>
    </w:p>
    <w:p>
      <w:pPr>
        <w:pStyle w:val="FirstParagraph"/>
      </w:pPr>
      <w:r>
        <w:t xml:space="preserve">As time-related control variables, we include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70"/>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71"/>
    <w:bookmarkStart w:id="72"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72"/>
    <w:bookmarkStart w:id="75" w:name="sec-mod-attend"/>
    <w:p>
      <w:pPr>
        <w:pStyle w:val="Heading3"/>
      </w:pPr>
      <w:r>
        <w:t xml:space="preserve">3.5 Model formulation for attendance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p>
      <w:pPr>
        <w:pStyle w:val="BodyText"/>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11</m:t>
        </m:r>
        <m:r>
          <m:rPr>
            <m:sty m:val="p"/>
          </m:rPr>
          <m:t>,</m:t>
        </m:r>
        <m:r>
          <m:t>12</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5</m:t>
            </m:r>
          </m:sub>
        </m:sSub>
      </m:oMath>
      <w:r>
        <w:t xml:space="preserve"> </w:t>
      </w:r>
      <w:r>
        <w:t xml:space="preserve">and</w:t>
      </w:r>
      <w:r>
        <w:t xml:space="preserve"> </w:t>
      </w:r>
      <m:oMath>
        <m:sSub>
          <m:e>
            <m:r>
              <m:t>β</m:t>
            </m:r>
          </m:e>
          <m:sub>
            <m:r>
              <m:t>8</m:t>
            </m:r>
          </m:sub>
        </m:sSub>
      </m:oMath>
      <w:r>
        <w:t xml:space="preserve"> </w:t>
      </w:r>
      <w:r>
        <w:t xml:space="preserve">have 26 values (corresponding to each season after 1997) and</w:t>
      </w:r>
      <w:r>
        <w:t xml:space="preserve"> </w:t>
      </w:r>
      <m:oMath>
        <m:sSub>
          <m:e>
            <m:r>
              <m:t>β</m:t>
            </m:r>
          </m:e>
          <m:sub>
            <m:r>
              <m:t>5</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Need to add details about Tobit modeling.</w:t>
            </w:r>
          </w:p>
          <w:p/>
        </w:tc>
      </w:tr>
    </w:tbl>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package.</w:t>
      </w:r>
    </w:p>
    <w:bookmarkEnd w:id="75"/>
    <w:bookmarkStart w:id="76"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76"/>
    <w:bookmarkEnd w:id="77"/>
    <w:bookmarkStart w:id="124" w:name="results"/>
    <w:p>
      <w:pPr>
        <w:pStyle w:val="Heading2"/>
      </w:pPr>
      <w:r>
        <w:t xml:space="preserve">4 Results</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5</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tobit">
        <w:r>
          <w:rPr>
            <w:rStyle w:val="Hyperlink"/>
          </w:rPr>
          <w:t xml:space="preserve">Table 9</w:t>
        </w:r>
      </w:hyperlink>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4" w:name="sec-attend"/>
    <w:p>
      <w:pPr>
        <w:pStyle w:val="Heading3"/>
      </w:pPr>
      <w:r>
        <w:t xml:space="preserve">4.1 Modeling attendance</w:t>
      </w:r>
    </w:p>
    <w:bookmarkStart w:id="86"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estimates from the Tobit model.</w:t>
      </w:r>
      <w:r>
        <w:t xml:space="preserve"> </w:t>
      </w:r>
      <w:r>
        <w:t xml:space="preserve">Because each measure of fan engagement interacts with season, the reported coefficients for quality of play, outcome uncertainty, and loss aversion represent their estimated effects for the reference levels: a home game for the Atlanta Dream taking place on a Sunday in May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8" w:name="tbl-coefs"/>
          <w:p>
            <w:pPr>
              <w:jc w:val="center"/>
            </w:pPr>
            <w:pPr>
              <w:jc w:val="left"/>
              <w:spacing w:before="200"/>
              <w:pStyle w:val="ImageCaption"/>
            </w:pPr>
            <w:r>
              <w:t xml:space="preserve">Table 5: Fitted coefficients for scalar terms in Tobit model for the natural logarithm of attendance.</w:t>
            </w:r>
          </w:p>
          <w:tbl>
            <w:tblPr>
              <w:tblStyle w:val="Table"/>
              <w:tblW w:type="pct" w:w="5000"/>
              <w:tblLayout w:type="fixed"/>
              <w:tblLook w:firstRow="1" w:lastRow="0" w:firstColumn="0" w:lastColumn="0" w:noHBand="0" w:noVBand="0" w:val="0020"/>
            </w:tblPr>
            <w:tblGrid>
              <w:gridCol w:w="2376"/>
              <w:gridCol w:w="891"/>
              <w:gridCol w:w="990"/>
              <w:gridCol w:w="990"/>
              <w:gridCol w:w="792"/>
              <w:gridCol w:w="891"/>
              <w:gridCol w:w="99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(Intercept):1</w:t>
                  </w:r>
                </w:p>
              </w:tc>
              <w:tc>
                <w:tcPr/>
                <w:p>
                  <w:pPr>
                    <w:pStyle w:val="Compact"/>
                    <w:jc w:val="right"/>
                    <w:jc w:val="center"/>
                  </w:pPr>
                  <w:r>
                    <w:t xml:space="preserve">9.185</w:t>
                  </w:r>
                </w:p>
              </w:tc>
              <w:tc>
                <w:tcPr/>
                <w:p>
                  <w:pPr>
                    <w:pStyle w:val="Compact"/>
                    <w:jc w:val="right"/>
                    <w:jc w:val="center"/>
                  </w:pPr>
                  <w:r>
                    <w:t xml:space="preserve">0.085</w:t>
                  </w:r>
                </w:p>
              </w:tc>
              <w:tc>
                <w:tcPr/>
                <w:p>
                  <w:pPr>
                    <w:pStyle w:val="Compact"/>
                    <w:jc w:val="right"/>
                    <w:jc w:val="center"/>
                  </w:pPr>
                  <w:r>
                    <w:t xml:space="preserve">107.839</w:t>
                  </w:r>
                </w:p>
              </w:tc>
              <w:tc>
                <w:tcPr/>
                <w:p>
                  <w:pPr>
                    <w:pStyle w:val="Compact"/>
                    <w:jc w:val="right"/>
                    <w:jc w:val="center"/>
                  </w:pPr>
                  <w:r>
                    <w:t xml:space="preserve">0.000</w:t>
                  </w:r>
                </w:p>
              </w:tc>
              <w:tc>
                <w:tcPr/>
                <w:p>
                  <w:pPr>
                    <w:pStyle w:val="Compact"/>
                    <w:jc w:val="right"/>
                    <w:jc w:val="center"/>
                  </w:pPr>
                  <w:r>
                    <w:t xml:space="preserve">9.018</w:t>
                  </w:r>
                </w:p>
              </w:tc>
              <w:tc>
                <w:tcPr/>
                <w:p>
                  <w:pPr>
                    <w:pStyle w:val="Compact"/>
                    <w:jc w:val="right"/>
                    <w:jc w:val="center"/>
                  </w:pPr>
                  <w:r>
                    <w:t xml:space="preserve">9.352</w:t>
                  </w:r>
                </w:p>
              </w:tc>
            </w:tr>
            <w:tr>
              <w:tc>
                <w:tcPr/>
                <w:p>
                  <w:pPr>
                    <w:pStyle w:val="Compact"/>
                    <w:jc w:val="left"/>
                    <w:jc w:val="center"/>
                  </w:pPr>
                  <w:r>
                    <w:t xml:space="preserve">(Intercept):2</w:t>
                  </w:r>
                </w:p>
              </w:tc>
              <w:tc>
                <w:tcPr/>
                <w:p>
                  <w:pPr>
                    <w:pStyle w:val="Compact"/>
                    <w:jc w:val="right"/>
                    <w:jc w:val="center"/>
                  </w:pPr>
                  <w:r>
                    <w:t xml:space="preserve">-1.181</w:t>
                  </w:r>
                </w:p>
              </w:tc>
              <w:tc>
                <w:tcPr/>
                <w:p>
                  <w:pPr>
                    <w:pStyle w:val="Compact"/>
                    <w:jc w:val="right"/>
                    <w:jc w:val="center"/>
                  </w:pPr>
                  <w:r>
                    <w:t xml:space="preserve">0.010</w:t>
                  </w:r>
                </w:p>
              </w:tc>
              <w:tc>
                <w:tcPr/>
                <w:p>
                  <w:pPr>
                    <w:pStyle w:val="Compact"/>
                    <w:jc w:val="right"/>
                    <w:jc w:val="center"/>
                  </w:pPr>
                  <w:r>
                    <w:t xml:space="preserve">-117.733</w:t>
                  </w:r>
                </w:p>
              </w:tc>
              <w:tc>
                <w:tcPr/>
                <w:p>
                  <w:pPr>
                    <w:pStyle w:val="Compact"/>
                    <w:jc w:val="right"/>
                    <w:jc w:val="center"/>
                  </w:pPr>
                  <w:r>
                    <w:t xml:space="preserve">0.000</w:t>
                  </w:r>
                </w:p>
              </w:tc>
              <w:tc>
                <w:tcPr/>
                <w:p>
                  <w:pPr>
                    <w:pStyle w:val="Compact"/>
                    <w:jc w:val="right"/>
                    <w:jc w:val="center"/>
                  </w:pPr>
                  <w:r>
                    <w:t xml:space="preserve">-1.201</w:t>
                  </w:r>
                </w:p>
              </w:tc>
              <w:tc>
                <w:tcPr/>
                <w:p>
                  <w:pPr>
                    <w:pStyle w:val="Compact"/>
                    <w:jc w:val="right"/>
                    <w:jc w:val="center"/>
                  </w:pPr>
                  <w:r>
                    <w:t xml:space="preserve">-1.162</w:t>
                  </w:r>
                </w:p>
              </w:tc>
            </w:tr>
            <w:tr>
              <w:tc>
                <w:tcPr/>
                <w:p>
                  <w:pPr>
                    <w:pStyle w:val="Compact"/>
                    <w:jc w:val="left"/>
                    <w:jc w:val="center"/>
                  </w:pPr>
                  <w:r>
                    <w:t xml:space="preserve">I(z1_quality_of_play)</w:t>
                  </w:r>
                </w:p>
              </w:tc>
              <w:tc>
                <w:tcPr/>
                <w:p>
                  <w:pPr>
                    <w:pStyle w:val="Compact"/>
                    <w:jc w:val="right"/>
                    <w:jc w:val="center"/>
                  </w:pPr>
                  <w:r>
                    <w:t xml:space="preserve">0.212</w:t>
                  </w:r>
                </w:p>
              </w:tc>
              <w:tc>
                <w:tcPr/>
                <w:p>
                  <w:pPr>
                    <w:pStyle w:val="Compact"/>
                    <w:jc w:val="right"/>
                    <w:jc w:val="center"/>
                  </w:pPr>
                  <w:r>
                    <w:t xml:space="preserve">0.079</w:t>
                  </w:r>
                </w:p>
              </w:tc>
              <w:tc>
                <w:tcPr/>
                <w:p>
                  <w:pPr>
                    <w:pStyle w:val="Compact"/>
                    <w:jc w:val="right"/>
                    <w:jc w:val="center"/>
                  </w:pPr>
                  <w:r>
                    <w:t xml:space="preserve">2.677</w:t>
                  </w:r>
                </w:p>
              </w:tc>
              <w:tc>
                <w:tcPr/>
                <w:p>
                  <w:pPr>
                    <w:pStyle w:val="Compact"/>
                    <w:jc w:val="right"/>
                    <w:jc w:val="center"/>
                  </w:pPr>
                  <w:r>
                    <w:t xml:space="preserve">0.007</w:t>
                  </w:r>
                </w:p>
              </w:tc>
              <w:tc>
                <w:tcPr/>
                <w:p>
                  <w:pPr>
                    <w:pStyle w:val="Compact"/>
                    <w:jc w:val="right"/>
                    <w:jc w:val="center"/>
                  </w:pPr>
                  <w:r>
                    <w:t xml:space="preserve">0.057</w:t>
                  </w:r>
                </w:p>
              </w:tc>
              <w:tc>
                <w:tcPr/>
                <w:p>
                  <w:pPr>
                    <w:pStyle w:val="Compact"/>
                    <w:jc w:val="right"/>
                    <w:jc w:val="center"/>
                  </w:pPr>
                  <w:r>
                    <w:t xml:space="preserve">0.368</w:t>
                  </w:r>
                </w:p>
              </w:tc>
            </w:tr>
            <w:tr>
              <w:tc>
                <w:tcPr/>
                <w:p>
                  <w:pPr>
                    <w:pStyle w:val="Compact"/>
                    <w:jc w:val="left"/>
                    <w:jc w:val="center"/>
                  </w:pPr>
                  <w:r>
                    <w:t xml:space="preserve">I(z2_uncertain_outcome)</w:t>
                  </w:r>
                </w:p>
              </w:tc>
              <w:tc>
                <w:tcPr/>
                <w:p>
                  <w:pPr>
                    <w:pStyle w:val="Compact"/>
                    <w:jc w:val="right"/>
                    <w:jc w:val="center"/>
                  </w:pPr>
                  <w:r>
                    <w:t xml:space="preserve">0.019</w:t>
                  </w:r>
                </w:p>
              </w:tc>
              <w:tc>
                <w:tcPr/>
                <w:p>
                  <w:pPr>
                    <w:pStyle w:val="Compact"/>
                    <w:jc w:val="right"/>
                    <w:jc w:val="center"/>
                  </w:pPr>
                  <w:r>
                    <w:t xml:space="preserve">0.045</w:t>
                  </w:r>
                </w:p>
              </w:tc>
              <w:tc>
                <w:tcPr/>
                <w:p>
                  <w:pPr>
                    <w:pStyle w:val="Compact"/>
                    <w:jc w:val="right"/>
                    <w:jc w:val="center"/>
                  </w:pPr>
                  <w:r>
                    <w:t xml:space="preserve">0.430</w:t>
                  </w:r>
                </w:p>
              </w:tc>
              <w:tc>
                <w:tcPr/>
                <w:p>
                  <w:pPr>
                    <w:pStyle w:val="Compact"/>
                    <w:jc w:val="right"/>
                    <w:jc w:val="center"/>
                  </w:pPr>
                  <w:r>
                    <w:t xml:space="preserve">0.667</w:t>
                  </w:r>
                </w:p>
              </w:tc>
              <w:tc>
                <w:tcPr/>
                <w:p>
                  <w:pPr>
                    <w:pStyle w:val="Compact"/>
                    <w:jc w:val="right"/>
                    <w:jc w:val="center"/>
                  </w:pPr>
                  <w:r>
                    <w:t xml:space="preserve">-0.069</w:t>
                  </w:r>
                </w:p>
              </w:tc>
              <w:tc>
                <w:tcPr/>
                <w:p>
                  <w:pPr>
                    <w:pStyle w:val="Compact"/>
                    <w:jc w:val="right"/>
                    <w:jc w:val="center"/>
                  </w:pPr>
                  <w:r>
                    <w:t xml:space="preserve">0.108</w:t>
                  </w:r>
                </w:p>
              </w:tc>
            </w:tr>
            <w:tr>
              <w:tc>
                <w:tcPr/>
                <w:p>
                  <w:pPr>
                    <w:pStyle w:val="Compact"/>
                    <w:jc w:val="left"/>
                    <w:jc w:val="center"/>
                  </w:pPr>
                  <w:r>
                    <w:t xml:space="preserve">I(z3_loss_aversion)</w:t>
                  </w:r>
                </w:p>
              </w:tc>
              <w:tc>
                <w:tcPr/>
                <w:p>
                  <w:pPr>
                    <w:pStyle w:val="Compact"/>
                    <w:jc w:val="right"/>
                    <w:jc w:val="center"/>
                  </w:pPr>
                  <w:r>
                    <w:t xml:space="preserve">0.025</w:t>
                  </w:r>
                </w:p>
              </w:tc>
              <w:tc>
                <w:tcPr/>
                <w:p>
                  <w:pPr>
                    <w:pStyle w:val="Compact"/>
                    <w:jc w:val="right"/>
                    <w:jc w:val="center"/>
                  </w:pPr>
                  <w:r>
                    <w:t xml:space="preserve">0.056</w:t>
                  </w:r>
                </w:p>
              </w:tc>
              <w:tc>
                <w:tcPr/>
                <w:p>
                  <w:pPr>
                    <w:pStyle w:val="Compact"/>
                    <w:jc w:val="right"/>
                    <w:jc w:val="center"/>
                  </w:pPr>
                  <w:r>
                    <w:t xml:space="preserve">0.440</w:t>
                  </w:r>
                </w:p>
              </w:tc>
              <w:tc>
                <w:tcPr/>
                <w:p>
                  <w:pPr>
                    <w:pStyle w:val="Compact"/>
                    <w:jc w:val="right"/>
                    <w:jc w:val="center"/>
                  </w:pPr>
                  <w:r>
                    <w:t xml:space="preserve">0.660</w:t>
                  </w:r>
                </w:p>
              </w:tc>
              <w:tc>
                <w:tcPr/>
                <w:p>
                  <w:pPr>
                    <w:pStyle w:val="Compact"/>
                    <w:jc w:val="right"/>
                    <w:jc w:val="center"/>
                  </w:pPr>
                  <w:r>
                    <w:t xml:space="preserve">-0.085</w:t>
                  </w:r>
                </w:p>
              </w:tc>
              <w:tc>
                <w:tcPr/>
                <w:p>
                  <w:pPr>
                    <w:pStyle w:val="Compact"/>
                    <w:jc w:val="right"/>
                    <w:jc w:val="center"/>
                  </w:pPr>
                  <w:r>
                    <w:t xml:space="preserve">0.135</w:t>
                  </w:r>
                </w:p>
              </w:tc>
            </w:tr>
            <w:tr>
              <w:tc>
                <w:tcPr/>
                <w:p>
                  <w:pPr>
                    <w:pStyle w:val="Compact"/>
                    <w:jc w:val="left"/>
                    <w:jc w:val="center"/>
                  </w:pPr>
                  <w:r>
                    <w:t xml:space="preserve">Player: A’ja Wilson</w:t>
                  </w:r>
                </w:p>
              </w:tc>
              <w:tc>
                <w:tcPr/>
                <w:p>
                  <w:pPr>
                    <w:pStyle w:val="Compact"/>
                    <w:jc w:val="right"/>
                    <w:jc w:val="center"/>
                  </w:pPr>
                  <w:r>
                    <w:t xml:space="preserve">0.048</w:t>
                  </w:r>
                </w:p>
              </w:tc>
              <w:tc>
                <w:tcPr/>
                <w:p>
                  <w:pPr>
                    <w:pStyle w:val="Compact"/>
                    <w:jc w:val="right"/>
                    <w:jc w:val="center"/>
                  </w:pPr>
                  <w:r>
                    <w:t xml:space="preserve">0.026</w:t>
                  </w:r>
                </w:p>
              </w:tc>
              <w:tc>
                <w:tcPr/>
                <w:p>
                  <w:pPr>
                    <w:pStyle w:val="Compact"/>
                    <w:jc w:val="right"/>
                    <w:jc w:val="center"/>
                  </w:pPr>
                  <w:r>
                    <w:t xml:space="preserve">1.828</w:t>
                  </w:r>
                </w:p>
              </w:tc>
              <w:tc>
                <w:tcPr/>
                <w:p>
                  <w:pPr>
                    <w:pStyle w:val="Compact"/>
                    <w:jc w:val="right"/>
                    <w:jc w:val="center"/>
                  </w:pPr>
                  <w:r>
                    <w:t xml:space="preserve">0.068</w:t>
                  </w:r>
                </w:p>
              </w:tc>
              <w:tc>
                <w:tcPr/>
                <w:p>
                  <w:pPr>
                    <w:pStyle w:val="Compact"/>
                    <w:jc w:val="right"/>
                    <w:jc w:val="center"/>
                  </w:pPr>
                  <w:r>
                    <w:t xml:space="preserve">-0.003</w:t>
                  </w:r>
                </w:p>
              </w:tc>
              <w:tc>
                <w:tcPr/>
                <w:p>
                  <w:pPr>
                    <w:pStyle w:val="Compact"/>
                    <w:jc w:val="right"/>
                    <w:jc w:val="center"/>
                  </w:pPr>
                  <w:r>
                    <w:t xml:space="preserve">0.099</w:t>
                  </w:r>
                </w:p>
              </w:tc>
            </w:tr>
            <w:tr>
              <w:tc>
                <w:tcPr/>
                <w:p>
                  <w:pPr>
                    <w:pStyle w:val="Compact"/>
                    <w:jc w:val="left"/>
                    <w:jc w:val="center"/>
                  </w:pPr>
                  <w:r>
                    <w:t xml:space="preserve">Player: Caitlin Clark</w:t>
                  </w:r>
                </w:p>
              </w:tc>
              <w:tc>
                <w:tcPr/>
                <w:p>
                  <w:pPr>
                    <w:pStyle w:val="Compact"/>
                    <w:jc w:val="right"/>
                    <w:jc w:val="center"/>
                  </w:pPr>
                  <w:r>
                    <w:t xml:space="preserve">0.846</w:t>
                  </w:r>
                </w:p>
              </w:tc>
              <w:tc>
                <w:tcPr/>
                <w:p>
                  <w:pPr>
                    <w:pStyle w:val="Compact"/>
                    <w:jc w:val="right"/>
                    <w:jc w:val="center"/>
                  </w:pPr>
                  <w:r>
                    <w:t xml:space="preserve">0.054</w:t>
                  </w:r>
                </w:p>
              </w:tc>
              <w:tc>
                <w:tcPr/>
                <w:p>
                  <w:pPr>
                    <w:pStyle w:val="Compact"/>
                    <w:jc w:val="right"/>
                    <w:jc w:val="center"/>
                  </w:pPr>
                  <w:r>
                    <w:t xml:space="preserve">15.543</w:t>
                  </w:r>
                </w:p>
              </w:tc>
              <w:tc>
                <w:tcPr/>
                <w:p>
                  <w:pPr>
                    <w:pStyle w:val="Compact"/>
                    <w:jc w:val="right"/>
                    <w:jc w:val="center"/>
                  </w:pPr>
                  <w:r>
                    <w:t xml:space="preserve">0.000</w:t>
                  </w:r>
                </w:p>
              </w:tc>
              <w:tc>
                <w:tcPr/>
                <w:p>
                  <w:pPr>
                    <w:pStyle w:val="Compact"/>
                    <w:jc w:val="right"/>
                    <w:jc w:val="center"/>
                  </w:pPr>
                  <w:r>
                    <w:t xml:space="preserve">0.739</w:t>
                  </w:r>
                </w:p>
              </w:tc>
              <w:tc>
                <w:tcPr/>
                <w:p>
                  <w:pPr>
                    <w:pStyle w:val="Compact"/>
                    <w:jc w:val="right"/>
                    <w:jc w:val="center"/>
                  </w:pPr>
                  <w:r>
                    <w:t xml:space="preserve">0.953</w:t>
                  </w:r>
                </w:p>
              </w:tc>
            </w:tr>
            <w:tr>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0.001</w:t>
                  </w:r>
                </w:p>
              </w:tc>
              <w:tc>
                <w:tcPr/>
                <w:p>
                  <w:pPr>
                    <w:pStyle w:val="Compact"/>
                    <w:jc w:val="right"/>
                    <w:jc w:val="center"/>
                  </w:pPr>
                  <w:r>
                    <w:t xml:space="preserve">-4.169</w:t>
                  </w:r>
                </w:p>
              </w:tc>
              <w:tc>
                <w:tcPr/>
                <w:p>
                  <w:pPr>
                    <w:pStyle w:val="Compact"/>
                    <w:jc w:val="right"/>
                    <w:jc w:val="center"/>
                  </w:pPr>
                  <w:r>
                    <w:t xml:space="preserve">0.000</w:t>
                  </w:r>
                </w:p>
              </w:tc>
              <w:tc>
                <w:tcPr/>
                <w:p>
                  <w:pPr>
                    <w:pStyle w:val="Compact"/>
                    <w:jc w:val="right"/>
                    <w:jc w:val="center"/>
                  </w:pPr>
                  <w:r>
                    <w:t xml:space="preserve">-0.008</w:t>
                  </w:r>
                </w:p>
              </w:tc>
              <w:tc>
                <w:tcPr/>
                <w:p>
                  <w:pPr>
                    <w:pStyle w:val="Compact"/>
                    <w:jc w:val="right"/>
                    <w:jc w:val="center"/>
                  </w:pPr>
                  <w:r>
                    <w:t xml:space="preserve">-0.003</w:t>
                  </w:r>
                </w:p>
              </w:tc>
            </w:tr>
            <w:tr>
              <w:tc>
                <w:tcPr/>
                <w:p>
                  <w:pPr>
                    <w:pStyle w:val="Compact"/>
                    <w:jc w:val="left"/>
                    <w:jc w:val="center"/>
                  </w:pPr>
                  <w:r>
                    <w:t xml:space="preserve">metro_pop</w:t>
                  </w:r>
                </w:p>
              </w:tc>
              <w:tc>
                <w:tcPr/>
                <w:p>
                  <w:pPr>
                    <w:pStyle w:val="Compact"/>
                    <w:jc w:val="right"/>
                    <w:jc w:val="center"/>
                  </w:pPr>
                  <w:r>
                    <w:t xml:space="preserve">-0.016</w:t>
                  </w:r>
                </w:p>
              </w:tc>
              <w:tc>
                <w:tcPr/>
                <w:p>
                  <w:pPr>
                    <w:pStyle w:val="Compact"/>
                    <w:jc w:val="right"/>
                    <w:jc w:val="center"/>
                  </w:pPr>
                  <w:r>
                    <w:t xml:space="preserve">0.006</w:t>
                  </w:r>
                </w:p>
              </w:tc>
              <w:tc>
                <w:tcPr/>
                <w:p>
                  <w:pPr>
                    <w:pStyle w:val="Compact"/>
                    <w:jc w:val="right"/>
                    <w:jc w:val="center"/>
                  </w:pPr>
                  <w:r>
                    <w:t xml:space="preserve">-2.586</w:t>
                  </w:r>
                </w:p>
              </w:tc>
              <w:tc>
                <w:tcPr/>
                <w:p>
                  <w:pPr>
                    <w:pStyle w:val="Compact"/>
                    <w:jc w:val="right"/>
                    <w:jc w:val="center"/>
                  </w:pPr>
                  <w:r>
                    <w:t xml:space="preserve">0.010</w:t>
                  </w:r>
                </w:p>
              </w:tc>
              <w:tc>
                <w:tcPr/>
                <w:p>
                  <w:pPr>
                    <w:pStyle w:val="Compact"/>
                    <w:jc w:val="right"/>
                    <w:jc w:val="center"/>
                  </w:pPr>
                  <w:r>
                    <w:t xml:space="preserve">-0.029</w:t>
                  </w:r>
                </w:p>
              </w:tc>
              <w:tc>
                <w:tcPr/>
                <w:p>
                  <w:pPr>
                    <w:pStyle w:val="Compact"/>
                    <w:jc w:val="right"/>
                    <w:jc w:val="center"/>
                  </w:pPr>
                  <w:r>
                    <w:t xml:space="preserve">-0.004</w:t>
                  </w:r>
                </w:p>
              </w:tc>
            </w:tr>
          </w:tbl>
          <w:bookmarkEnd w:id="7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the reference season, the evidence for loss aversion (</w:t>
      </w:r>
      <m:oMath>
        <m:sSub>
          <m:e>
            <m:r>
              <m:t>Z</m:t>
            </m:r>
          </m:e>
          <m:sub>
            <m:r>
              <m:t>3</m:t>
            </m:r>
          </m:sub>
        </m:sSub>
      </m:oMath>
      <w:r>
        <w:t xml:space="preserve">) and uncertainty of outcome (</w:t>
      </w:r>
      <m:oMath>
        <m:sSub>
          <m:e>
            <m:r>
              <m:t>Z</m:t>
            </m:r>
          </m:e>
          <m:sub>
            <m:r>
              <m:t>2</m:t>
            </m:r>
          </m:sub>
        </m:sSub>
      </m:oMath>
      <w:r>
        <w:t xml:space="preserve">) is weak, with those coefficients being of little significance, either practically or statistically.</w:t>
      </w:r>
      <w:r>
        <w:t xml:space="preserve"> </w:t>
      </w:r>
      <w:r>
        <w:t xml:space="preserve">The coefficient for quality of play (which</w:t>
      </w:r>
      <w:r>
        <w:t xml:space="preserve"> </w:t>
      </w:r>
      <w:r>
        <w:rPr>
          <w:i/>
          <w:iCs/>
        </w:rPr>
        <w:t xml:space="preserve">is</w:t>
      </w:r>
      <w:r>
        <w:t xml:space="preserve"> </w:t>
      </w:r>
      <w:r>
        <w:t xml:space="preserve">statistically significant) suggest that in 1997, a 1 standard deviation increase in the quality of play (as measured by the product of the Elo ratings) is associated with a modest 2.15% increase in the expected attendance, after controlling for our other factors.</w:t>
      </w:r>
      <w:r>
        <w:t xml:space="preserve"> </w:t>
      </w:r>
      <w:r>
        <w:t xml:space="preserve">The strong support for quality of play (relative to uncertainty of outcome and loss aversion) is a key finding.</w:t>
      </w:r>
    </w:p>
    <w:p>
      <w:pPr>
        <w:pStyle w:val="BodyText"/>
      </w:pPr>
      <w:r>
        <w:t xml:space="preserve">Games featuring Caitlin Clark were associated with significantly higher attendance, while A’ja Wilson’s presence was associated with a smaller but still nontrivial increase in attendance.</w:t>
      </w:r>
      <w:r>
        <w:t xml:space="preserve"> </w:t>
      </w:r>
      <w:r>
        <w:t xml:space="preserve">The expected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r>
        <w:t xml:space="preserve"> </w:t>
      </w:r>
      <w:r>
        <w:t xml:space="preserve">The corresponding change in attendance for A’ja Wilson—by most accounts a better player than Clark—is multiplying by just 1.05.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Need to provide an interpretation for the Tobit coefficient.</w:t>
            </w:r>
          </w:p>
          <w:p/>
        </w:tc>
      </w:tr>
    </w:tbl>
    <w:p>
      <w:pPr>
        <w:pStyle w:val="BodyText"/>
      </w:pPr>
      <w:r>
        <w:t xml:space="preserve">Among the control variables, median income and metro area population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is omitted because it was so large that it renders all of the other effects indistinguishable.</w:t>
      </w:r>
      <w:r>
        <w:t xml:space="preserve"> </w:t>
      </w:r>
      <w:r>
        <w:t xml:space="preserve">The New York Liberty have the largest team effect, and all teams are positive relative to the Dream.</w:t>
      </w:r>
      <w:r>
        <w:t xml:space="preserve"> </w:t>
      </w:r>
      <w:r>
        <w:t xml:space="preserve">Saturday games have the highest attendance, as do games later in the season.</w:t>
      </w:r>
    </w:p>
    <w:bookmarkStart w:id="85" w:name="cell-fig-attend-coefs"/>
    <w:tbl>
      <w:tblPr>
        <w:tblStyle w:val="Table"/>
        <w:tblW w:type="pct" w:w="5000"/>
        <w:tblLayout w:type="fixed"/>
        <w:tblLook w:firstRow="0" w:lastRow="0" w:firstColumn="0" w:lastColumn="0" w:noHBand="0" w:noVBand="0" w:val="0000"/>
      </w:tblPr>
      <w:tblGrid>
        <w:gridCol w:w="7920"/>
      </w:tblGrid>
      <w:tr>
        <w:tc>
          <w:tcPr/>
          <w:bookmarkStart w:id="84" w:name="fig-attend-coefs"/>
          <w:p>
            <w:pPr>
              <w:pStyle w:val="Compact"/>
              <w:jc w:val="center"/>
            </w:pPr>
            <w:r>
              <w:drawing>
                <wp:inline>
                  <wp:extent cx="4620126" cy="3696101"/>
                  <wp:effectExtent b="0" l="0" r="0" t="0"/>
                  <wp:docPr descr="" title="" id="82" name="Picture"/>
                  <a:graphic>
                    <a:graphicData uri="http://schemas.openxmlformats.org/drawingml/2006/picture">
                      <pic:pic>
                        <pic:nvPicPr>
                          <pic:cNvPr descr="index_files/figure-docx/fig-attend-coef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in green. Note the relatively large size of the coefficient associated with Caitlin Clark.</w:t>
            </w:r>
          </w:p>
          <w:bookmarkEnd w:id="8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5"/>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8</w:t>
        </w:r>
      </w:hyperlink>
      <w:r>
        <w:t xml:space="preserve"> </w:t>
      </w:r>
      <w:r>
        <w:t xml:space="preserve">characterizes the model’s fit.</w:t>
      </w:r>
    </w:p>
    <w:bookmarkEnd w:id="86"/>
    <w:bookmarkStart w:id="103"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tables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87" w:name="tbl-lrt"/>
          <w:p>
            <w:pPr>
              <w:jc w:val="center"/>
            </w:pPr>
            <w:pPr>
              <w:jc w:val="left"/>
              <w:spacing w:before="200"/>
              <w:pStyle w:val="ImageCaption"/>
            </w:pPr>
            <w:r>
              <w:t xml:space="preserve">Table 6: Model comparison: constant vs season-varying effects of fan engagement on attendance.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Resid. Df</w:t>
                  </w:r>
                </w:p>
              </w:tc>
              <w:tc>
                <w:tcPr/>
                <w:p>
                  <w:pPr>
                    <w:pStyle w:val="Compact"/>
                    <w:jc w:val="right"/>
                    <w:jc w:val="center"/>
                  </w:pPr>
                  <w:r>
                    <w:t xml:space="preserve">LogLik</w:t>
                  </w:r>
                </w:p>
              </w:tc>
              <w:tc>
                <w:tcPr/>
                <w:p>
                  <w:pPr>
                    <w:pStyle w:val="Compact"/>
                    <w:jc w:val="right"/>
                    <w:jc w:val="center"/>
                  </w:pPr>
                  <w:r>
                    <w:t xml:space="preserve">Df</w:t>
                  </w:r>
                </w:p>
              </w:tc>
              <w:tc>
                <w:tcPr/>
                <w:p>
                  <w:pPr>
                    <w:pStyle w:val="Compact"/>
                    <w:jc w:val="right"/>
                    <w:jc w:val="center"/>
                  </w:pPr>
                  <w:r>
                    <w:t xml:space="preserve">2 * LogLik Diff.</w:t>
                  </w:r>
                </w:p>
              </w:tc>
              <w:tc>
                <w:tcPr/>
                <w:p>
                  <w:pPr>
                    <w:pStyle w:val="Compact"/>
                    <w:jc w:val="right"/>
                    <w:jc w:val="center"/>
                  </w:pPr>
                  <w:r>
                    <w:t xml:space="preserve">Pr(&gt;Chi)</w:t>
                  </w:r>
                </w:p>
              </w:tc>
            </w:tr>
            <w:tr>
              <w:tc>
                <w:tcPr/>
                <w:p>
                  <w:pPr>
                    <w:pStyle w:val="Compact"/>
                    <w:jc w:val="right"/>
                    <w:jc w:val="center"/>
                  </w:pPr>
                  <w:r>
                    <w:t xml:space="preserve">10069</w:t>
                  </w:r>
                </w:p>
              </w:tc>
              <w:tc>
                <w:tcPr/>
                <w:p>
                  <w:pPr>
                    <w:pStyle w:val="Compact"/>
                    <w:jc w:val="right"/>
                    <w:jc w:val="center"/>
                  </w:pPr>
                  <w:r>
                    <w:t xml:space="preserve">-1481.836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78</w:t>
                  </w:r>
                </w:p>
              </w:tc>
              <w:tc>
                <w:tcPr/>
                <w:p>
                  <w:pPr>
                    <w:pStyle w:val="Compact"/>
                    <w:jc w:val="right"/>
                    <w:jc w:val="center"/>
                  </w:pPr>
                  <w:r>
                    <w:t xml:space="preserve">396.318</w:t>
                  </w:r>
                </w:p>
              </w:tc>
              <w:tc>
                <w:tcPr/>
                <w:p>
                  <w:pPr>
                    <w:pStyle w:val="Compact"/>
                    <w:jc w:val="right"/>
                    <w:jc w:val="center"/>
                  </w:pPr>
                  <w:r>
                    <w:t xml:space="preserve">0</w:t>
                  </w:r>
                </w:p>
              </w:tc>
            </w:tr>
          </w:tbl>
          <w:bookmarkEnd w:id="8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8</w:t>
        </w:r>
      </w:hyperlink>
      <w:r>
        <w:t xml:space="preserve"> </w:t>
      </w:r>
      <w:r>
        <w:t xml:space="preserve">isolates the change in intercept associated with each WNBA season.</w:t>
      </w:r>
      <w:r>
        <w:t xml:space="preserve"> </w:t>
      </w:r>
      <w:r>
        <w:t xml:space="preserve">These reveal that even after controlling for our others variables—including the Caitlin Clark effect—expected attendance has exceeded its 1997 baseline in the most recent seasons.</w:t>
      </w:r>
      <w:r>
        <w:t xml:space="preserve"> </w:t>
      </w:r>
      <w:r>
        <w:t xml:space="preserve">Thus, after controlling for the influence of Clark and Wilson, league expected attendance has fully recovered from the COVID-19 pandemic and the malaise of the early 2000s and 2010s.</w:t>
      </w:r>
    </w:p>
    <w:bookmarkStart w:id="92" w:name="cell-fig-season-coefs"/>
    <w:tbl>
      <w:tblPr>
        <w:tblStyle w:val="Table"/>
        <w:tblW w:type="pct" w:w="5000"/>
        <w:tblLayout w:type="fixed"/>
        <w:tblLook w:firstRow="0" w:lastRow="0" w:firstColumn="0" w:lastColumn="0" w:noHBand="0" w:noVBand="0" w:val="0000"/>
      </w:tblPr>
      <w:tblGrid>
        <w:gridCol w:w="7920"/>
      </w:tblGrid>
      <w:tr>
        <w:tc>
          <w:tcPr/>
          <w:bookmarkStart w:id="91" w:name="fig-season-coefs"/>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season-coefs-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(corresponding to 1997), match those in</w:t>
      </w:r>
      <w:r>
        <w:t xml:space="preserve"> </w:t>
      </w:r>
      <w:hyperlink w:anchor="tbl-coefs">
        <w:r>
          <w:rPr>
            <w:rStyle w:val="Hyperlink"/>
          </w:rPr>
          <w:t xml:space="preserve">Table 5</w:t>
        </w:r>
      </w:hyperlink>
      <w:r>
        <w:t xml:space="preserve">, and the subsequent interaction terms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rPr>
          <w:rStyle w:val="FootnoteReference"/>
        </w:rPr>
        <w:footnoteReference w:id="93"/>
      </w:r>
      <w:r>
        <w:t xml:space="preserve"> </w:t>
      </w:r>
      <w:r>
        <w:t xml:space="preserve">The slope associated with loss aversion always positive and generally increasing, suggesting that the attendance response to home win probability has strengthened over the league’s history.</w:t>
      </w:r>
      <w:r>
        <w:t xml:space="preserve"> </w:t>
      </w:r>
      <w:r>
        <w:t xml:space="preserve">This suggests that fan behavior in the WNBA may be becoming more similar to the behavior observed in MLB by</w:t>
      </w:r>
      <w:r>
        <w:t xml:space="preserve"> </w:t>
      </w:r>
      <w:r>
        <w:t xml:space="preserve">Coates et al. (2014)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Say something about how this tracks with Agha and Berri.</w:t>
            </w:r>
          </w:p>
          <w:p/>
        </w:tc>
      </w:tr>
    </w:tbl>
    <w:p>
      <w:pPr>
        <w:pStyle w:val="BodyText"/>
      </w:pPr>
      <w:r>
        <w:t xml:space="preserve">Similarly, the slope associated with quality of play is always positive and generally increasing, following a steep fall after the league’s first season.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I’m not sure why the quality of play initial coefficient is so high and then drops off.</w:t>
            </w:r>
          </w:p>
          <w:p/>
        </w:tc>
      </w:tr>
    </w:tbl>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2" w:name="cell-fig-season-slopes"/>
    <w:tbl>
      <w:tblPr>
        <w:tblStyle w:val="Table"/>
        <w:tblW w:type="pct" w:w="5000"/>
        <w:tblLayout w:type="fixed"/>
        <w:tblLook w:firstRow="0" w:lastRow="0" w:firstColumn="0" w:lastColumn="0" w:noHBand="0" w:noVBand="0" w:val="0000"/>
      </w:tblPr>
      <w:tblGrid>
        <w:gridCol w:w="7920"/>
      </w:tblGrid>
      <w:tr>
        <w:tc>
          <w:tcPr/>
          <w:bookmarkStart w:id="101" w:name="fig-season-slopes"/>
          <w:p>
            <w:pPr>
              <w:pStyle w:val="Compact"/>
              <w:jc w:val="center"/>
            </w:pPr>
            <w:r>
              <w:drawing>
                <wp:inline>
                  <wp:extent cx="4620126" cy="3696101"/>
                  <wp:effectExtent b="0" l="0" r="0" t="0"/>
                  <wp:docPr descr="" title="" id="99" name="Picture"/>
                  <a:graphic>
                    <a:graphicData uri="http://schemas.openxmlformats.org/drawingml/2006/picture">
                      <pic:pic>
                        <pic:nvPicPr>
                          <pic:cNvPr descr="index_files/figure-docx/fig-season-slopes-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10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2"/>
    <w:bookmarkEnd w:id="103"/>
    <w:bookmarkEnd w:id="104"/>
    <w:bookmarkStart w:id="123" w:name="modeling-percentage-of-arena-capacity"/>
    <w:p>
      <w:pPr>
        <w:pStyle w:val="Heading3"/>
      </w:pPr>
      <w:r>
        <w:t xml:space="preserve">4.2 Modeling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1"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05" w:name="tbl-coefs2"/>
          <w:p>
            <w:pPr>
              <w:jc w:val="center"/>
            </w:pPr>
            <w:pPr>
              <w:jc w:val="left"/>
              <w:spacing w:before="200"/>
              <w:pStyle w:val="ImageCaption"/>
            </w:pPr>
            <w:r>
              <w:t xml:space="preserve">Table 7: Table of coefficients from percentage of arena capacity models.</w:t>
            </w:r>
          </w:p>
          <w:tbl>
            <w:tblPr>
              <w:tblStyle w:val="Table"/>
              <w:tblW w:type="pct" w:w="5000"/>
              <w:tblLayout w:type="fixed"/>
              <w:tblLook w:firstRow="1" w:lastRow="0" w:firstColumn="0" w:lastColumn="0" w:noHBand="0" w:noVBand="0" w:val="0020"/>
            </w:tblPr>
            <w:tblGrid>
              <w:gridCol w:w="2376"/>
              <w:gridCol w:w="891"/>
              <w:gridCol w:w="990"/>
              <w:gridCol w:w="990"/>
              <w:gridCol w:w="792"/>
              <w:gridCol w:w="891"/>
              <w:gridCol w:w="99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(Intercept)</w:t>
                  </w:r>
                </w:p>
              </w:tc>
              <w:tc>
                <w:tcPr/>
                <w:p>
                  <w:pPr>
                    <w:pStyle w:val="Compact"/>
                    <w:jc w:val="right"/>
                    <w:jc w:val="center"/>
                  </w:pPr>
                  <w:r>
                    <w:t xml:space="preserve">-0.495</w:t>
                  </w:r>
                </w:p>
              </w:tc>
              <w:tc>
                <w:tcPr/>
                <w:p>
                  <w:pPr>
                    <w:pStyle w:val="Compact"/>
                    <w:jc w:val="right"/>
                    <w:jc w:val="center"/>
                  </w:pPr>
                  <w:r>
                    <w:t xml:space="preserve">0.184</w:t>
                  </w:r>
                </w:p>
              </w:tc>
              <w:tc>
                <w:tcPr/>
                <w:p>
                  <w:pPr>
                    <w:pStyle w:val="Compact"/>
                    <w:jc w:val="right"/>
                    <w:jc w:val="center"/>
                  </w:pPr>
                  <w:r>
                    <w:t xml:space="preserve">-2.695</w:t>
                  </w:r>
                </w:p>
              </w:tc>
              <w:tc>
                <w:tcPr/>
                <w:p>
                  <w:pPr>
                    <w:pStyle w:val="Compact"/>
                    <w:jc w:val="right"/>
                    <w:jc w:val="center"/>
                  </w:pPr>
                  <w:r>
                    <w:t xml:space="preserve">0.007</w:t>
                  </w:r>
                </w:p>
              </w:tc>
              <w:tc>
                <w:tcPr/>
                <w:p>
                  <w:pPr>
                    <w:pStyle w:val="Compact"/>
                    <w:jc w:val="right"/>
                    <w:jc w:val="center"/>
                  </w:pPr>
                  <w:r>
                    <w:t xml:space="preserve">-0.855</w:t>
                  </w:r>
                </w:p>
              </w:tc>
              <w:tc>
                <w:tcPr/>
                <w:p>
                  <w:pPr>
                    <w:pStyle w:val="Compact"/>
                    <w:jc w:val="right"/>
                    <w:jc w:val="center"/>
                  </w:pPr>
                  <w:r>
                    <w:t xml:space="preserve">-0.135</w:t>
                  </w:r>
                </w:p>
              </w:tc>
            </w:tr>
            <w:tr>
              <w:tc>
                <w:tcPr/>
                <w:p>
                  <w:pPr>
                    <w:pStyle w:val="Compact"/>
                    <w:jc w:val="left"/>
                    <w:jc w:val="center"/>
                  </w:pPr>
                  <w:r>
                    <w:t xml:space="preserve">I(z1_quality_of_play)</w:t>
                  </w:r>
                </w:p>
              </w:tc>
              <w:tc>
                <w:tcPr/>
                <w:p>
                  <w:pPr>
                    <w:pStyle w:val="Compact"/>
                    <w:jc w:val="right"/>
                    <w:jc w:val="center"/>
                  </w:pPr>
                  <w:r>
                    <w:t xml:space="preserve">0.506</w:t>
                  </w:r>
                </w:p>
              </w:tc>
              <w:tc>
                <w:tcPr/>
                <w:p>
                  <w:pPr>
                    <w:pStyle w:val="Compact"/>
                    <w:jc w:val="right"/>
                    <w:jc w:val="center"/>
                  </w:pPr>
                  <w:r>
                    <w:t xml:space="preserve">0.181</w:t>
                  </w:r>
                </w:p>
              </w:tc>
              <w:tc>
                <w:tcPr/>
                <w:p>
                  <w:pPr>
                    <w:pStyle w:val="Compact"/>
                    <w:jc w:val="right"/>
                    <w:jc w:val="center"/>
                  </w:pPr>
                  <w:r>
                    <w:t xml:space="preserve">2.793</w:t>
                  </w:r>
                </w:p>
              </w:tc>
              <w:tc>
                <w:tcPr/>
                <w:p>
                  <w:pPr>
                    <w:pStyle w:val="Compact"/>
                    <w:jc w:val="right"/>
                    <w:jc w:val="center"/>
                  </w:pPr>
                  <w:r>
                    <w:t xml:space="preserve">0.005</w:t>
                  </w:r>
                </w:p>
              </w:tc>
              <w:tc>
                <w:tcPr/>
                <w:p>
                  <w:pPr>
                    <w:pStyle w:val="Compact"/>
                    <w:jc w:val="right"/>
                    <w:jc w:val="center"/>
                  </w:pPr>
                  <w:r>
                    <w:t xml:space="preserve">0.151</w:t>
                  </w:r>
                </w:p>
              </w:tc>
              <w:tc>
                <w:tcPr/>
                <w:p>
                  <w:pPr>
                    <w:pStyle w:val="Compact"/>
                    <w:jc w:val="right"/>
                    <w:jc w:val="center"/>
                  </w:pPr>
                  <w:r>
                    <w:t xml:space="preserve">0.862</w:t>
                  </w:r>
                </w:p>
              </w:tc>
            </w:tr>
            <w:tr>
              <w:tc>
                <w:tcPr/>
                <w:p>
                  <w:pPr>
                    <w:pStyle w:val="Compact"/>
                    <w:jc w:val="left"/>
                    <w:jc w:val="center"/>
                  </w:pPr>
                  <w:r>
                    <w:t xml:space="preserve">I(z2_uncertain_outcome)</w:t>
                  </w:r>
                </w:p>
              </w:tc>
              <w:tc>
                <w:tcPr/>
                <w:p>
                  <w:pPr>
                    <w:pStyle w:val="Compact"/>
                    <w:jc w:val="right"/>
                    <w:jc w:val="center"/>
                  </w:pPr>
                  <w:r>
                    <w:t xml:space="preserve">0.136</w:t>
                  </w:r>
                </w:p>
              </w:tc>
              <w:tc>
                <w:tcPr/>
                <w:p>
                  <w:pPr>
                    <w:pStyle w:val="Compact"/>
                    <w:jc w:val="right"/>
                    <w:jc w:val="center"/>
                  </w:pPr>
                  <w:r>
                    <w:t xml:space="preserve">0.097</w:t>
                  </w:r>
                </w:p>
              </w:tc>
              <w:tc>
                <w:tcPr/>
                <w:p>
                  <w:pPr>
                    <w:pStyle w:val="Compact"/>
                    <w:jc w:val="right"/>
                    <w:jc w:val="center"/>
                  </w:pPr>
                  <w:r>
                    <w:t xml:space="preserve">1.396</w:t>
                  </w:r>
                </w:p>
              </w:tc>
              <w:tc>
                <w:tcPr/>
                <w:p>
                  <w:pPr>
                    <w:pStyle w:val="Compact"/>
                    <w:jc w:val="right"/>
                    <w:jc w:val="center"/>
                  </w:pPr>
                  <w:r>
                    <w:t xml:space="preserve">0.163</w:t>
                  </w:r>
                </w:p>
              </w:tc>
              <w:tc>
                <w:tcPr/>
                <w:p>
                  <w:pPr>
                    <w:pStyle w:val="Compact"/>
                    <w:jc w:val="right"/>
                    <w:jc w:val="center"/>
                  </w:pPr>
                  <w:r>
                    <w:t xml:space="preserve">-0.055</w:t>
                  </w:r>
                </w:p>
              </w:tc>
              <w:tc>
                <w:tcPr/>
                <w:p>
                  <w:pPr>
                    <w:pStyle w:val="Compact"/>
                    <w:jc w:val="right"/>
                    <w:jc w:val="center"/>
                  </w:pPr>
                  <w:r>
                    <w:t xml:space="preserve">0.326</w:t>
                  </w:r>
                </w:p>
              </w:tc>
            </w:tr>
            <w:tr>
              <w:tc>
                <w:tcPr/>
                <w:p>
                  <w:pPr>
                    <w:pStyle w:val="Compact"/>
                    <w:jc w:val="left"/>
                    <w:jc w:val="center"/>
                  </w:pPr>
                  <w:r>
                    <w:t xml:space="preserve">I(z3_loss_aversion)</w:t>
                  </w:r>
                </w:p>
              </w:tc>
              <w:tc>
                <w:tcPr/>
                <w:p>
                  <w:pPr>
                    <w:pStyle w:val="Compact"/>
                    <w:jc w:val="right"/>
                    <w:jc w:val="center"/>
                  </w:pPr>
                  <w:r>
                    <w:t xml:space="preserve">0.099</w:t>
                  </w:r>
                </w:p>
              </w:tc>
              <w:tc>
                <w:tcPr/>
                <w:p>
                  <w:pPr>
                    <w:pStyle w:val="Compact"/>
                    <w:jc w:val="right"/>
                    <w:jc w:val="center"/>
                  </w:pPr>
                  <w:r>
                    <w:t xml:space="preserve">0.110</w:t>
                  </w:r>
                </w:p>
              </w:tc>
              <w:tc>
                <w:tcPr/>
                <w:p>
                  <w:pPr>
                    <w:pStyle w:val="Compact"/>
                    <w:jc w:val="right"/>
                    <w:jc w:val="center"/>
                  </w:pPr>
                  <w:r>
                    <w:t xml:space="preserve">0.902</w:t>
                  </w:r>
                </w:p>
              </w:tc>
              <w:tc>
                <w:tcPr/>
                <w:p>
                  <w:pPr>
                    <w:pStyle w:val="Compact"/>
                    <w:jc w:val="right"/>
                    <w:jc w:val="center"/>
                  </w:pPr>
                  <w:r>
                    <w:t xml:space="preserve">0.367</w:t>
                  </w:r>
                </w:p>
              </w:tc>
              <w:tc>
                <w:tcPr/>
                <w:p>
                  <w:pPr>
                    <w:pStyle w:val="Compact"/>
                    <w:jc w:val="right"/>
                    <w:jc w:val="center"/>
                  </w:pPr>
                  <w:r>
                    <w:t xml:space="preserve">-0.116</w:t>
                  </w:r>
                </w:p>
              </w:tc>
              <w:tc>
                <w:tcPr/>
                <w:p>
                  <w:pPr>
                    <w:pStyle w:val="Compact"/>
                    <w:jc w:val="right"/>
                    <w:jc w:val="center"/>
                  </w:pPr>
                  <w:r>
                    <w:t xml:space="preserve">0.315</w:t>
                  </w:r>
                </w:p>
              </w:tc>
            </w:tr>
            <w:tr>
              <w:tc>
                <w:tcPr/>
                <w:p>
                  <w:pPr>
                    <w:pStyle w:val="Compact"/>
                    <w:jc w:val="left"/>
                    <w:jc w:val="center"/>
                  </w:pPr>
                  <w:r>
                    <w:t xml:space="preserve">Player: A’ja Wilson</w:t>
                  </w:r>
                </w:p>
              </w:tc>
              <w:tc>
                <w:tcPr/>
                <w:p>
                  <w:pPr>
                    <w:pStyle w:val="Compact"/>
                    <w:jc w:val="right"/>
                    <w:jc w:val="center"/>
                  </w:pPr>
                  <w:r>
                    <w:t xml:space="preserve">0.275</w:t>
                  </w:r>
                </w:p>
              </w:tc>
              <w:tc>
                <w:tcPr/>
                <w:p>
                  <w:pPr>
                    <w:pStyle w:val="Compact"/>
                    <w:jc w:val="right"/>
                    <w:jc w:val="center"/>
                  </w:pPr>
                  <w:r>
                    <w:t xml:space="preserve">0.064</w:t>
                  </w:r>
                </w:p>
              </w:tc>
              <w:tc>
                <w:tcPr/>
                <w:p>
                  <w:pPr>
                    <w:pStyle w:val="Compact"/>
                    <w:jc w:val="right"/>
                    <w:jc w:val="center"/>
                  </w:pPr>
                  <w:r>
                    <w:t xml:space="preserve">4.329</w:t>
                  </w:r>
                </w:p>
              </w:tc>
              <w:tc>
                <w:tcPr/>
                <w:p>
                  <w:pPr>
                    <w:pStyle w:val="Compact"/>
                    <w:jc w:val="right"/>
                    <w:jc w:val="center"/>
                  </w:pPr>
                  <w:r>
                    <w:t xml:space="preserve">0.000</w:t>
                  </w:r>
                </w:p>
              </w:tc>
              <w:tc>
                <w:tcPr/>
                <w:p>
                  <w:pPr>
                    <w:pStyle w:val="Compact"/>
                    <w:jc w:val="right"/>
                    <w:jc w:val="center"/>
                  </w:pPr>
                  <w:r>
                    <w:t xml:space="preserve">0.151</w:t>
                  </w:r>
                </w:p>
              </w:tc>
              <w:tc>
                <w:tcPr/>
                <w:p>
                  <w:pPr>
                    <w:pStyle w:val="Compact"/>
                    <w:jc w:val="right"/>
                    <w:jc w:val="center"/>
                  </w:pPr>
                  <w:r>
                    <w:t xml:space="preserve">0.400</w:t>
                  </w:r>
                </w:p>
              </w:tc>
            </w:tr>
            <w:tr>
              <w:tc>
                <w:tcPr/>
                <w:p>
                  <w:pPr>
                    <w:pStyle w:val="Compact"/>
                    <w:jc w:val="left"/>
                    <w:jc w:val="center"/>
                  </w:pPr>
                  <w:r>
                    <w:t xml:space="preserve">Player: Caitlin Clark</w:t>
                  </w:r>
                </w:p>
              </w:tc>
              <w:tc>
                <w:tcPr/>
                <w:p>
                  <w:pPr>
                    <w:pStyle w:val="Compact"/>
                    <w:jc w:val="right"/>
                    <w:jc w:val="center"/>
                  </w:pPr>
                  <w:r>
                    <w:t xml:space="preserve">1.917</w:t>
                  </w:r>
                </w:p>
              </w:tc>
              <w:tc>
                <w:tcPr/>
                <w:p>
                  <w:pPr>
                    <w:pStyle w:val="Compact"/>
                    <w:jc w:val="right"/>
                    <w:jc w:val="center"/>
                  </w:pPr>
                  <w:r>
                    <w:t xml:space="preserve">0.114</w:t>
                  </w:r>
                </w:p>
              </w:tc>
              <w:tc>
                <w:tcPr/>
                <w:p>
                  <w:pPr>
                    <w:pStyle w:val="Compact"/>
                    <w:jc w:val="right"/>
                    <w:jc w:val="center"/>
                  </w:pPr>
                  <w:r>
                    <w:t xml:space="preserve">16.809</w:t>
                  </w:r>
                </w:p>
              </w:tc>
              <w:tc>
                <w:tcPr/>
                <w:p>
                  <w:pPr>
                    <w:pStyle w:val="Compact"/>
                    <w:jc w:val="right"/>
                    <w:jc w:val="center"/>
                  </w:pPr>
                  <w:r>
                    <w:t xml:space="preserve">0.000</w:t>
                  </w:r>
                </w:p>
              </w:tc>
              <w:tc>
                <w:tcPr/>
                <w:p>
                  <w:pPr>
                    <w:pStyle w:val="Compact"/>
                    <w:jc w:val="right"/>
                    <w:jc w:val="center"/>
                  </w:pPr>
                  <w:r>
                    <w:t xml:space="preserve">1.694</w:t>
                  </w:r>
                </w:p>
              </w:tc>
              <w:tc>
                <w:tcPr/>
                <w:p>
                  <w:pPr>
                    <w:pStyle w:val="Compact"/>
                    <w:jc w:val="right"/>
                    <w:jc w:val="center"/>
                  </w:pPr>
                  <w:r>
                    <w:t xml:space="preserve">2.141</w:t>
                  </w:r>
                </w:p>
              </w:tc>
            </w:tr>
            <w:tr>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0.003</w:t>
                  </w:r>
                </w:p>
              </w:tc>
              <w:tc>
                <w:tcPr/>
                <w:p>
                  <w:pPr>
                    <w:pStyle w:val="Compact"/>
                    <w:jc w:val="right"/>
                    <w:jc w:val="center"/>
                  </w:pPr>
                  <w:r>
                    <w:t xml:space="preserve">1.844</w:t>
                  </w:r>
                </w:p>
              </w:tc>
              <w:tc>
                <w:tcPr/>
                <w:p>
                  <w:pPr>
                    <w:pStyle w:val="Compact"/>
                    <w:jc w:val="right"/>
                    <w:jc w:val="center"/>
                  </w:pPr>
                  <w:r>
                    <w:t xml:space="preserve">0.065</w:t>
                  </w:r>
                </w:p>
              </w:tc>
              <w:tc>
                <w:tcPr/>
                <w:p>
                  <w:pPr>
                    <w:pStyle w:val="Compact"/>
                    <w:jc w:val="right"/>
                    <w:jc w:val="center"/>
                  </w:pPr>
                  <w:r>
                    <w:t xml:space="preserve">0.000</w:t>
                  </w:r>
                </w:p>
              </w:tc>
              <w:tc>
                <w:tcPr/>
                <w:p>
                  <w:pPr>
                    <w:pStyle w:val="Compact"/>
                    <w:jc w:val="right"/>
                    <w:jc w:val="center"/>
                  </w:pPr>
                  <w:r>
                    <w:t xml:space="preserve">0.012</w:t>
                  </w:r>
                </w:p>
              </w:tc>
            </w:tr>
            <w:tr>
              <w:tc>
                <w:tcPr/>
                <w:p>
                  <w:pPr>
                    <w:pStyle w:val="Compact"/>
                    <w:jc w:val="left"/>
                    <w:jc w:val="center"/>
                  </w:pPr>
                  <w:r>
                    <w:t xml:space="preserve">metro_pop</w:t>
                  </w:r>
                </w:p>
              </w:tc>
              <w:tc>
                <w:tcPr/>
                <w:p>
                  <w:pPr>
                    <w:pStyle w:val="Compact"/>
                    <w:jc w:val="right"/>
                    <w:jc w:val="center"/>
                  </w:pPr>
                  <w:r>
                    <w:t xml:space="preserve">0.111</w:t>
                  </w:r>
                </w:p>
              </w:tc>
              <w:tc>
                <w:tcPr/>
                <w:p>
                  <w:pPr>
                    <w:pStyle w:val="Compact"/>
                    <w:jc w:val="right"/>
                    <w:jc w:val="center"/>
                  </w:pPr>
                  <w:r>
                    <w:t xml:space="preserve">0.012</w:t>
                  </w:r>
                </w:p>
              </w:tc>
              <w:tc>
                <w:tcPr/>
                <w:p>
                  <w:pPr>
                    <w:pStyle w:val="Compact"/>
                    <w:jc w:val="right"/>
                    <w:jc w:val="center"/>
                  </w:pPr>
                  <w:r>
                    <w:t xml:space="preserve">8.954</w:t>
                  </w:r>
                </w:p>
              </w:tc>
              <w:tc>
                <w:tcPr/>
                <w:p>
                  <w:pPr>
                    <w:pStyle w:val="Compact"/>
                    <w:jc w:val="right"/>
                    <w:jc w:val="center"/>
                  </w:pPr>
                  <w:r>
                    <w:t xml:space="preserve">0.000</w:t>
                  </w:r>
                </w:p>
              </w:tc>
              <w:tc>
                <w:tcPr/>
                <w:p>
                  <w:pPr>
                    <w:pStyle w:val="Compact"/>
                    <w:jc w:val="right"/>
                    <w:jc w:val="center"/>
                  </w:pPr>
                  <w:r>
                    <w:t xml:space="preserve">0.086</w:t>
                  </w:r>
                </w:p>
              </w:tc>
              <w:tc>
                <w:tcPr/>
                <w:p>
                  <w:pPr>
                    <w:pStyle w:val="Compact"/>
                    <w:jc w:val="right"/>
                    <w:jc w:val="center"/>
                  </w:pPr>
                  <w:r>
                    <w:t xml:space="preserve">0.135</w:t>
                  </w:r>
                </w:p>
              </w:tc>
            </w:tr>
          </w:tbl>
          <w:bookmarkEnd w:id="10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pct-coefs">
        <w:r>
          <w:rPr>
            <w:rStyle w:val="Hyperlink"/>
          </w:rPr>
          <w:t xml:space="preserve">Figure 10</w:t>
        </w:r>
      </w:hyperlink>
      <w:r>
        <w:t xml:space="preserve"> </w:t>
      </w:r>
      <w:r>
        <w:t xml:space="preserve">shows that…</w:t>
      </w:r>
    </w:p>
    <w:bookmarkStart w:id="110" w:name="cell-fig-pct-coefs"/>
    <w:tbl>
      <w:tblPr>
        <w:tblStyle w:val="Table"/>
        <w:tblW w:type="pct" w:w="5000"/>
        <w:tblLayout w:type="fixed"/>
        <w:tblLook w:firstRow="0" w:lastRow="0" w:firstColumn="0" w:lastColumn="0" w:noHBand="0" w:noVBand="0" w:val="0000"/>
      </w:tblPr>
      <w:tblGrid>
        <w:gridCol w:w="7920"/>
      </w:tblGrid>
      <w:tr>
        <w:tc>
          <w:tcPr/>
          <w:bookmarkStart w:id="109" w:name="fig-pct-coefs"/>
          <w:p>
            <w:pPr>
              <w:pStyle w:val="Compact"/>
              <w:jc w:val="center"/>
            </w:pPr>
            <w:r>
              <w:drawing>
                <wp:inline>
                  <wp:extent cx="4620126" cy="3696101"/>
                  <wp:effectExtent b="0" l="0" r="0" t="0"/>
                  <wp:docPr descr="" title="" id="107" name="Picture"/>
                  <a:graphic>
                    <a:graphicData uri="http://schemas.openxmlformats.org/drawingml/2006/picture">
                      <pic:pic>
                        <pic:nvPicPr>
                          <pic:cNvPr descr="index_files/figure-docx/fig-pct-coefs-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10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0"/>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111"/>
    <w:bookmarkStart w:id="122"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overall attendance trends, these effects generally remained below their 1997 levels for much of the league’s history and only returned to comparable levels recently.</w:t>
      </w:r>
      <w:r>
        <w:t xml:space="preserve"> </w:t>
      </w:r>
      <w:r>
        <w:t xml:space="preserve">In the most recent years of measurement, however, we see the league exceeding previously record-holding levels.</w:t>
      </w:r>
    </w:p>
    <w:bookmarkStart w:id="116" w:name="cell-fig-season-coefs2"/>
    <w:tbl>
      <w:tblPr>
        <w:tblStyle w:val="Table"/>
        <w:tblW w:type="pct" w:w="5000"/>
        <w:tblLayout w:type="fixed"/>
        <w:tblLook w:firstRow="0" w:lastRow="0" w:firstColumn="0" w:lastColumn="0" w:noHBand="0" w:noVBand="0" w:val="0000"/>
      </w:tblPr>
      <w:tblGrid>
        <w:gridCol w:w="7920"/>
      </w:tblGrid>
      <w:tr>
        <w:tc>
          <w:tcPr/>
          <w:bookmarkStart w:id="115" w:name="fig-season-coefs2"/>
          <w:p>
            <w:pPr>
              <w:pStyle w:val="Compact"/>
              <w:jc w:val="center"/>
            </w:pPr>
            <w:r>
              <w:drawing>
                <wp:inline>
                  <wp:extent cx="4620126" cy="3696101"/>
                  <wp:effectExtent b="0" l="0" r="0" t="0"/>
                  <wp:docPr descr="" title="" id="113" name="Picture"/>
                  <a:graphic>
                    <a:graphicData uri="http://schemas.openxmlformats.org/drawingml/2006/picture">
                      <pic:pic>
                        <pic:nvPicPr>
                          <pic:cNvPr descr="index_files/figure-docx/fig-season-coefs2-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11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6"/>
    <w:p>
      <w:pPr>
        <w:pStyle w:val="BodyText"/>
      </w:pPr>
      <w:hyperlink w:anchor="fig-season-slopes2">
        <w:r>
          <w:rPr>
            <w:rStyle w:val="Hyperlink"/>
          </w:rPr>
          <w:t xml:space="preserve">Figure 12</w:t>
        </w:r>
      </w:hyperlink>
      <w:r>
        <w:t xml:space="preserve"> </w:t>
      </w:r>
      <w:r>
        <w:t xml:space="preserve">shows that…??</w:t>
      </w:r>
    </w:p>
    <w:bookmarkStart w:id="121" w:name="cell-fig-season-slopes2"/>
    <w:tbl>
      <w:tblPr>
        <w:tblStyle w:val="Table"/>
        <w:tblW w:type="pct" w:w="5000"/>
        <w:tblLayout w:type="fixed"/>
        <w:tblLook w:firstRow="0" w:lastRow="0" w:firstColumn="0" w:lastColumn="0" w:noHBand="0" w:noVBand="0" w:val="0000"/>
      </w:tblPr>
      <w:tblGrid>
        <w:gridCol w:w="7920"/>
      </w:tblGrid>
      <w:tr>
        <w:tc>
          <w:tcPr/>
          <w:bookmarkStart w:id="120" w:name="fig-season-slopes2"/>
          <w:p>
            <w:pPr>
              <w:pStyle w:val="Compact"/>
              <w:jc w:val="center"/>
            </w:pPr>
            <w:r>
              <w:drawing>
                <wp:inline>
                  <wp:extent cx="4620126" cy="3696101"/>
                  <wp:effectExtent b="0" l="0" r="0" t="0"/>
                  <wp:docPr descr="" title="" id="118" name="Picture"/>
                  <a:graphic>
                    <a:graphicData uri="http://schemas.openxmlformats.org/drawingml/2006/picture">
                      <pic:pic>
                        <pic:nvPicPr>
                          <pic:cNvPr descr="index_files/figure-docx/fig-season-slopes2-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1"/>
    <w:bookmarkEnd w:id="122"/>
    <w:bookmarkEnd w:id="123"/>
    <w:bookmarkEnd w:id="124"/>
    <w:bookmarkStart w:id="128" w:name="conclusion"/>
    <w:p>
      <w:pPr>
        <w:pStyle w:val="Heading2"/>
      </w:pPr>
      <w:r>
        <w:t xml:space="preserve">5 Conclusion</w:t>
      </w:r>
    </w:p>
    <w:bookmarkStart w:id="125" w:name="key-results"/>
    <w:p>
      <w:pPr>
        <w:pStyle w:val="Heading3"/>
      </w:pPr>
      <w:r>
        <w:t xml:space="preserve">5.1 Key results</w:t>
      </w:r>
    </w:p>
    <w:bookmarkEnd w:id="125"/>
    <w:bookmarkStart w:id="126" w:name="limitations"/>
    <w:p>
      <w:pPr>
        <w:pStyle w:val="Heading3"/>
      </w:pPr>
      <w:r>
        <w:t xml:space="preserve">5.2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p>
      <w:pPr>
        <w:pStyle w:val="BodyText"/>
      </w:pPr>
      <w:r>
        <w:t xml:space="preserve">We also considered fitting a period-based model but ultimately decided against this approach.</w:t>
      </w:r>
      <w:r>
        <w:t xml:space="preserve"> </w:t>
      </w:r>
      <w:r>
        <w:t xml:space="preserve">Defining periods by hand would require subjective decisions about the timing of structural breaks and would risk introducing researcher bias into the analysis.</w:t>
      </w:r>
    </w:p>
    <w:bookmarkEnd w:id="126"/>
    <w:bookmarkStart w:id="127" w:name="future-work"/>
    <w:p>
      <w:pPr>
        <w:pStyle w:val="Heading3"/>
      </w:pPr>
      <w:r>
        <w:t xml:space="preserve">5.3 Future work</w:t>
      </w:r>
    </w:p>
    <w:p>
      <w:pPr>
        <w:pStyle w:val="FirstParagraph"/>
      </w:pPr>
      <w:r>
        <w:t xml:space="preserve">possibly testing different definitions of UOH and Loss Aversion</w:t>
      </w:r>
    </w:p>
    <w:bookmarkEnd w:id="127"/>
    <w:bookmarkEnd w:id="128"/>
    <w:bookmarkStart w:id="179" w:name="references"/>
    <w:p>
      <w:pPr>
        <w:pStyle w:val="Heading2"/>
      </w:pPr>
      <w:r>
        <w:t xml:space="preserve">References</w:t>
      </w:r>
    </w:p>
    <w:bookmarkStart w:id="178" w:name="refs"/>
    <w:bookmarkStart w:id="130"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29">
        <w:r>
          <w:rPr>
            <w:rStyle w:val="Hyperlink"/>
          </w:rPr>
          <w:t xml:space="preserve">https://doi.org/10.32731/IJSF/181.022023.03</w:t>
        </w:r>
      </w:hyperlink>
      <w:r>
        <w:t xml:space="preserve">.</w:t>
      </w:r>
    </w:p>
    <w:bookmarkEnd w:id="130"/>
    <w:bookmarkStart w:id="132"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31">
        <w:r>
          <w:rPr>
            <w:rStyle w:val="Hyperlink"/>
          </w:rPr>
          <w:t xml:space="preserve">https://doi.org/10.1111/ecin.12061</w:t>
        </w:r>
      </w:hyperlink>
      <w:r>
        <w:t xml:space="preserve">.</w:t>
      </w:r>
    </w:p>
    <w:bookmarkEnd w:id="132"/>
    <w:bookmarkStart w:id="134"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33">
        <w:r>
          <w:rPr>
            <w:rStyle w:val="Hyperlink"/>
          </w:rPr>
          <w:t xml:space="preserve">https://doi.org/10.1177/155862350800300105</w:t>
        </w:r>
      </w:hyperlink>
      <w:r>
        <w:t xml:space="preserve">.</w:t>
      </w:r>
    </w:p>
    <w:bookmarkEnd w:id="134"/>
    <w:bookmarkStart w:id="136"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35">
        <w:r>
          <w:rPr>
            <w:rStyle w:val="Hyperlink"/>
          </w:rPr>
          <w:t xml:space="preserve">https://doi.org/10.1177/1527002508327387</w:t>
        </w:r>
      </w:hyperlink>
      <w:r>
        <w:t xml:space="preserve">.</w:t>
      </w:r>
    </w:p>
    <w:bookmarkEnd w:id="136"/>
    <w:bookmarkStart w:id="138"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37">
        <w:r>
          <w:rPr>
            <w:rStyle w:val="Hyperlink"/>
          </w:rPr>
          <w:t xml:space="preserve">https://doi.org/10.1123/jsm.2019-0404</w:t>
        </w:r>
      </w:hyperlink>
      <w:r>
        <w:t xml:space="preserve">.</w:t>
      </w:r>
    </w:p>
    <w:bookmarkEnd w:id="138"/>
    <w:bookmarkStart w:id="140"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39">
        <w:r>
          <w:rPr>
            <w:rStyle w:val="Hyperlink"/>
          </w:rPr>
          <w:t xml:space="preserve">https://doi.org/10.1123/jsm.16.4.311</w:t>
        </w:r>
      </w:hyperlink>
      <w:r>
        <w:t xml:space="preserve">.</w:t>
      </w:r>
    </w:p>
    <w:bookmarkEnd w:id="140"/>
    <w:bookmarkStart w:id="141"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41"/>
    <w:bookmarkStart w:id="143"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42">
        <w:r>
          <w:rPr>
            <w:rStyle w:val="Hyperlink"/>
          </w:rPr>
          <w:t xml:space="preserve">https://polecom.org/index.php/polecom/article/view/119</w:t>
        </w:r>
      </w:hyperlink>
      <w:r>
        <w:t xml:space="preserve">.</w:t>
      </w:r>
    </w:p>
    <w:bookmarkEnd w:id="143"/>
    <w:bookmarkStart w:id="145"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44">
        <w:r>
          <w:rPr>
            <w:rStyle w:val="Hyperlink"/>
          </w:rPr>
          <w:t xml:space="preserve">https://doi.org/10.32614/cran.package.wehoop</w:t>
        </w:r>
      </w:hyperlink>
      <w:r>
        <w:t xml:space="preserve">.</w:t>
      </w:r>
    </w:p>
    <w:bookmarkEnd w:id="145"/>
    <w:bookmarkStart w:id="147"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46">
        <w:r>
          <w:rPr>
            <w:rStyle w:val="Hyperlink"/>
          </w:rPr>
          <w:t xml:space="preserve">https://doi.org/10.1080/17430437.2017.1346620</w:t>
        </w:r>
      </w:hyperlink>
      <w:r>
        <w:t xml:space="preserve">.</w:t>
      </w:r>
    </w:p>
    <w:bookmarkEnd w:id="147"/>
    <w:bookmarkStart w:id="149"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48">
        <w:r>
          <w:rPr>
            <w:rStyle w:val="Hyperlink"/>
          </w:rPr>
          <w:t xml:space="preserve">https://doi.org/10.1002/mde.1308</w:t>
        </w:r>
      </w:hyperlink>
      <w:r>
        <w:t xml:space="preserve">.</w:t>
      </w:r>
    </w:p>
    <w:bookmarkEnd w:id="149"/>
    <w:bookmarkStart w:id="151"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50">
        <w:r>
          <w:rPr>
            <w:rStyle w:val="Hyperlink"/>
          </w:rPr>
          <w:t xml:space="preserve">https://doi.org/10.53728/2765-6500.1616</w:t>
        </w:r>
      </w:hyperlink>
      <w:r>
        <w:t xml:space="preserve">.</w:t>
      </w:r>
    </w:p>
    <w:bookmarkEnd w:id="151"/>
    <w:bookmarkStart w:id="153"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52">
        <w:r>
          <w:rPr>
            <w:rStyle w:val="Hyperlink"/>
          </w:rPr>
          <w:t xml:space="preserve">https://doi.org/10.1177/1527002509337212</w:t>
        </w:r>
      </w:hyperlink>
      <w:r>
        <w:t xml:space="preserve">.</w:t>
      </w:r>
    </w:p>
    <w:bookmarkEnd w:id="153"/>
    <w:bookmarkStart w:id="155"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54">
        <w:r>
          <w:rPr>
            <w:rStyle w:val="Hyperlink"/>
          </w:rPr>
          <w:t xml:space="preserve">https://doi.org/10.1080/14660970.2022.2037218</w:t>
        </w:r>
      </w:hyperlink>
      <w:r>
        <w:t xml:space="preserve">.</w:t>
      </w:r>
    </w:p>
    <w:bookmarkEnd w:id="155"/>
    <w:bookmarkStart w:id="157"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56">
        <w:r>
          <w:rPr>
            <w:rStyle w:val="Hyperlink"/>
          </w:rPr>
          <w:t xml:space="preserve">https://doi.org/10.1016/0304-4076(85)90158-7</w:t>
        </w:r>
      </w:hyperlink>
      <w:r>
        <w:t xml:space="preserve">.</w:t>
      </w:r>
    </w:p>
    <w:bookmarkEnd w:id="157"/>
    <w:bookmarkStart w:id="159"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58">
        <w:r>
          <w:rPr>
            <w:rStyle w:val="Hyperlink"/>
          </w:rPr>
          <w:t xml:space="preserve">https://www.jstor.org/stable/1924766</w:t>
        </w:r>
      </w:hyperlink>
      <w:r>
        <w:t xml:space="preserve">.</w:t>
      </w:r>
    </w:p>
    <w:bookmarkEnd w:id="159"/>
    <w:bookmarkStart w:id="160"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60"/>
    <w:bookmarkStart w:id="162"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61">
        <w:r>
          <w:rPr>
            <w:rStyle w:val="Hyperlink"/>
          </w:rPr>
          <w:t xml:space="preserve">https://doi.org/10.1002/(SICI)1099-1255(199611)11:6&lt;619::AID-JAE418&gt;3.0.CO;2-1</w:t>
        </w:r>
      </w:hyperlink>
      <w:r>
        <w:t xml:space="preserve">.</w:t>
      </w:r>
    </w:p>
    <w:bookmarkEnd w:id="162"/>
    <w:bookmarkStart w:id="164"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63">
        <w:r>
          <w:rPr>
            <w:rStyle w:val="Hyperlink"/>
          </w:rPr>
          <w:t xml:space="preserve">https://doi.org/10.3390/ijfs7010012</w:t>
        </w:r>
      </w:hyperlink>
      <w:r>
        <w:t xml:space="preserve">.</w:t>
      </w:r>
    </w:p>
    <w:bookmarkEnd w:id="164"/>
    <w:bookmarkStart w:id="165"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65"/>
    <w:bookmarkStart w:id="167"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66">
        <w:r>
          <w:rPr>
            <w:rStyle w:val="Hyperlink"/>
          </w:rPr>
          <w:t xml:space="preserve">https://doi.org/10.1080/00031305.2016.1154108</w:t>
        </w:r>
      </w:hyperlink>
      <w:r>
        <w:t xml:space="preserve">.</w:t>
      </w:r>
    </w:p>
    <w:bookmarkEnd w:id="167"/>
    <w:bookmarkStart w:id="169"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68">
        <w:r>
          <w:rPr>
            <w:rStyle w:val="Hyperlink"/>
          </w:rPr>
          <w:t xml:space="preserve">https://doi.org/10.1080/00031305.2019.1583913</w:t>
        </w:r>
      </w:hyperlink>
      <w:r>
        <w:t xml:space="preserve">.</w:t>
      </w:r>
    </w:p>
    <w:bookmarkEnd w:id="169"/>
    <w:bookmarkStart w:id="171"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70">
        <w:r>
          <w:rPr>
            <w:rStyle w:val="Hyperlink"/>
          </w:rPr>
          <w:t xml:space="preserve">https://accessecon.com/pubs/eb/2003/volume1/eb-03a10003a.pdf</w:t>
        </w:r>
      </w:hyperlink>
      <w:r>
        <w:t xml:space="preserve">.</w:t>
      </w:r>
    </w:p>
    <w:bookmarkEnd w:id="171"/>
    <w:bookmarkStart w:id="173" w:name="ref-wnba2024recordseason"/>
    <w:p>
      <w:pPr>
        <w:pStyle w:val="Bibliography"/>
      </w:pPr>
      <w:r>
        <w:t xml:space="preserve">WNBA. 2024.</w:t>
      </w:r>
      <w:r>
        <w:t xml:space="preserve"> </w:t>
      </w:r>
      <w:r>
        <w:t xml:space="preserve">“WNBA Delivers Record‑setting 2024 Season.”</w:t>
      </w:r>
      <w:r>
        <w:t xml:space="preserve"> </w:t>
      </w:r>
      <w:hyperlink r:id="rId172">
        <w:r>
          <w:rPr>
            <w:rStyle w:val="Hyperlink"/>
          </w:rPr>
          <w:t xml:space="preserve">https://www.wnba.com/news/wnba-delivers-record-setting-2024-season</w:t>
        </w:r>
      </w:hyperlink>
      <w:r>
        <w:t xml:space="preserve">.</w:t>
      </w:r>
    </w:p>
    <w:bookmarkEnd w:id="173"/>
    <w:bookmarkStart w:id="175"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74">
        <w:r>
          <w:rPr>
            <w:rStyle w:val="Hyperlink"/>
          </w:rPr>
          <w:t xml:space="preserve">https://thesportjournal.org/article/attendance-still-matters-in-mlb-the-relationship-with-winning-percentage/</w:t>
        </w:r>
      </w:hyperlink>
      <w:r>
        <w:t xml:space="preserve">.</w:t>
      </w:r>
    </w:p>
    <w:bookmarkEnd w:id="175"/>
    <w:bookmarkStart w:id="177"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76">
        <w:r>
          <w:rPr>
            <w:rStyle w:val="Hyperlink"/>
          </w:rPr>
          <w:t xml:space="preserve">https://www.acrossthetimeline.com/wnba/attendance.html</w:t>
        </w:r>
      </w:hyperlink>
      <w:r>
        <w:t xml:space="preserve">.</w:t>
      </w:r>
    </w:p>
    <w:bookmarkEnd w:id="177"/>
    <w:bookmarkEnd w:id="178"/>
    <w:bookmarkEnd w:id="179"/>
    <w:bookmarkStart w:id="213" w:name="appendix"/>
    <w:p>
      <w:pPr>
        <w:pStyle w:val="Heading2"/>
      </w:pPr>
      <w:r>
        <w:t xml:space="preserve">6 Appendix</w:t>
      </w:r>
    </w:p>
    <w:bookmarkStart w:id="185" w:name="distribution-of-fan-engagement"/>
    <w:p>
      <w:pPr>
        <w:pStyle w:val="Heading3"/>
      </w:pPr>
      <w:r>
        <w:t xml:space="preserve">6.1 Distribution of fan engagement</w:t>
      </w:r>
    </w:p>
    <w:bookmarkStart w:id="184" w:name="cell-fig-rescaled"/>
    <w:tbl>
      <w:tblPr>
        <w:tblStyle w:val="Table"/>
        <w:tblW w:type="pct" w:w="5000"/>
        <w:tblLayout w:type="fixed"/>
        <w:tblLook w:firstRow="0" w:lastRow="0" w:firstColumn="0" w:lastColumn="0" w:noHBand="0" w:noVBand="0" w:val="0000"/>
      </w:tblPr>
      <w:tblGrid>
        <w:gridCol w:w="7920"/>
      </w:tblGrid>
      <w:tr>
        <w:tc>
          <w:tcPr/>
          <w:bookmarkStart w:id="183" w:name="fig-rescaled"/>
          <w:p>
            <w:pPr>
              <w:pStyle w:val="Compact"/>
              <w:jc w:val="center"/>
            </w:pPr>
            <w:r>
              <w:drawing>
                <wp:inline>
                  <wp:extent cx="4620126" cy="3696101"/>
                  <wp:effectExtent b="0" l="0" r="0" t="0"/>
                  <wp:docPr descr="" title="" id="181" name="Picture"/>
                  <a:graphic>
                    <a:graphicData uri="http://schemas.openxmlformats.org/drawingml/2006/picture">
                      <pic:pic>
                        <pic:nvPicPr>
                          <pic:cNvPr descr="index_files/figure-docx/fig-rescaled-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8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4"/>
    <w:bookmarkEnd w:id="185"/>
    <w:bookmarkStart w:id="206" w:name="X9ace4710bf5d1740b4f2eb03d92c7bb21252161"/>
    <w:p>
      <w:pPr>
        <w:pStyle w:val="Heading3"/>
      </w:pPr>
      <w:r>
        <w:t xml:space="preserve">6.2 Relationship between attendance and fan engagement</w:t>
      </w:r>
    </w:p>
    <w:bookmarkStart w:id="190" w:name="cell-fig-attend-f1"/>
    <w:tbl>
      <w:tblPr>
        <w:tblStyle w:val="Table"/>
        <w:tblW w:type="pct" w:w="5000"/>
        <w:tblLayout w:type="fixed"/>
        <w:tblLook w:firstRow="0" w:lastRow="0" w:firstColumn="0" w:lastColumn="0" w:noHBand="0" w:noVBand="0" w:val="0000"/>
      </w:tblPr>
      <w:tblGrid>
        <w:gridCol w:w="7920"/>
      </w:tblGrid>
      <w:tr>
        <w:tc>
          <w:tcPr/>
          <w:bookmarkStart w:id="189" w:name="fig-attend-f1"/>
          <w:p>
            <w:pPr>
              <w:pStyle w:val="Compact"/>
              <w:jc w:val="center"/>
            </w:pPr>
            <w:r>
              <w:drawing>
                <wp:inline>
                  <wp:extent cx="4620126" cy="3696101"/>
                  <wp:effectExtent b="0" l="0" r="0" t="0"/>
                  <wp:docPr descr="" title="" id="187" name="Picture"/>
                  <a:graphic>
                    <a:graphicData uri="http://schemas.openxmlformats.org/drawingml/2006/picture">
                      <pic:pic>
                        <pic:nvPicPr>
                          <pic:cNvPr descr="index_files/figure-docx/fig-attend-f1-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8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0"/>
    <w:bookmarkStart w:id="195" w:name="cell-fig-attend-f2"/>
    <w:tbl>
      <w:tblPr>
        <w:tblStyle w:val="Table"/>
        <w:tblW w:type="pct" w:w="5000"/>
        <w:tblLayout w:type="fixed"/>
        <w:tblLook w:firstRow="0" w:lastRow="0" w:firstColumn="0" w:lastColumn="0" w:noHBand="0" w:noVBand="0" w:val="0000"/>
      </w:tblPr>
      <w:tblGrid>
        <w:gridCol w:w="7920"/>
      </w:tblGrid>
      <w:tr>
        <w:tc>
          <w:tcPr/>
          <w:bookmarkStart w:id="194" w:name="fig-attend-f2"/>
          <w:p>
            <w:pPr>
              <w:pStyle w:val="Compact"/>
              <w:jc w:val="center"/>
            </w:pPr>
            <w:r>
              <w:drawing>
                <wp:inline>
                  <wp:extent cx="4620126" cy="3696101"/>
                  <wp:effectExtent b="0" l="0" r="0" t="0"/>
                  <wp:docPr descr="" title="" id="192" name="Picture"/>
                  <a:graphic>
                    <a:graphicData uri="http://schemas.openxmlformats.org/drawingml/2006/picture">
                      <pic:pic>
                        <pic:nvPicPr>
                          <pic:cNvPr descr="index_files/figure-docx/fig-attend-f2-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9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5"/>
    <w:bookmarkStart w:id="200" w:name="cell-fig-capacity-f1"/>
    <w:tbl>
      <w:tblPr>
        <w:tblStyle w:val="Table"/>
        <w:tblW w:type="pct" w:w="5000"/>
        <w:tblLayout w:type="fixed"/>
        <w:tblLook w:firstRow="0" w:lastRow="0" w:firstColumn="0" w:lastColumn="0" w:noHBand="0" w:noVBand="0" w:val="0000"/>
      </w:tblPr>
      <w:tblGrid>
        <w:gridCol w:w="7920"/>
      </w:tblGrid>
      <w:tr>
        <w:tc>
          <w:tcPr/>
          <w:bookmarkStart w:id="199" w:name="fig-capacity-f1"/>
          <w:p>
            <w:pPr>
              <w:pStyle w:val="Compact"/>
              <w:jc w:val="center"/>
            </w:pPr>
            <w:r>
              <w:drawing>
                <wp:inline>
                  <wp:extent cx="4620126" cy="3696101"/>
                  <wp:effectExtent b="0" l="0" r="0" t="0"/>
                  <wp:docPr descr="" title="" id="197" name="Picture"/>
                  <a:graphic>
                    <a:graphicData uri="http://schemas.openxmlformats.org/drawingml/2006/picture">
                      <pic:pic>
                        <pic:nvPicPr>
                          <pic:cNvPr descr="index_files/figure-docx/fig-capacity-f1-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19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0"/>
    <w:bookmarkStart w:id="205" w:name="cell-fig-capacity-f2"/>
    <w:tbl>
      <w:tblPr>
        <w:tblStyle w:val="Table"/>
        <w:tblW w:type="pct" w:w="5000"/>
        <w:tblLayout w:type="fixed"/>
        <w:tblLook w:firstRow="0" w:lastRow="0" w:firstColumn="0" w:lastColumn="0" w:noHBand="0" w:noVBand="0" w:val="0000"/>
      </w:tblPr>
      <w:tblGrid>
        <w:gridCol w:w="7920"/>
      </w:tblGrid>
      <w:tr>
        <w:tc>
          <w:tcPr/>
          <w:bookmarkStart w:id="204" w:name="fig-capacity-f2"/>
          <w:p>
            <w:pPr>
              <w:pStyle w:val="Compact"/>
              <w:jc w:val="center"/>
            </w:pPr>
            <w:r>
              <w:drawing>
                <wp:inline>
                  <wp:extent cx="4620126" cy="3696101"/>
                  <wp:effectExtent b="0" l="0" r="0" t="0"/>
                  <wp:docPr descr="" title="" id="202" name="Picture"/>
                  <a:graphic>
                    <a:graphicData uri="http://schemas.openxmlformats.org/drawingml/2006/picture">
                      <pic:pic>
                        <pic:nvPicPr>
                          <pic:cNvPr descr="index_files/figure-docx/fig-capacity-f2-1.png" id="203" name="Picture"/>
                          <pic:cNvPicPr>
                            <a:picLocks noChangeArrowheads="1" noChangeAspect="1"/>
                          </pic:cNvPicPr>
                        </pic:nvPicPr>
                        <pic:blipFill>
                          <a:blip r:embed="rId2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20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5"/>
    <w:bookmarkEnd w:id="206"/>
    <w:bookmarkStart w:id="209"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207" w:name="tbl-glance"/>
          <w:p>
            <w:pPr>
              <w:jc w:val="center"/>
            </w:pPr>
            <w:pPr>
              <w:jc w:val="left"/>
              <w:spacing w:before="200"/>
              <w:pStyle w:val="ImageCaption"/>
            </w:pPr>
            <w:r>
              <w:t xml:space="preserve">Table 8: Model fit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20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tbl-anova-tobit"/>
          <w:p>
            <w:pPr>
              <w:jc w:val="center"/>
            </w:pPr>
            <w:pPr>
              <w:jc w:val="left"/>
              <w:spacing w:before="200"/>
              <w:pStyle w:val="ImageCaption"/>
            </w:pPr>
            <w:r>
              <w:t xml:space="preserve">Table 9: Analysis of variance for terms in models for the natural logarithm of attendance.</w:t>
            </w:r>
          </w:p>
          <w:tbl>
            <w:tblPr>
              <w:tblStyle w:val="Table"/>
              <w:tblW w:type="pct" w:w="5000"/>
              <w:tblLayout w:type="fixed"/>
              <w:tblLook w:firstRow="1" w:lastRow="0" w:firstColumn="0" w:lastColumn="0" w:noHBand="0" w:noVBand="0" w:val="0020"/>
            </w:tblPr>
            <w:tblGrid>
              <w:gridCol w:w="4493"/>
              <w:gridCol w:w="228"/>
              <w:gridCol w:w="1218"/>
              <w:gridCol w:w="685"/>
              <w:gridCol w:w="761"/>
              <w:gridCol w:w="533"/>
            </w:tblGrid>
            <w:tr>
              <w:trPr>
                <w:tblHeader w:val="on"/>
              </w:trPr>
              <w:tc>
                <w:tcPr/>
                <w:p>
                  <w:pPr>
                    <w:pStyle w:val="Compact"/>
                  </w:pPr>
                </w:p>
              </w:tc>
              <w:tc>
                <w:tcPr/>
                <w:p>
                  <w:pPr>
                    <w:pStyle w:val="Compact"/>
                    <w:jc w:val="right"/>
                    <w:jc w:val="center"/>
                  </w:pPr>
                  <w:r>
                    <w:t xml:space="preserve">Df</w:t>
                  </w:r>
                </w:p>
              </w:tc>
              <w:tc>
                <w:tcPr/>
                <w:p>
                  <w:pPr>
                    <w:pStyle w:val="Compact"/>
                    <w:jc w:val="right"/>
                    <w:jc w:val="center"/>
                  </w:pPr>
                  <w:r>
                    <w:t xml:space="preserve">X2 log Lik Diff</w:t>
                  </w:r>
                </w:p>
              </w:tc>
              <w:tc>
                <w:tcPr/>
                <w:p>
                  <w:pPr>
                    <w:pStyle w:val="Compact"/>
                    <w:jc w:val="right"/>
                    <w:jc w:val="center"/>
                  </w:pPr>
                  <w:r>
                    <w:t xml:space="preserve">Resid Df</w:t>
                  </w:r>
                </w:p>
              </w:tc>
              <w:tc>
                <w:tcPr/>
                <w:p>
                  <w:pPr>
                    <w:pStyle w:val="Compact"/>
                    <w:jc w:val="right"/>
                    <w:jc w:val="center"/>
                  </w:pPr>
                  <w:r>
                    <w:t xml:space="preserve">Log Lik</w:t>
                  </w:r>
                </w:p>
              </w:tc>
              <w:tc>
                <w:tcPr/>
                <w:p>
                  <w:pPr>
                    <w:pStyle w:val="Compact"/>
                    <w:jc w:val="right"/>
                    <w:jc w:val="center"/>
                  </w:pPr>
                  <w:r>
                    <w:t xml:space="preserve">Pr Chi</w:t>
                  </w:r>
                </w:p>
              </w:tc>
            </w:tr>
            <w:tr>
              <w:tc>
                <w:tcPr/>
                <w:p>
                  <w:pPr>
                    <w:pStyle w:val="Compact"/>
                    <w:jc w:val="left"/>
                    <w:jc w:val="center"/>
                  </w:pPr>
                  <w:r>
                    <w:t xml:space="preserve">I(z1_quality_of_play)</w:t>
                  </w:r>
                </w:p>
              </w:tc>
              <w:tc>
                <w:tcPr/>
                <w:p>
                  <w:pPr>
                    <w:pStyle w:val="Compact"/>
                    <w:jc w:val="right"/>
                    <w:jc w:val="center"/>
                  </w:pPr>
                  <w:r>
                    <w:t xml:space="preserve">1</w:t>
                  </w:r>
                </w:p>
              </w:tc>
              <w:tc>
                <w:tcPr/>
                <w:p>
                  <w:pPr>
                    <w:pStyle w:val="Compact"/>
                    <w:jc w:val="right"/>
                    <w:jc w:val="center"/>
                  </w:pPr>
                  <w:r>
                    <w:t xml:space="preserve">210.087</w:t>
                  </w:r>
                </w:p>
              </w:tc>
              <w:tc>
                <w:tcPr/>
                <w:p>
                  <w:pPr>
                    <w:pStyle w:val="Compact"/>
                    <w:jc w:val="right"/>
                    <w:jc w:val="center"/>
                  </w:pPr>
                  <w:r>
                    <w:t xml:space="preserve">10018</w:t>
                  </w:r>
                </w:p>
              </w:tc>
              <w:tc>
                <w:tcPr/>
                <w:p>
                  <w:pPr>
                    <w:pStyle w:val="Compact"/>
                    <w:jc w:val="right"/>
                    <w:jc w:val="center"/>
                  </w:pPr>
                  <w:r>
                    <w:t xml:space="preserve">-1474.428</w:t>
                  </w:r>
                </w:p>
              </w:tc>
              <w:tc>
                <w:tcPr/>
                <w:p>
                  <w:pPr>
                    <w:pStyle w:val="Compact"/>
                    <w:jc w:val="right"/>
                    <w:jc w:val="center"/>
                  </w:pPr>
                  <w:r>
                    <w:t xml:space="preserve">0.000</w:t>
                  </w:r>
                </w:p>
              </w:tc>
            </w:tr>
            <w:tr>
              <w:tc>
                <w:tcPr/>
                <w:p>
                  <w:pPr>
                    <w:pStyle w:val="Compact"/>
                    <w:jc w:val="left"/>
                    <w:jc w:val="center"/>
                  </w:pPr>
                  <w:r>
                    <w:t xml:space="preserve">I(z2_uncertain_outcome)</w:t>
                  </w:r>
                </w:p>
              </w:tc>
              <w:tc>
                <w:tcPr/>
                <w:p>
                  <w:pPr>
                    <w:pStyle w:val="Compact"/>
                    <w:jc w:val="right"/>
                    <w:jc w:val="center"/>
                  </w:pPr>
                  <w:r>
                    <w:t xml:space="preserve">1</w:t>
                  </w:r>
                </w:p>
              </w:tc>
              <w:tc>
                <w:tcPr/>
                <w:p>
                  <w:pPr>
                    <w:pStyle w:val="Compact"/>
                    <w:jc w:val="right"/>
                    <w:jc w:val="center"/>
                  </w:pPr>
                  <w:r>
                    <w:t xml:space="preserve">0.196</w:t>
                  </w:r>
                </w:p>
              </w:tc>
              <w:tc>
                <w:tcPr/>
                <w:p>
                  <w:pPr>
                    <w:pStyle w:val="Compact"/>
                    <w:jc w:val="right"/>
                    <w:jc w:val="center"/>
                  </w:pPr>
                  <w:r>
                    <w:t xml:space="preserve">10018</w:t>
                  </w:r>
                </w:p>
              </w:tc>
              <w:tc>
                <w:tcPr/>
                <w:p>
                  <w:pPr>
                    <w:pStyle w:val="Compact"/>
                    <w:jc w:val="right"/>
                    <w:jc w:val="center"/>
                  </w:pPr>
                  <w:r>
                    <w:t xml:space="preserve">-1305.246</w:t>
                  </w:r>
                </w:p>
              </w:tc>
              <w:tc>
                <w:tcPr/>
                <w:p>
                  <w:pPr>
                    <w:pStyle w:val="Compact"/>
                    <w:jc w:val="right"/>
                    <w:jc w:val="center"/>
                  </w:pPr>
                  <w:r>
                    <w:t xml:space="preserve">0.658</w:t>
                  </w:r>
                </w:p>
              </w:tc>
            </w:tr>
            <w:tr>
              <w:tc>
                <w:tcPr/>
                <w:p>
                  <w:pPr>
                    <w:pStyle w:val="Compact"/>
                    <w:jc w:val="left"/>
                    <w:jc w:val="center"/>
                  </w:pPr>
                  <w:r>
                    <w:t xml:space="preserve">I(z3_loss_aversion)</w:t>
                  </w:r>
                </w:p>
              </w:tc>
              <w:tc>
                <w:tcPr/>
                <w:p>
                  <w:pPr>
                    <w:pStyle w:val="Compact"/>
                    <w:jc w:val="right"/>
                    <w:jc w:val="center"/>
                  </w:pPr>
                  <w:r>
                    <w:t xml:space="preserve">1</w:t>
                  </w:r>
                </w:p>
              </w:tc>
              <w:tc>
                <w:tcPr/>
                <w:p>
                  <w:pPr>
                    <w:pStyle w:val="Compact"/>
                    <w:jc w:val="right"/>
                    <w:jc w:val="center"/>
                  </w:pPr>
                  <w:r>
                    <w:t xml:space="preserve">173.653</w:t>
                  </w:r>
                </w:p>
              </w:tc>
              <w:tc>
                <w:tcPr/>
                <w:p>
                  <w:pPr>
                    <w:pStyle w:val="Compact"/>
                    <w:jc w:val="right"/>
                    <w:jc w:val="center"/>
                  </w:pPr>
                  <w:r>
                    <w:t xml:space="preserve">10018</w:t>
                  </w:r>
                </w:p>
              </w:tc>
              <w:tc>
                <w:tcPr/>
                <w:p>
                  <w:pPr>
                    <w:pStyle w:val="Compact"/>
                    <w:jc w:val="right"/>
                    <w:jc w:val="center"/>
                  </w:pPr>
                  <w:r>
                    <w:t xml:space="preserve">-1463.765</w:t>
                  </w:r>
                </w:p>
              </w:tc>
              <w:tc>
                <w:tcPr/>
                <w:p>
                  <w:pPr>
                    <w:pStyle w:val="Compact"/>
                    <w:jc w:val="right"/>
                    <w:jc w:val="center"/>
                  </w:pPr>
                  <w:r>
                    <w:t xml:space="preserve">0.000</w:t>
                  </w:r>
                </w:p>
              </w:tc>
            </w:tr>
            <w:tr>
              <w:tc>
                <w:tcPr/>
                <w:p>
                  <w:pPr>
                    <w:pStyle w:val="Compact"/>
                    <w:jc w:val="left"/>
                    <w:jc w:val="center"/>
                  </w:pPr>
                  <w:r>
                    <w:t xml:space="preserve">factor(name_current)</w:t>
                  </w:r>
                </w:p>
              </w:tc>
              <w:tc>
                <w:tcPr/>
                <w:p>
                  <w:pPr>
                    <w:pStyle w:val="Compact"/>
                    <w:jc w:val="right"/>
                    <w:jc w:val="center"/>
                  </w:pPr>
                  <w:r>
                    <w:t xml:space="preserve">12</w:t>
                  </w:r>
                </w:p>
              </w:tc>
              <w:tc>
                <w:tcPr/>
                <w:p>
                  <w:pPr>
                    <w:pStyle w:val="Compact"/>
                    <w:jc w:val="right"/>
                    <w:jc w:val="center"/>
                  </w:pPr>
                  <w:r>
                    <w:t xml:space="preserve">1026.381</w:t>
                  </w:r>
                </w:p>
              </w:tc>
              <w:tc>
                <w:tcPr/>
                <w:p>
                  <w:pPr>
                    <w:pStyle w:val="Compact"/>
                    <w:jc w:val="right"/>
                    <w:jc w:val="center"/>
                  </w:pPr>
                  <w:r>
                    <w:t xml:space="preserve">10003</w:t>
                  </w:r>
                </w:p>
              </w:tc>
              <w:tc>
                <w:tcPr/>
                <w:p>
                  <w:pPr>
                    <w:pStyle w:val="Compact"/>
                    <w:jc w:val="right"/>
                    <w:jc w:val="center"/>
                  </w:pPr>
                  <w:r>
                    <w:t xml:space="preserve">-1796.867</w:t>
                  </w:r>
                </w:p>
              </w:tc>
              <w:tc>
                <w:tcPr/>
                <w:p>
                  <w:pPr>
                    <w:pStyle w:val="Compact"/>
                    <w:jc w:val="right"/>
                    <w:jc w:val="center"/>
                  </w:pPr>
                  <w:r>
                    <w:t xml:space="preserve">0.000</w:t>
                  </w:r>
                </w:p>
              </w:tc>
            </w:tr>
            <w:tr>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17.205</w:t>
                  </w:r>
                </w:p>
              </w:tc>
              <w:tc>
                <w:tcPr/>
                <w:p>
                  <w:pPr>
                    <w:pStyle w:val="Compact"/>
                    <w:jc w:val="right"/>
                    <w:jc w:val="center"/>
                  </w:pPr>
                  <w:r>
                    <w:t xml:space="preserve">9992</w:t>
                  </w:r>
                </w:p>
              </w:tc>
              <w:tc>
                <w:tcPr/>
                <w:p>
                  <w:pPr>
                    <w:pStyle w:val="Compact"/>
                    <w:jc w:val="right"/>
                    <w:jc w:val="center"/>
                  </w:pPr>
                  <w:r>
                    <w:t xml:space="preserve">-1292.279</w:t>
                  </w:r>
                </w:p>
              </w:tc>
              <w:tc>
                <w:tcPr/>
                <w:p>
                  <w:pPr>
                    <w:pStyle w:val="Compact"/>
                    <w:jc w:val="right"/>
                    <w:jc w:val="center"/>
                  </w:pPr>
                  <w:r>
                    <w:t xml:space="preserve">0.000</w:t>
                  </w:r>
                </w:p>
              </w:tc>
            </w:tr>
            <w:tr>
              <w:tc>
                <w:tcPr/>
                <w:p>
                  <w:pPr>
                    <w:pStyle w:val="Compact"/>
                    <w:jc w:val="left"/>
                    <w:jc w:val="center"/>
                  </w:pPr>
                  <w:r>
                    <w:t xml:space="preserve">metro_pop</w:t>
                  </w:r>
                </w:p>
              </w:tc>
              <w:tc>
                <w:tcPr/>
                <w:p>
                  <w:pPr>
                    <w:pStyle w:val="Compact"/>
                    <w:jc w:val="right"/>
                    <w:jc w:val="center"/>
                  </w:pPr>
                  <w:r>
                    <w:t xml:space="preserve">1</w:t>
                  </w:r>
                </w:p>
              </w:tc>
              <w:tc>
                <w:tcPr/>
                <w:p>
                  <w:pPr>
                    <w:pStyle w:val="Compact"/>
                    <w:jc w:val="right"/>
                    <w:jc w:val="center"/>
                  </w:pPr>
                  <w:r>
                    <w:t xml:space="preserve">6.669</w:t>
                  </w:r>
                </w:p>
              </w:tc>
              <w:tc>
                <w:tcPr/>
                <w:p>
                  <w:pPr>
                    <w:pStyle w:val="Compact"/>
                    <w:jc w:val="right"/>
                    <w:jc w:val="center"/>
                  </w:pPr>
                  <w:r>
                    <w:t xml:space="preserve">9992</w:t>
                  </w:r>
                </w:p>
              </w:tc>
              <w:tc>
                <w:tcPr/>
                <w:p>
                  <w:pPr>
                    <w:pStyle w:val="Compact"/>
                    <w:jc w:val="right"/>
                    <w:jc w:val="center"/>
                  </w:pPr>
                  <w:r>
                    <w:t xml:space="preserve">-1287.011</w:t>
                  </w:r>
                </w:p>
              </w:tc>
              <w:tc>
                <w:tcPr/>
                <w:p>
                  <w:pPr>
                    <w:pStyle w:val="Compact"/>
                    <w:jc w:val="right"/>
                    <w:jc w:val="center"/>
                  </w:pPr>
                  <w:r>
                    <w:t xml:space="preserve">0.010</w:t>
                  </w:r>
                </w:p>
              </w:tc>
            </w:tr>
            <w:tr>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245.851</w:t>
                  </w:r>
                </w:p>
              </w:tc>
              <w:tc>
                <w:tcPr/>
                <w:p>
                  <w:pPr>
                    <w:pStyle w:val="Compact"/>
                    <w:jc w:val="right"/>
                    <w:jc w:val="center"/>
                  </w:pPr>
                  <w:r>
                    <w:t xml:space="preserve">9992</w:t>
                  </w:r>
                </w:p>
              </w:tc>
              <w:tc>
                <w:tcPr/>
                <w:p>
                  <w:pPr>
                    <w:pStyle w:val="Compact"/>
                    <w:jc w:val="right"/>
                    <w:jc w:val="center"/>
                  </w:pPr>
                  <w:r>
                    <w:t xml:space="preserve">-1406.602</w:t>
                  </w:r>
                </w:p>
              </w:tc>
              <w:tc>
                <w:tcPr/>
                <w:p>
                  <w:pPr>
                    <w:pStyle w:val="Compact"/>
                    <w:jc w:val="right"/>
                    <w:jc w:val="center"/>
                  </w:pPr>
                  <w:r>
                    <w:t xml:space="preserve">0.000</w:t>
                  </w:r>
                </w:p>
              </w:tc>
            </w:tr>
            <w:tr>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3.322</w:t>
                  </w:r>
                </w:p>
              </w:tc>
              <w:tc>
                <w:tcPr/>
                <w:p>
                  <w:pPr>
                    <w:pStyle w:val="Compact"/>
                    <w:jc w:val="right"/>
                    <w:jc w:val="center"/>
                  </w:pPr>
                  <w:r>
                    <w:t xml:space="preserve">9992</w:t>
                  </w:r>
                </w:p>
              </w:tc>
              <w:tc>
                <w:tcPr/>
                <w:p>
                  <w:pPr>
                    <w:pStyle w:val="Compact"/>
                    <w:jc w:val="right"/>
                    <w:jc w:val="center"/>
                  </w:pPr>
                  <w:r>
                    <w:t xml:space="preserve">-1285.338</w:t>
                  </w:r>
                </w:p>
              </w:tc>
              <w:tc>
                <w:tcPr/>
                <w:p>
                  <w:pPr>
                    <w:pStyle w:val="Compact"/>
                    <w:jc w:val="right"/>
                    <w:jc w:val="center"/>
                  </w:pPr>
                  <w:r>
                    <w:t xml:space="preserve">0.068</w:t>
                  </w:r>
                </w:p>
              </w:tc>
            </w:tr>
            <w:tr>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774.641</w:t>
                  </w:r>
                </w:p>
              </w:tc>
              <w:tc>
                <w:tcPr/>
                <w:p>
                  <w:pPr>
                    <w:pStyle w:val="Compact"/>
                    <w:jc w:val="right"/>
                    <w:jc w:val="center"/>
                  </w:pPr>
                  <w:r>
                    <w:t xml:space="preserve">10095</w:t>
                  </w:r>
                </w:p>
              </w:tc>
              <w:tc>
                <w:tcPr/>
                <w:p>
                  <w:pPr>
                    <w:pStyle w:val="Compact"/>
                    <w:jc w:val="right"/>
                    <w:jc w:val="center"/>
                  </w:pPr>
                  <w:r>
                    <w:t xml:space="preserve">-1869.156</w:t>
                  </w:r>
                </w:p>
              </w:tc>
              <w:tc>
                <w:tcPr/>
                <w:p>
                  <w:pPr>
                    <w:pStyle w:val="Compact"/>
                    <w:jc w:val="right"/>
                    <w:jc w:val="center"/>
                  </w:pPr>
                  <w:r>
                    <w:t xml:space="preserve">0.000</w:t>
                  </w:r>
                </w:p>
              </w:tc>
            </w:tr>
            <w:tr>
              <w:tc>
                <w:tcPr/>
                <w:p>
                  <w:pPr>
                    <w:pStyle w:val="Compact"/>
                    <w:jc w:val="left"/>
                    <w:jc w:val="center"/>
                  </w:pPr>
                  <w:r>
                    <w:t xml:space="preserve">as.character(wday(game_date, label = TRUE, abbr = FALSE))</w:t>
                  </w:r>
                </w:p>
              </w:tc>
              <w:tc>
                <w:tcPr/>
                <w:p>
                  <w:pPr>
                    <w:pStyle w:val="Compact"/>
                    <w:jc w:val="right"/>
                    <w:jc w:val="center"/>
                  </w:pPr>
                  <w:r>
                    <w:t xml:space="preserve">6</w:t>
                  </w:r>
                </w:p>
              </w:tc>
              <w:tc>
                <w:tcPr/>
                <w:p>
                  <w:pPr>
                    <w:pStyle w:val="Compact"/>
                    <w:jc w:val="right"/>
                    <w:jc w:val="center"/>
                  </w:pPr>
                  <w:r>
                    <w:t xml:space="preserve">179.939</w:t>
                  </w:r>
                </w:p>
              </w:tc>
              <w:tc>
                <w:tcPr/>
                <w:p>
                  <w:pPr>
                    <w:pStyle w:val="Compact"/>
                    <w:jc w:val="right"/>
                    <w:jc w:val="center"/>
                  </w:pPr>
                  <w:r>
                    <w:t xml:space="preserve">9997</w:t>
                  </w:r>
                </w:p>
              </w:tc>
              <w:tc>
                <w:tcPr/>
                <w:p>
                  <w:pPr>
                    <w:pStyle w:val="Compact"/>
                    <w:jc w:val="right"/>
                    <w:jc w:val="center"/>
                  </w:pPr>
                  <w:r>
                    <w:t xml:space="preserve">-1373.646</w:t>
                  </w:r>
                </w:p>
              </w:tc>
              <w:tc>
                <w:tcPr/>
                <w:p>
                  <w:pPr>
                    <w:pStyle w:val="Compact"/>
                    <w:jc w:val="right"/>
                    <w:jc w:val="center"/>
                  </w:pPr>
                  <w:r>
                    <w:t xml:space="preserve">0.000</w:t>
                  </w:r>
                </w:p>
              </w:tc>
            </w:tr>
            <w:tr>
              <w:tc>
                <w:tcPr/>
                <w:p>
                  <w:pPr>
                    <w:pStyle w:val="Compact"/>
                    <w:jc w:val="left"/>
                    <w:jc w:val="center"/>
                  </w:pPr>
                  <w:r>
                    <w:t xml:space="preserve">as.character(month(game_date, label = TRUE, abbr = FALSE))</w:t>
                  </w:r>
                </w:p>
              </w:tc>
              <w:tc>
                <w:tcPr/>
                <w:p>
                  <w:pPr>
                    <w:pStyle w:val="Compact"/>
                    <w:jc w:val="right"/>
                    <w:jc w:val="center"/>
                  </w:pPr>
                  <w:r>
                    <w:t xml:space="preserve">4</w:t>
                  </w:r>
                </w:p>
              </w:tc>
              <w:tc>
                <w:tcPr/>
                <w:p>
                  <w:pPr>
                    <w:pStyle w:val="Compact"/>
                    <w:jc w:val="right"/>
                    <w:jc w:val="center"/>
                  </w:pPr>
                  <w:r>
                    <w:t xml:space="preserve">152.937</w:t>
                  </w:r>
                </w:p>
              </w:tc>
              <w:tc>
                <w:tcPr/>
                <w:p>
                  <w:pPr>
                    <w:pStyle w:val="Compact"/>
                    <w:jc w:val="right"/>
                    <w:jc w:val="center"/>
                  </w:pPr>
                  <w:r>
                    <w:t xml:space="preserve">9995</w:t>
                  </w:r>
                </w:p>
              </w:tc>
              <w:tc>
                <w:tcPr/>
                <w:p>
                  <w:pPr>
                    <w:pStyle w:val="Compact"/>
                    <w:jc w:val="right"/>
                    <w:jc w:val="center"/>
                  </w:pPr>
                  <w:r>
                    <w:t xml:space="preserve">-1360.145</w:t>
                  </w:r>
                </w:p>
              </w:tc>
              <w:tc>
                <w:tcPr/>
                <w:p>
                  <w:pPr>
                    <w:pStyle w:val="Compact"/>
                    <w:jc w:val="right"/>
                    <w:jc w:val="center"/>
                  </w:pPr>
                  <w:r>
                    <w:t xml:space="preserve">0.000</w:t>
                  </w:r>
                </w:p>
              </w:tc>
            </w:tr>
            <w:tr>
              <w:tc>
                <w:tcPr/>
                <w:p>
                  <w:pPr>
                    <w:pStyle w:val="Compact"/>
                    <w:jc w:val="left"/>
                    <w:jc w:val="center"/>
                  </w:pPr>
                  <w:r>
                    <w:t xml:space="preserve">I(z1_quality_of_play):factor(season_id)</w:t>
                  </w:r>
                </w:p>
              </w:tc>
              <w:tc>
                <w:tcPr/>
                <w:p>
                  <w:pPr>
                    <w:pStyle w:val="Compact"/>
                    <w:jc w:val="right"/>
                    <w:jc w:val="center"/>
                  </w:pPr>
                  <w:r>
                    <w:t xml:space="preserve">26</w:t>
                  </w:r>
                </w:p>
              </w:tc>
              <w:tc>
                <w:tcPr/>
                <w:p>
                  <w:pPr>
                    <w:pStyle w:val="Compact"/>
                    <w:jc w:val="right"/>
                    <w:jc w:val="center"/>
                  </w:pPr>
                  <w:r>
                    <w:t xml:space="preserve">171.416</w:t>
                  </w:r>
                </w:p>
              </w:tc>
              <w:tc>
                <w:tcPr/>
                <w:p>
                  <w:pPr>
                    <w:pStyle w:val="Compact"/>
                    <w:jc w:val="right"/>
                    <w:jc w:val="center"/>
                  </w:pPr>
                  <w:r>
                    <w:t xml:space="preserve">10017</w:t>
                  </w:r>
                </w:p>
              </w:tc>
              <w:tc>
                <w:tcPr/>
                <w:p>
                  <w:pPr>
                    <w:pStyle w:val="Compact"/>
                    <w:jc w:val="right"/>
                    <w:jc w:val="center"/>
                  </w:pPr>
                  <w:r>
                    <w:t xml:space="preserve">-1369.385</w:t>
                  </w:r>
                </w:p>
              </w:tc>
              <w:tc>
                <w:tcPr/>
                <w:p>
                  <w:pPr>
                    <w:pStyle w:val="Compact"/>
                    <w:jc w:val="right"/>
                    <w:jc w:val="center"/>
                  </w:pPr>
                  <w:r>
                    <w:t xml:space="preserve">0.000</w:t>
                  </w:r>
                </w:p>
              </w:tc>
            </w:tr>
            <w:tr>
              <w:tc>
                <w:tcPr/>
                <w:p>
                  <w:pPr>
                    <w:pStyle w:val="Compact"/>
                    <w:jc w:val="left"/>
                    <w:jc w:val="center"/>
                  </w:pPr>
                  <w:r>
                    <w:t xml:space="preserve">I(z2_uncertain_outcome):factor(season_id)</w:t>
                  </w:r>
                </w:p>
              </w:tc>
              <w:tc>
                <w:tcPr/>
                <w:p>
                  <w:pPr>
                    <w:pStyle w:val="Compact"/>
                    <w:jc w:val="right"/>
                    <w:jc w:val="center"/>
                  </w:pPr>
                  <w:r>
                    <w:t xml:space="preserve">26</w:t>
                  </w:r>
                </w:p>
              </w:tc>
              <w:tc>
                <w:tcPr/>
                <w:p>
                  <w:pPr>
                    <w:pStyle w:val="Compact"/>
                    <w:jc w:val="right"/>
                    <w:jc w:val="center"/>
                  </w:pPr>
                  <w:r>
                    <w:t xml:space="preserve">42.942</w:t>
                  </w:r>
                </w:p>
              </w:tc>
              <w:tc>
                <w:tcPr/>
                <w:p>
                  <w:pPr>
                    <w:pStyle w:val="Compact"/>
                    <w:jc w:val="right"/>
                    <w:jc w:val="center"/>
                  </w:pPr>
                  <w:r>
                    <w:t xml:space="preserve">10017</w:t>
                  </w:r>
                </w:p>
              </w:tc>
              <w:tc>
                <w:tcPr/>
                <w:p>
                  <w:pPr>
                    <w:pStyle w:val="Compact"/>
                    <w:jc w:val="right"/>
                    <w:jc w:val="center"/>
                  </w:pPr>
                  <w:r>
                    <w:t xml:space="preserve">-1305.148</w:t>
                  </w:r>
                </w:p>
              </w:tc>
              <w:tc>
                <w:tcPr/>
                <w:p>
                  <w:pPr>
                    <w:pStyle w:val="Compact"/>
                    <w:jc w:val="right"/>
                    <w:jc w:val="center"/>
                  </w:pPr>
                  <w:r>
                    <w:t xml:space="preserve">0.020</w:t>
                  </w:r>
                </w:p>
              </w:tc>
            </w:tr>
            <w:tr>
              <w:tc>
                <w:tcPr/>
                <w:p>
                  <w:pPr>
                    <w:pStyle w:val="Compact"/>
                    <w:jc w:val="left"/>
                    <w:jc w:val="center"/>
                  </w:pPr>
                  <w:r>
                    <w:t xml:space="preserve">I(z3_loss_aversion):factor(season_id)</w:t>
                  </w:r>
                </w:p>
              </w:tc>
              <w:tc>
                <w:tcPr/>
                <w:p>
                  <w:pPr>
                    <w:pStyle w:val="Compact"/>
                    <w:jc w:val="right"/>
                    <w:jc w:val="center"/>
                  </w:pPr>
                  <w:r>
                    <w:t xml:space="preserve">26</w:t>
                  </w:r>
                </w:p>
              </w:tc>
              <w:tc>
                <w:tcPr/>
                <w:p>
                  <w:pPr>
                    <w:pStyle w:val="Compact"/>
                    <w:jc w:val="right"/>
                    <w:jc w:val="center"/>
                  </w:pPr>
                  <w:r>
                    <w:t xml:space="preserve">186.524</w:t>
                  </w:r>
                </w:p>
              </w:tc>
              <w:tc>
                <w:tcPr/>
                <w:p>
                  <w:pPr>
                    <w:pStyle w:val="Compact"/>
                    <w:jc w:val="right"/>
                    <w:jc w:val="center"/>
                  </w:pPr>
                  <w:r>
                    <w:t xml:space="preserve">10017</w:t>
                  </w:r>
                </w:p>
              </w:tc>
              <w:tc>
                <w:tcPr/>
                <w:p>
                  <w:pPr>
                    <w:pStyle w:val="Compact"/>
                    <w:jc w:val="right"/>
                    <w:jc w:val="center"/>
                  </w:pPr>
                  <w:r>
                    <w:t xml:space="preserve">-1376.939</w:t>
                  </w:r>
                </w:p>
              </w:tc>
              <w:tc>
                <w:tcPr/>
                <w:p>
                  <w:pPr>
                    <w:pStyle w:val="Compact"/>
                    <w:jc w:val="right"/>
                    <w:jc w:val="center"/>
                  </w:pPr>
                  <w:r>
                    <w:t xml:space="preserve">0.000</w:t>
                  </w:r>
                </w:p>
              </w:tc>
            </w:tr>
          </w:tbl>
          <w:bookmarkEnd w:id="20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9"/>
    <w:bookmarkStart w:id="212"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210" w:name="tbl-glance2"/>
          <w:p>
            <w:pPr>
              <w:jc w:val="center"/>
            </w:pPr>
            <w:pPr>
              <w:jc w:val="left"/>
              <w:spacing w:before="200"/>
              <w:pStyle w:val="ImageCaption"/>
            </w:pPr>
            <w:r>
              <w:t xml:space="preserve">Table 10: Comparison of percentage of arena capacity models.</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21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tbl-anova2"/>
          <w:p>
            <w:pPr>
              <w:jc w:val="center"/>
            </w:pPr>
            <w:pPr>
              <w:jc w:val="left"/>
              <w:spacing w:before="200"/>
              <w:pStyle w:val="ImageCaption"/>
            </w:pPr>
            <w:r>
              <w:t xml:space="preserve">Table 11: Analysis of variance for terms in models for percentage of arena capacity.</w:t>
            </w:r>
          </w:p>
          <w:tbl>
            <w:tblPr>
              <w:tblStyle w:val="Table"/>
              <w:tblW w:type="pct" w:w="5000"/>
              <w:tblLayout w:type="fixed"/>
              <w:tblLook w:firstRow="1" w:lastRow="0" w:firstColumn="0" w:lastColumn="0" w:noHBand="0" w:noVBand="0" w:val="0020"/>
            </w:tblPr>
            <w:tblGrid>
              <w:gridCol w:w="4286"/>
              <w:gridCol w:w="217"/>
              <w:gridCol w:w="653"/>
              <w:gridCol w:w="871"/>
              <w:gridCol w:w="1307"/>
              <w:gridCol w:w="581"/>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I(z1_quality_of_play)</w:t>
                  </w:r>
                </w:p>
              </w:tc>
              <w:tc>
                <w:tcPr/>
                <w:p>
                  <w:pPr>
                    <w:pStyle w:val="Compact"/>
                    <w:jc w:val="right"/>
                    <w:jc w:val="center"/>
                  </w:pPr>
                  <w:r>
                    <w:t xml:space="preserve">1</w:t>
                  </w:r>
                </w:p>
              </w:tc>
              <w:tc>
                <w:tcPr/>
                <w:p>
                  <w:pPr>
                    <w:pStyle w:val="Compact"/>
                    <w:jc w:val="right"/>
                    <w:jc w:val="center"/>
                  </w:pPr>
                  <w:r>
                    <w:t xml:space="preserve">23.076</w:t>
                  </w:r>
                </w:p>
              </w:tc>
              <w:tc>
                <w:tcPr/>
                <w:p>
                  <w:pPr>
                    <w:pStyle w:val="Compact"/>
                    <w:jc w:val="right"/>
                    <w:jc w:val="center"/>
                  </w:pPr>
                  <w:r>
                    <w:t xml:space="preserve">5061</w:t>
                  </w:r>
                </w:p>
              </w:tc>
              <w:tc>
                <w:tcPr/>
                <w:p>
                  <w:pPr>
                    <w:pStyle w:val="Compact"/>
                    <w:jc w:val="right"/>
                    <w:jc w:val="center"/>
                  </w:pPr>
                  <w:r>
                    <w:t xml:space="preserve">818.212</w:t>
                  </w:r>
                </w:p>
              </w:tc>
              <w:tc>
                <w:tcPr/>
                <w:p>
                  <w:pPr>
                    <w:pStyle w:val="Compact"/>
                    <w:jc w:val="right"/>
                    <w:jc w:val="center"/>
                  </w:pPr>
                  <w:r>
                    <w:t xml:space="preserve">0.000</w:t>
                  </w:r>
                </w:p>
              </w:tc>
            </w:tr>
            <w:tr>
              <w:tc>
                <w:tcPr/>
                <w:p>
                  <w:pPr>
                    <w:pStyle w:val="Compact"/>
                    <w:jc w:val="left"/>
                    <w:jc w:val="center"/>
                  </w:pPr>
                  <w:r>
                    <w:t xml:space="preserve">I(z2_uncertain_outcome)</w:t>
                  </w:r>
                </w:p>
              </w:tc>
              <w:tc>
                <w:tcPr/>
                <w:p>
                  <w:pPr>
                    <w:pStyle w:val="Compact"/>
                    <w:jc w:val="right"/>
                    <w:jc w:val="center"/>
                  </w:pPr>
                  <w:r>
                    <w:t xml:space="preserve">1</w:t>
                  </w:r>
                </w:p>
              </w:tc>
              <w:tc>
                <w:tcPr/>
                <w:p>
                  <w:pPr>
                    <w:pStyle w:val="Compact"/>
                    <w:jc w:val="right"/>
                    <w:jc w:val="center"/>
                  </w:pPr>
                  <w:r>
                    <w:t xml:space="preserve">0.008</w:t>
                  </w:r>
                </w:p>
              </w:tc>
              <w:tc>
                <w:tcPr/>
                <w:p>
                  <w:pPr>
                    <w:pStyle w:val="Compact"/>
                    <w:jc w:val="right"/>
                    <w:jc w:val="center"/>
                  </w:pPr>
                  <w:r>
                    <w:t xml:space="preserve">5060</w:t>
                  </w:r>
                </w:p>
              </w:tc>
              <w:tc>
                <w:tcPr/>
                <w:p>
                  <w:pPr>
                    <w:pStyle w:val="Compact"/>
                    <w:jc w:val="right"/>
                    <w:jc w:val="center"/>
                  </w:pPr>
                  <w:r>
                    <w:t xml:space="preserve">818.203</w:t>
                  </w:r>
                </w:p>
              </w:tc>
              <w:tc>
                <w:tcPr/>
                <w:p>
                  <w:pPr>
                    <w:pStyle w:val="Compact"/>
                    <w:jc w:val="right"/>
                    <w:jc w:val="center"/>
                  </w:pPr>
                  <w:r>
                    <w:t xml:space="preserve">0.927</w:t>
                  </w:r>
                </w:p>
              </w:tc>
            </w:tr>
            <w:tr>
              <w:tc>
                <w:tcPr/>
                <w:p>
                  <w:pPr>
                    <w:pStyle w:val="Compact"/>
                    <w:jc w:val="left"/>
                    <w:jc w:val="center"/>
                  </w:pPr>
                  <w:r>
                    <w:t xml:space="preserve">I(z3_loss_aversion)</w:t>
                  </w:r>
                </w:p>
              </w:tc>
              <w:tc>
                <w:tcPr/>
                <w:p>
                  <w:pPr>
                    <w:pStyle w:val="Compact"/>
                    <w:jc w:val="right"/>
                    <w:jc w:val="center"/>
                  </w:pPr>
                  <w:r>
                    <w:t xml:space="preserve">1</w:t>
                  </w:r>
                </w:p>
              </w:tc>
              <w:tc>
                <w:tcPr/>
                <w:p>
                  <w:pPr>
                    <w:pStyle w:val="Compact"/>
                    <w:jc w:val="right"/>
                    <w:jc w:val="center"/>
                  </w:pPr>
                  <w:r>
                    <w:t xml:space="preserve">9.976</w:t>
                  </w:r>
                </w:p>
              </w:tc>
              <w:tc>
                <w:tcPr/>
                <w:p>
                  <w:pPr>
                    <w:pStyle w:val="Compact"/>
                    <w:jc w:val="right"/>
                    <w:jc w:val="center"/>
                  </w:pPr>
                  <w:r>
                    <w:t xml:space="preserve">5059</w:t>
                  </w:r>
                </w:p>
              </w:tc>
              <w:tc>
                <w:tcPr/>
                <w:p>
                  <w:pPr>
                    <w:pStyle w:val="Compact"/>
                    <w:jc w:val="right"/>
                    <w:jc w:val="center"/>
                  </w:pPr>
                  <w:r>
                    <w:t xml:space="preserve">808.227</w:t>
                  </w:r>
                </w:p>
              </w:tc>
              <w:tc>
                <w:tcPr/>
                <w:p>
                  <w:pPr>
                    <w:pStyle w:val="Compact"/>
                    <w:jc w:val="right"/>
                    <w:jc w:val="center"/>
                  </w:pPr>
                  <w:r>
                    <w:t xml:space="preserve">0.002</w:t>
                  </w:r>
                </w:p>
              </w:tc>
            </w:tr>
            <w:tr>
              <w:tc>
                <w:tcPr/>
                <w:p>
                  <w:pPr>
                    <w:pStyle w:val="Compact"/>
                    <w:jc w:val="left"/>
                    <w:jc w:val="center"/>
                  </w:pPr>
                  <w:r>
                    <w:t xml:space="preserve">factor(name_current)</w:t>
                  </w:r>
                </w:p>
              </w:tc>
              <w:tc>
                <w:tcPr/>
                <w:p>
                  <w:pPr>
                    <w:pStyle w:val="Compact"/>
                    <w:jc w:val="right"/>
                    <w:jc w:val="center"/>
                  </w:pPr>
                  <w:r>
                    <w:t xml:space="preserve">12</w:t>
                  </w:r>
                </w:p>
              </w:tc>
              <w:tc>
                <w:tcPr/>
                <w:p>
                  <w:pPr>
                    <w:pStyle w:val="Compact"/>
                    <w:jc w:val="right"/>
                    <w:jc w:val="center"/>
                  </w:pPr>
                  <w:r>
                    <w:t xml:space="preserve">97.666</w:t>
                  </w:r>
                </w:p>
              </w:tc>
              <w:tc>
                <w:tcPr/>
                <w:p>
                  <w:pPr>
                    <w:pStyle w:val="Compact"/>
                    <w:jc w:val="right"/>
                    <w:jc w:val="center"/>
                  </w:pPr>
                  <w:r>
                    <w:t xml:space="preserve">5047</w:t>
                  </w:r>
                </w:p>
              </w:tc>
              <w:tc>
                <w:tcPr/>
                <w:p>
                  <w:pPr>
                    <w:pStyle w:val="Compact"/>
                    <w:jc w:val="right"/>
                    <w:jc w:val="center"/>
                  </w:pPr>
                  <w:r>
                    <w:t xml:space="preserve">710.561</w:t>
                  </w:r>
                </w:p>
              </w:tc>
              <w:tc>
                <w:tcPr/>
                <w:p>
                  <w:pPr>
                    <w:pStyle w:val="Compact"/>
                    <w:jc w:val="right"/>
                    <w:jc w:val="center"/>
                  </w:pPr>
                  <w:r>
                    <w:t xml:space="preserve">0.000</w:t>
                  </w:r>
                </w:p>
              </w:tc>
            </w:tr>
            <w:tr>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80.763</w:t>
                  </w:r>
                </w:p>
              </w:tc>
              <w:tc>
                <w:tcPr/>
                <w:p>
                  <w:pPr>
                    <w:pStyle w:val="Compact"/>
                    <w:jc w:val="right"/>
                    <w:jc w:val="center"/>
                  </w:pPr>
                  <w:r>
                    <w:t xml:space="preserve">5046</w:t>
                  </w:r>
                </w:p>
              </w:tc>
              <w:tc>
                <w:tcPr/>
                <w:p>
                  <w:pPr>
                    <w:pStyle w:val="Compact"/>
                    <w:jc w:val="right"/>
                    <w:jc w:val="center"/>
                  </w:pPr>
                  <w:r>
                    <w:t xml:space="preserve">629.798</w:t>
                  </w:r>
                </w:p>
              </w:tc>
              <w:tc>
                <w:tcPr/>
                <w:p>
                  <w:pPr>
                    <w:pStyle w:val="Compact"/>
                    <w:jc w:val="right"/>
                    <w:jc w:val="center"/>
                  </w:pPr>
                  <w:r>
                    <w:t xml:space="preserve">0.000</w:t>
                  </w:r>
                </w:p>
              </w:tc>
            </w:tr>
            <w:tr>
              <w:tc>
                <w:tcPr/>
                <w:p>
                  <w:pPr>
                    <w:pStyle w:val="Compact"/>
                    <w:jc w:val="left"/>
                    <w:jc w:val="center"/>
                  </w:pPr>
                  <w:r>
                    <w:t xml:space="preserve">metro_pop</w:t>
                  </w:r>
                </w:p>
              </w:tc>
              <w:tc>
                <w:tcPr/>
                <w:p>
                  <w:pPr>
                    <w:pStyle w:val="Compact"/>
                    <w:jc w:val="right"/>
                    <w:jc w:val="center"/>
                  </w:pPr>
                  <w:r>
                    <w:t xml:space="preserve">1</w:t>
                  </w:r>
                </w:p>
              </w:tc>
              <w:tc>
                <w:tcPr/>
                <w:p>
                  <w:pPr>
                    <w:pStyle w:val="Compact"/>
                    <w:jc w:val="right"/>
                    <w:jc w:val="center"/>
                  </w:pPr>
                  <w:r>
                    <w:t xml:space="preserve">2.846</w:t>
                  </w:r>
                </w:p>
              </w:tc>
              <w:tc>
                <w:tcPr/>
                <w:p>
                  <w:pPr>
                    <w:pStyle w:val="Compact"/>
                    <w:jc w:val="right"/>
                    <w:jc w:val="center"/>
                  </w:pPr>
                  <w:r>
                    <w:t xml:space="preserve">5045</w:t>
                  </w:r>
                </w:p>
              </w:tc>
              <w:tc>
                <w:tcPr/>
                <w:p>
                  <w:pPr>
                    <w:pStyle w:val="Compact"/>
                    <w:jc w:val="right"/>
                    <w:jc w:val="center"/>
                  </w:pPr>
                  <w:r>
                    <w:t xml:space="preserve">626.952</w:t>
                  </w:r>
                </w:p>
              </w:tc>
              <w:tc>
                <w:tcPr/>
                <w:p>
                  <w:pPr>
                    <w:pStyle w:val="Compact"/>
                    <w:jc w:val="right"/>
                    <w:jc w:val="center"/>
                  </w:pPr>
                  <w:r>
                    <w:t xml:space="preserve">0.092</w:t>
                  </w:r>
                </w:p>
              </w:tc>
            </w:tr>
            <w:tr>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33.209</w:t>
                  </w:r>
                </w:p>
              </w:tc>
              <w:tc>
                <w:tcPr/>
                <w:p>
                  <w:pPr>
                    <w:pStyle w:val="Compact"/>
                    <w:jc w:val="right"/>
                    <w:jc w:val="center"/>
                  </w:pPr>
                  <w:r>
                    <w:t xml:space="preserve">5044</w:t>
                  </w:r>
                </w:p>
              </w:tc>
              <w:tc>
                <w:tcPr/>
                <w:p>
                  <w:pPr>
                    <w:pStyle w:val="Compact"/>
                    <w:jc w:val="right"/>
                    <w:jc w:val="center"/>
                  </w:pPr>
                  <w:r>
                    <w:t xml:space="preserve">593.743</w:t>
                  </w:r>
                </w:p>
              </w:tc>
              <w:tc>
                <w:tcPr/>
                <w:p>
                  <w:pPr>
                    <w:pStyle w:val="Compact"/>
                    <w:jc w:val="right"/>
                    <w:jc w:val="center"/>
                  </w:pPr>
                  <w:r>
                    <w:t xml:space="preserve">0.000</w:t>
                  </w:r>
                </w:p>
              </w:tc>
            </w:tr>
            <w:tr>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3.128</w:t>
                  </w:r>
                </w:p>
              </w:tc>
              <w:tc>
                <w:tcPr/>
                <w:p>
                  <w:pPr>
                    <w:pStyle w:val="Compact"/>
                    <w:jc w:val="right"/>
                    <w:jc w:val="center"/>
                  </w:pPr>
                  <w:r>
                    <w:t xml:space="preserve">5043</w:t>
                  </w:r>
                </w:p>
              </w:tc>
              <w:tc>
                <w:tcPr/>
                <w:p>
                  <w:pPr>
                    <w:pStyle w:val="Compact"/>
                    <w:jc w:val="right"/>
                    <w:jc w:val="center"/>
                  </w:pPr>
                  <w:r>
                    <w:t xml:space="preserve">590.615</w:t>
                  </w:r>
                </w:p>
              </w:tc>
              <w:tc>
                <w:tcPr/>
                <w:p>
                  <w:pPr>
                    <w:pStyle w:val="Compact"/>
                    <w:jc w:val="right"/>
                    <w:jc w:val="center"/>
                  </w:pPr>
                  <w:r>
                    <w:t xml:space="preserve">0.077</w:t>
                  </w:r>
                </w:p>
              </w:tc>
            </w:tr>
            <w:tr>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69.636</w:t>
                  </w:r>
                </w:p>
              </w:tc>
              <w:tc>
                <w:tcPr/>
                <w:p>
                  <w:pPr>
                    <w:pStyle w:val="Compact"/>
                    <w:jc w:val="right"/>
                    <w:jc w:val="center"/>
                  </w:pPr>
                  <w:r>
                    <w:t xml:space="preserve">5017</w:t>
                  </w:r>
                </w:p>
              </w:tc>
              <w:tc>
                <w:tcPr/>
                <w:p>
                  <w:pPr>
                    <w:pStyle w:val="Compact"/>
                    <w:jc w:val="right"/>
                    <w:jc w:val="center"/>
                  </w:pPr>
                  <w:r>
                    <w:t xml:space="preserve">520.980</w:t>
                  </w:r>
                </w:p>
              </w:tc>
              <w:tc>
                <w:tcPr/>
                <w:p>
                  <w:pPr>
                    <w:pStyle w:val="Compact"/>
                    <w:jc w:val="right"/>
                    <w:jc w:val="center"/>
                  </w:pPr>
                  <w:r>
                    <w:t xml:space="preserve">0.000</w:t>
                  </w:r>
                </w:p>
              </w:tc>
            </w:tr>
            <w:tr>
              <w:tc>
                <w:tcPr/>
                <w:p>
                  <w:pPr>
                    <w:pStyle w:val="Compact"/>
                    <w:jc w:val="left"/>
                    <w:jc w:val="center"/>
                  </w:pPr>
                  <w:r>
                    <w:t xml:space="preserve">as.character(wday(game_date, label = TRUE, abbr = FALSE))</w:t>
                  </w:r>
                </w:p>
              </w:tc>
              <w:tc>
                <w:tcPr/>
                <w:p>
                  <w:pPr>
                    <w:pStyle w:val="Compact"/>
                    <w:jc w:val="right"/>
                    <w:jc w:val="center"/>
                  </w:pPr>
                  <w:r>
                    <w:t xml:space="preserve">6</w:t>
                  </w:r>
                </w:p>
              </w:tc>
              <w:tc>
                <w:tcPr/>
                <w:p>
                  <w:pPr>
                    <w:pStyle w:val="Compact"/>
                    <w:jc w:val="right"/>
                    <w:jc w:val="center"/>
                  </w:pPr>
                  <w:r>
                    <w:t xml:space="preserve">15.048</w:t>
                  </w:r>
                </w:p>
              </w:tc>
              <w:tc>
                <w:tcPr/>
                <w:p>
                  <w:pPr>
                    <w:pStyle w:val="Compact"/>
                    <w:jc w:val="right"/>
                    <w:jc w:val="center"/>
                  </w:pPr>
                  <w:r>
                    <w:t xml:space="preserve">5011</w:t>
                  </w:r>
                </w:p>
              </w:tc>
              <w:tc>
                <w:tcPr/>
                <w:p>
                  <w:pPr>
                    <w:pStyle w:val="Compact"/>
                    <w:jc w:val="right"/>
                    <w:jc w:val="center"/>
                  </w:pPr>
                  <w:r>
                    <w:t xml:space="preserve">505.932</w:t>
                  </w:r>
                </w:p>
              </w:tc>
              <w:tc>
                <w:tcPr/>
                <w:p>
                  <w:pPr>
                    <w:pStyle w:val="Compact"/>
                    <w:jc w:val="right"/>
                    <w:jc w:val="center"/>
                  </w:pPr>
                  <w:r>
                    <w:t xml:space="preserve">0.020</w:t>
                  </w:r>
                </w:p>
              </w:tc>
            </w:tr>
            <w:tr>
              <w:tc>
                <w:tcPr/>
                <w:p>
                  <w:pPr>
                    <w:pStyle w:val="Compact"/>
                    <w:jc w:val="left"/>
                    <w:jc w:val="center"/>
                  </w:pPr>
                  <w:r>
                    <w:t xml:space="preserve">as.character(month(game_date, label = TRUE, abbr = FALSE))</w:t>
                  </w:r>
                </w:p>
              </w:tc>
              <w:tc>
                <w:tcPr/>
                <w:p>
                  <w:pPr>
                    <w:pStyle w:val="Compact"/>
                    <w:jc w:val="right"/>
                    <w:jc w:val="center"/>
                  </w:pPr>
                  <w:r>
                    <w:t xml:space="preserve">4</w:t>
                  </w:r>
                </w:p>
              </w:tc>
              <w:tc>
                <w:tcPr/>
                <w:p>
                  <w:pPr>
                    <w:pStyle w:val="Compact"/>
                    <w:jc w:val="right"/>
                    <w:jc w:val="center"/>
                  </w:pPr>
                  <w:r>
                    <w:t xml:space="preserve">12.826</w:t>
                  </w:r>
                </w:p>
              </w:tc>
              <w:tc>
                <w:tcPr/>
                <w:p>
                  <w:pPr>
                    <w:pStyle w:val="Compact"/>
                    <w:jc w:val="right"/>
                    <w:jc w:val="center"/>
                  </w:pPr>
                  <w:r>
                    <w:t xml:space="preserve">5007</w:t>
                  </w:r>
                </w:p>
              </w:tc>
              <w:tc>
                <w:tcPr/>
                <w:p>
                  <w:pPr>
                    <w:pStyle w:val="Compact"/>
                    <w:jc w:val="right"/>
                    <w:jc w:val="center"/>
                  </w:pPr>
                  <w:r>
                    <w:t xml:space="preserve">493.106</w:t>
                  </w:r>
                </w:p>
              </w:tc>
              <w:tc>
                <w:tcPr/>
                <w:p>
                  <w:pPr>
                    <w:pStyle w:val="Compact"/>
                    <w:jc w:val="right"/>
                    <w:jc w:val="center"/>
                  </w:pPr>
                  <w:r>
                    <w:t xml:space="preserve">0.012</w:t>
                  </w:r>
                </w:p>
              </w:tc>
            </w:tr>
            <w:tr>
              <w:tc>
                <w:tcPr/>
                <w:p>
                  <w:pPr>
                    <w:pStyle w:val="Compact"/>
                    <w:jc w:val="left"/>
                    <w:jc w:val="center"/>
                  </w:pPr>
                  <w:r>
                    <w:t xml:space="preserve">I(z1_quality_of_play):factor(season_id)</w:t>
                  </w:r>
                </w:p>
              </w:tc>
              <w:tc>
                <w:tcPr/>
                <w:p>
                  <w:pPr>
                    <w:pStyle w:val="Compact"/>
                    <w:jc w:val="right"/>
                    <w:jc w:val="center"/>
                  </w:pPr>
                  <w:r>
                    <w:t xml:space="preserve">26</w:t>
                  </w:r>
                </w:p>
              </w:tc>
              <w:tc>
                <w:tcPr/>
                <w:p>
                  <w:pPr>
                    <w:pStyle w:val="Compact"/>
                    <w:jc w:val="right"/>
                    <w:jc w:val="center"/>
                  </w:pPr>
                  <w:r>
                    <w:t xml:space="preserve">5.860</w:t>
                  </w:r>
                </w:p>
              </w:tc>
              <w:tc>
                <w:tcPr/>
                <w:p>
                  <w:pPr>
                    <w:pStyle w:val="Compact"/>
                    <w:jc w:val="right"/>
                    <w:jc w:val="center"/>
                  </w:pPr>
                  <w:r>
                    <w:t xml:space="preserve">4981</w:t>
                  </w:r>
                </w:p>
              </w:tc>
              <w:tc>
                <w:tcPr/>
                <w:p>
                  <w:pPr>
                    <w:pStyle w:val="Compact"/>
                    <w:jc w:val="right"/>
                    <w:jc w:val="center"/>
                  </w:pPr>
                  <w:r>
                    <w:t xml:space="preserve">487.246</w:t>
                  </w:r>
                </w:p>
              </w:tc>
              <w:tc>
                <w:tcPr/>
                <w:p>
                  <w:pPr>
                    <w:pStyle w:val="Compact"/>
                    <w:jc w:val="right"/>
                    <w:jc w:val="center"/>
                  </w:pPr>
                  <w:r>
                    <w:t xml:space="preserve">1.000</w:t>
                  </w:r>
                </w:p>
              </w:tc>
            </w:tr>
            <w:tr>
              <w:tc>
                <w:tcPr/>
                <w:p>
                  <w:pPr>
                    <w:pStyle w:val="Compact"/>
                    <w:jc w:val="left"/>
                    <w:jc w:val="center"/>
                  </w:pPr>
                  <w:r>
                    <w:t xml:space="preserve">I(z2_uncertain_outcome):factor(season_id)</w:t>
                  </w:r>
                </w:p>
              </w:tc>
              <w:tc>
                <w:tcPr/>
                <w:p>
                  <w:pPr>
                    <w:pStyle w:val="Compact"/>
                    <w:jc w:val="right"/>
                    <w:jc w:val="center"/>
                  </w:pPr>
                  <w:r>
                    <w:t xml:space="preserve">26</w:t>
                  </w:r>
                </w:p>
              </w:tc>
              <w:tc>
                <w:tcPr/>
                <w:p>
                  <w:pPr>
                    <w:pStyle w:val="Compact"/>
                    <w:jc w:val="right"/>
                    <w:jc w:val="center"/>
                  </w:pPr>
                  <w:r>
                    <w:t xml:space="preserve">3.613</w:t>
                  </w:r>
                </w:p>
              </w:tc>
              <w:tc>
                <w:tcPr/>
                <w:p>
                  <w:pPr>
                    <w:pStyle w:val="Compact"/>
                    <w:jc w:val="right"/>
                    <w:jc w:val="center"/>
                  </w:pPr>
                  <w:r>
                    <w:t xml:space="preserve">4955</w:t>
                  </w:r>
                </w:p>
              </w:tc>
              <w:tc>
                <w:tcPr/>
                <w:p>
                  <w:pPr>
                    <w:pStyle w:val="Compact"/>
                    <w:jc w:val="right"/>
                    <w:jc w:val="center"/>
                  </w:pPr>
                  <w:r>
                    <w:t xml:space="preserve">483.632</w:t>
                  </w:r>
                </w:p>
              </w:tc>
              <w:tc>
                <w:tcPr/>
                <w:p>
                  <w:pPr>
                    <w:pStyle w:val="Compact"/>
                    <w:jc w:val="right"/>
                    <w:jc w:val="center"/>
                  </w:pPr>
                  <w:r>
                    <w:t xml:space="preserve">1.000</w:t>
                  </w:r>
                </w:p>
              </w:tc>
            </w:tr>
            <w:tr>
              <w:tc>
                <w:tcPr/>
                <w:p>
                  <w:pPr>
                    <w:pStyle w:val="Compact"/>
                    <w:jc w:val="left"/>
                    <w:jc w:val="center"/>
                  </w:pPr>
                  <w:r>
                    <w:t xml:space="preserve">I(z3_loss_aversion):factor(season_id)</w:t>
                  </w:r>
                </w:p>
              </w:tc>
              <w:tc>
                <w:tcPr/>
                <w:p>
                  <w:pPr>
                    <w:pStyle w:val="Compact"/>
                    <w:jc w:val="right"/>
                    <w:jc w:val="center"/>
                  </w:pPr>
                  <w:r>
                    <w:t xml:space="preserve">26</w:t>
                  </w:r>
                </w:p>
              </w:tc>
              <w:tc>
                <w:tcPr/>
                <w:p>
                  <w:pPr>
                    <w:pStyle w:val="Compact"/>
                    <w:jc w:val="right"/>
                    <w:jc w:val="center"/>
                  </w:pPr>
                  <w:r>
                    <w:t xml:space="preserve">10.292</w:t>
                  </w:r>
                </w:p>
              </w:tc>
              <w:tc>
                <w:tcPr/>
                <w:p>
                  <w:pPr>
                    <w:pStyle w:val="Compact"/>
                    <w:jc w:val="right"/>
                    <w:jc w:val="center"/>
                  </w:pPr>
                  <w:r>
                    <w:t xml:space="preserve">4929</w:t>
                  </w:r>
                </w:p>
              </w:tc>
              <w:tc>
                <w:tcPr/>
                <w:p>
                  <w:pPr>
                    <w:pStyle w:val="Compact"/>
                    <w:jc w:val="right"/>
                    <w:jc w:val="center"/>
                  </w:pPr>
                  <w:r>
                    <w:t xml:space="preserve">473.341</w:t>
                  </w:r>
                </w:p>
              </w:tc>
              <w:tc>
                <w:tcPr/>
                <w:p>
                  <w:pPr>
                    <w:pStyle w:val="Compact"/>
                    <w:jc w:val="right"/>
                    <w:jc w:val="center"/>
                  </w:pPr>
                  <w:r>
                    <w:t xml:space="preserve">0.997</w:t>
                  </w:r>
                </w:p>
              </w:tc>
            </w:tr>
          </w:tbl>
          <w:bookmarkEnd w:id="21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61">
    <w:p>
      <w:pPr>
        <w:pStyle w:val="FootnoteText"/>
      </w:pPr>
      <w:r>
        <w:rPr>
          <w:rStyle w:val="FootnoteReference"/>
        </w:rPr>
        <w:footnoteRef/>
      </w:r>
      <w:r>
        <w:t xml:space="preserve"> </w:t>
      </w:r>
      <w:r>
        <w:t xml:space="preserve">It is possible that this formulation might misidentify how fans view outcome uncertainty. That is, fans might not seek exactly equal team strength across the two opponents, but rather would be just as satisfied as long as there is sufficient uncertainty.</w:t>
      </w:r>
    </w:p>
  </w:footnote>
  <w:footnote w:id="70">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extraploted values.</w:t>
      </w:r>
    </w:p>
  </w:footnote>
  <w:footnote w:id="93">
    <w:p>
      <w:pPr>
        <w:pStyle w:val="FootnoteText"/>
      </w:pPr>
      <w:r>
        <w:rPr>
          <w:rStyle w:val="FootnoteReference"/>
        </w:rPr>
        <w:footnoteRef/>
      </w:r>
      <w:r>
        <w:t xml:space="preserve"> </w:t>
      </w:r>
      <w:r>
        <w:t xml:space="preserve">See the previous note about possible misspecification of the uncertainty of outcome response.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49" Target="media/rId49.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54" Target="media/rId54.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180" Target="media/rId180.png" /><Relationship Type="http://schemas.openxmlformats.org/officeDocument/2006/relationships/image" Id="rId88" Target="media/rId88.png" /><Relationship Type="http://schemas.openxmlformats.org/officeDocument/2006/relationships/image" Id="rId112" Target="media/rId112.png" /><Relationship Type="http://schemas.openxmlformats.org/officeDocument/2006/relationships/image" Id="rId98" Target="media/rId98.png" /><Relationship Type="http://schemas.openxmlformats.org/officeDocument/2006/relationships/image" Id="rId117" Target="media/rId117.png" /><Relationship Type="http://schemas.openxmlformats.org/officeDocument/2006/relationships/hyperlink" Id="rId170" Target="https://accessecon.com/pubs/eb/2003/volume1/eb-03a10003a.pdf" TargetMode="External" /><Relationship Type="http://schemas.openxmlformats.org/officeDocument/2006/relationships/hyperlink" Id="rId161" Target="https://doi.org/10.1002/(SICI)1099-1255(199611)11:6&lt;619::AID-JAE418&gt;3.0.CO;2-1" TargetMode="External" /><Relationship Type="http://schemas.openxmlformats.org/officeDocument/2006/relationships/hyperlink" Id="rId148" Target="https://doi.org/10.1002/mde.1308" TargetMode="External" /><Relationship Type="http://schemas.openxmlformats.org/officeDocument/2006/relationships/hyperlink" Id="rId156" Target="https://doi.org/10.1016/0304-4076(85)90158-7" TargetMode="External" /><Relationship Type="http://schemas.openxmlformats.org/officeDocument/2006/relationships/hyperlink" Id="rId166" Target="https://doi.org/10.1080/00031305.2016.1154108" TargetMode="External" /><Relationship Type="http://schemas.openxmlformats.org/officeDocument/2006/relationships/hyperlink" Id="rId168" Target="https://doi.org/10.1080/00031305.2019.1583913" TargetMode="External" /><Relationship Type="http://schemas.openxmlformats.org/officeDocument/2006/relationships/hyperlink" Id="rId154" Target="https://doi.org/10.1080/14660970.2022.2037218" TargetMode="External" /><Relationship Type="http://schemas.openxmlformats.org/officeDocument/2006/relationships/hyperlink" Id="rId146" Target="https://doi.org/10.1080/17430437.2017.1346620" TargetMode="External" /><Relationship Type="http://schemas.openxmlformats.org/officeDocument/2006/relationships/hyperlink" Id="rId131" Target="https://doi.org/10.1111/ecin.12061" TargetMode="External" /><Relationship Type="http://schemas.openxmlformats.org/officeDocument/2006/relationships/hyperlink" Id="rId139" Target="https://doi.org/10.1123/jsm.16.4.311" TargetMode="External" /><Relationship Type="http://schemas.openxmlformats.org/officeDocument/2006/relationships/hyperlink" Id="rId137" Target="https://doi.org/10.1123/jsm.2019-0404" TargetMode="External" /><Relationship Type="http://schemas.openxmlformats.org/officeDocument/2006/relationships/hyperlink" Id="rId135" Target="https://doi.org/10.1177/1527002508327387" TargetMode="External" /><Relationship Type="http://schemas.openxmlformats.org/officeDocument/2006/relationships/hyperlink" Id="rId152" Target="https://doi.org/10.1177/1527002509337212" TargetMode="External" /><Relationship Type="http://schemas.openxmlformats.org/officeDocument/2006/relationships/hyperlink" Id="rId133" Target="https://doi.org/10.1177/155862350800300105" TargetMode="External" /><Relationship Type="http://schemas.openxmlformats.org/officeDocument/2006/relationships/hyperlink" Id="rId144" Target="https://doi.org/10.32614/cran.package.wehoop" TargetMode="External" /><Relationship Type="http://schemas.openxmlformats.org/officeDocument/2006/relationships/hyperlink" Id="rId129" Target="https://doi.org/10.32731/IJSF/181.022023.03" TargetMode="External" /><Relationship Type="http://schemas.openxmlformats.org/officeDocument/2006/relationships/hyperlink" Id="rId163" Target="https://doi.org/10.3390/ijfs7010012" TargetMode="External" /><Relationship Type="http://schemas.openxmlformats.org/officeDocument/2006/relationships/hyperlink" Id="rId150"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2" Target="https://polecom.org/index.php/polecom/article/view/119" TargetMode="External" /><Relationship Type="http://schemas.openxmlformats.org/officeDocument/2006/relationships/hyperlink" Id="rId174" Target="https://thesportjournal.org/article/attendance-still-matters-in-mlb-the-relationship-with-winning-percentage/" TargetMode="External" /><Relationship Type="http://schemas.openxmlformats.org/officeDocument/2006/relationships/hyperlink" Id="rId176" Target="https://www.acrossthetimeline.com/wnba/attendance.html" TargetMode="External" /><Relationship Type="http://schemas.openxmlformats.org/officeDocument/2006/relationships/hyperlink" Id="rId158" Target="https://www.jstor.org/stable/1924766" TargetMode="External" /><Relationship Type="http://schemas.openxmlformats.org/officeDocument/2006/relationships/hyperlink" Id="rId172"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70" Target="https://accessecon.com/pubs/eb/2003/volume1/eb-03a10003a.pdf" TargetMode="External" /><Relationship Type="http://schemas.openxmlformats.org/officeDocument/2006/relationships/hyperlink" Id="rId161" Target="https://doi.org/10.1002/(SICI)1099-1255(199611)11:6&lt;619::AID-JAE418&gt;3.0.CO;2-1" TargetMode="External" /><Relationship Type="http://schemas.openxmlformats.org/officeDocument/2006/relationships/hyperlink" Id="rId148" Target="https://doi.org/10.1002/mde.1308" TargetMode="External" /><Relationship Type="http://schemas.openxmlformats.org/officeDocument/2006/relationships/hyperlink" Id="rId156" Target="https://doi.org/10.1016/0304-4076(85)90158-7" TargetMode="External" /><Relationship Type="http://schemas.openxmlformats.org/officeDocument/2006/relationships/hyperlink" Id="rId166" Target="https://doi.org/10.1080/00031305.2016.1154108" TargetMode="External" /><Relationship Type="http://schemas.openxmlformats.org/officeDocument/2006/relationships/hyperlink" Id="rId168" Target="https://doi.org/10.1080/00031305.2019.1583913" TargetMode="External" /><Relationship Type="http://schemas.openxmlformats.org/officeDocument/2006/relationships/hyperlink" Id="rId154" Target="https://doi.org/10.1080/14660970.2022.2037218" TargetMode="External" /><Relationship Type="http://schemas.openxmlformats.org/officeDocument/2006/relationships/hyperlink" Id="rId146" Target="https://doi.org/10.1080/17430437.2017.1346620" TargetMode="External" /><Relationship Type="http://schemas.openxmlformats.org/officeDocument/2006/relationships/hyperlink" Id="rId131" Target="https://doi.org/10.1111/ecin.12061" TargetMode="External" /><Relationship Type="http://schemas.openxmlformats.org/officeDocument/2006/relationships/hyperlink" Id="rId139" Target="https://doi.org/10.1123/jsm.16.4.311" TargetMode="External" /><Relationship Type="http://schemas.openxmlformats.org/officeDocument/2006/relationships/hyperlink" Id="rId137" Target="https://doi.org/10.1123/jsm.2019-0404" TargetMode="External" /><Relationship Type="http://schemas.openxmlformats.org/officeDocument/2006/relationships/hyperlink" Id="rId135" Target="https://doi.org/10.1177/1527002508327387" TargetMode="External" /><Relationship Type="http://schemas.openxmlformats.org/officeDocument/2006/relationships/hyperlink" Id="rId152" Target="https://doi.org/10.1177/1527002509337212" TargetMode="External" /><Relationship Type="http://schemas.openxmlformats.org/officeDocument/2006/relationships/hyperlink" Id="rId133" Target="https://doi.org/10.1177/155862350800300105" TargetMode="External" /><Relationship Type="http://schemas.openxmlformats.org/officeDocument/2006/relationships/hyperlink" Id="rId144" Target="https://doi.org/10.32614/cran.package.wehoop" TargetMode="External" /><Relationship Type="http://schemas.openxmlformats.org/officeDocument/2006/relationships/hyperlink" Id="rId129" Target="https://doi.org/10.32731/IJSF/181.022023.03" TargetMode="External" /><Relationship Type="http://schemas.openxmlformats.org/officeDocument/2006/relationships/hyperlink" Id="rId163" Target="https://doi.org/10.3390/ijfs7010012" TargetMode="External" /><Relationship Type="http://schemas.openxmlformats.org/officeDocument/2006/relationships/hyperlink" Id="rId150"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2" Target="https://polecom.org/index.php/polecom/article/view/119" TargetMode="External" /><Relationship Type="http://schemas.openxmlformats.org/officeDocument/2006/relationships/hyperlink" Id="rId174" Target="https://thesportjournal.org/article/attendance-still-matters-in-mlb-the-relationship-with-winning-percentage/" TargetMode="External" /><Relationship Type="http://schemas.openxmlformats.org/officeDocument/2006/relationships/hyperlink" Id="rId176" Target="https://www.acrossthetimeline.com/wnba/attendance.html" TargetMode="External" /><Relationship Type="http://schemas.openxmlformats.org/officeDocument/2006/relationships/hyperlink" Id="rId158" Target="https://www.jstor.org/stable/1924766" TargetMode="External" /><Relationship Type="http://schemas.openxmlformats.org/officeDocument/2006/relationships/hyperlink" Id="rId172"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2026-07-06T14:57:12Z</dcterms:created>
  <dcterms:modified xsi:type="dcterms:W3CDTF">2026-07-06T14:57:12Z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 This, in turn, is consistent with a more durable popularity for the league.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2026-07-06</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