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47.png" ContentType="image/png"/>
  <Override PartName="/word/media/rId52.png" ContentType="image/png"/>
  <Override PartName="/word/media/rId36.png" ContentType="image/png"/>
  <Override PartName="/word/media/rId15.png" ContentType="image/png"/>
  <Override PartName="/word/media/rId21.png" ContentType="image/png"/>
  <Override PartName="/word/media/rId57.png" ContentType="image/png"/>
  <Override PartName="/word/media/rId62.png" ContentType="image/png"/>
  <Override PartName="/word/media/rId41.png" ContentType="image/png"/>
  <Override PartName="/word/media/rId27.png" ContentType="image/png"/>
  <Override PartName="/word/media/rId111.png" ContentType="image/png"/>
  <Override PartName="/word/media/rId67.png" ContentType="image/png"/>
  <Override PartName="/word/media/rId186.png" ContentType="image/png"/>
  <Override PartName="/word/media/rId190.png" ContentType="image/png"/>
  <Override PartName="/word/media/rId194.png" ContentType="image/png"/>
  <Override PartName="/word/media/rId198.png" ContentType="image/png"/>
  <Override PartName="/word/media/rId98.png" ContentType="image/png"/>
  <Override PartName="/word/media/rId118.png" ContentType="image/png"/>
  <Override PartName="/word/media/rId103.png" ContentType="image/png"/>
  <Override PartName="/word/media/rId123.png" ContentType="image/png"/>
  <Override PartName="/word/media/rId73.png" ContentType="image/png"/>
  <Override PartName="/word/media/rId76.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2026-06-27</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 In this paper we set out to determine how the underlying causes shaping game attendance work to explain these more recent trends, and specifically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br/>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bookmarkEnd w:id="10"/>
    <w:bookmarkStart w:id="12" w:name="why-is-the-wnba-different"/>
    <w:p>
      <w:pPr>
        <w:pStyle w:val="Heading3"/>
      </w:pPr>
      <w:r>
        <w:t xml:space="preserve">1.2 Why is the WNBA different?</w:t>
      </w:r>
    </w:p>
    <w:p>
      <w:pPr>
        <w:pStyle w:val="FirstParagraph"/>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1"/>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35" w:name="sec-data"/>
    <w:p>
      <w:pPr>
        <w:pStyle w:val="Heading2"/>
      </w:pPr>
      <w:r>
        <w:t xml:space="preserve">2 Data</w:t>
      </w:r>
    </w:p>
    <w:bookmarkStart w:id="26"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w:t>
      </w:r>
      <w:r>
        <w:t xml:space="preserve"> </w:t>
      </w:r>
      <w:r>
        <w:t xml:space="preserve">Attendance data was unavailable for only 152 games, while (due to the COVID-19 pandemic) 2 games (accurately) recorded attendance of 0.</w:t>
      </w:r>
      <w:r>
        <w:t xml:space="preserve"> </w:t>
      </w:r>
      <w:r>
        <w:t xml:space="preserve">Because the arenas WNBA teams play in vary widely in size– the New York Liberty alone have called both the Barclays Center (17,732 seat capacity) and the Westchester County Center (2,300 seat capacity) home in recent years– we contextualize raw attendance numbers by approximating the capacity of each game venue.</w:t>
      </w:r>
      <w:r>
        <w:t xml:space="preserve"> </w:t>
      </w:r>
      <w:r>
        <w:t xml:space="preserve">Because accurate records of arena configurations and capacities were difficult to obtain (particularly for venues not still in use) we approximated the practical capacity of each space by pulling the maximally attended game for each venue.</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 The game-level performance data include</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EnergySolutions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2024-06-27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College Park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2011-07-20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2014-08-10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2009-08-29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AT&amp;T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2008-07-19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Verizon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2007-06-29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2004-07-30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Palace of Auburn Hills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p>
      <w:pPr>
        <w:pStyle w:val="BodyText"/>
      </w:pPr>
      <w:hyperlink w:anchor="fig-boxplots-capacity">
        <w:r>
          <w:rPr>
            <w:rStyle w:val="Hyperlink"/>
          </w:rPr>
          <w:t xml:space="preserve">Figure 2</w:t>
        </w:r>
      </w:hyperlink>
      <w:r>
        <w:t xml:space="preserve"> </w:t>
      </w:r>
      <w:r>
        <w:t xml:space="preserve">shows the distribution of attendance as a percentage of the arena’s capacity.</w:t>
      </w:r>
      <w:r>
        <w:t xml:space="preserve"> </w:t>
      </w:r>
      <w:r>
        <w:t xml:space="preserve">Although we recorded reported arena capacities, those capacities change over time, and some games had attendance that exceeded the arena’s reported capacity.</w:t>
      </w:r>
      <w:r>
        <w:t xml:space="preserve"> </w:t>
      </w:r>
      <w:r>
        <w:t xml:space="preserve">Instead, we computed the percentage as a ratio of the attendance to the larger of the reported capacity, or the maximum recorded attendance at that arena in the sample.</w:t>
      </w:r>
      <w:r>
        <w:rPr>
          <w:rStyle w:val="FootnoteReference"/>
        </w:rPr>
        <w:footnoteReference w:id="20"/>
      </w:r>
    </w:p>
    <w:bookmarkStart w:id="25" w:name="cell-fig-boxplots-capacity"/>
    <w:tbl>
      <w:tblPr>
        <w:tblStyle w:val="Table"/>
        <w:tblW w:type="pct" w:w="5000"/>
        <w:tblLayout w:type="fixed"/>
        <w:tblLook w:firstRow="0" w:lastRow="0" w:firstColumn="0" w:lastColumn="0" w:noHBand="0" w:noVBand="0" w:val="0000"/>
      </w:tblPr>
      <w:tblGrid>
        <w:gridCol w:w="7920"/>
      </w:tblGrid>
      <w:tr>
        <w:tc>
          <w:tcPr/>
          <w:bookmarkStart w:id="24" w:name="fig-boxplots-capacity"/>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boxplots-capacity-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arena capacity by season. Caitlin Clark’s games in 2024-2025 are separated by color.</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32"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 This means that beating a team with a higher Elo rating has a greater positive effect than beating a team with a lower Elo rating, reflecting upsets with more nuance than the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 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If team</w:t>
      </w:r>
      <w:r>
        <w:t xml:space="preserve"> </w:t>
      </w:r>
      <m:oMath>
        <m:r>
          <m:t>i</m:t>
        </m:r>
      </m:oMath>
      <w:r>
        <w:t xml:space="preserve"> </w:t>
      </w:r>
      <w:r>
        <w:t xml:space="preserve">had a 78% probability of beating team</w:t>
      </w:r>
      <w:r>
        <w:t xml:space="preserve"> </w:t>
      </w:r>
      <m:oMath>
        <m:r>
          <m:t>j</m:t>
        </m:r>
      </m:oMath>
      <w:r>
        <w:t xml:space="preserve"> </w:t>
      </w:r>
      <w:r>
        <w:t xml:space="preserve">and wins, their rating will improve by</w:t>
      </w:r>
      <w:r>
        <w:t xml:space="preserve"> </w:t>
      </w:r>
      <m:oMath>
        <m:r>
          <m:t>32</m:t>
        </m:r>
        <m:r>
          <m:rPr>
            <m:sty m:val="p"/>
          </m:rPr>
          <m:t>⋅</m:t>
        </m:r>
        <m:r>
          <m:rPr>
            <m:sty m:val="p"/>
          </m:rPr>
          <m:t>(</m:t>
        </m:r>
        <m:r>
          <m:t>1</m:t>
        </m:r>
        <m:r>
          <m:rPr>
            <m:sty m:val="p"/>
          </m:rPr>
          <m:t>−</m:t>
        </m:r>
        <m:r>
          <m:t>0.78</m:t>
        </m:r>
        <m:r>
          <m:rPr>
            <m:sty m:val="p"/>
          </m:rPr>
          <m:t>)</m:t>
        </m:r>
        <m:r>
          <m:rPr>
            <m:sty m:val="p"/>
          </m:rPr>
          <m:t>=</m:t>
        </m:r>
        <m:r>
          <m:t>7.04</m:t>
        </m:r>
      </m:oMath>
      <w:r>
        <w:t xml:space="preserve">, while team</w:t>
      </w:r>
      <w:r>
        <w:t xml:space="preserve"> </w:t>
      </w:r>
      <m:oMath>
        <m:r>
          <m:t>j</m:t>
        </m:r>
      </m:oMath>
      <w:r>
        <w:t xml:space="preserve">’s rating will decrease by the same amount.</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31" w:name="cell-fig-elo"/>
    <w:tbl>
      <w:tblPr>
        <w:tblStyle w:val="Table"/>
        <w:tblW w:type="pct" w:w="5000"/>
        <w:tblLayout w:type="fixed"/>
        <w:tblLook w:firstRow="0" w:lastRow="0" w:firstColumn="0" w:lastColumn="0" w:noHBand="0" w:noVBand="0" w:val="0000"/>
      </w:tblPr>
      <w:tblGrid>
        <w:gridCol w:w="7920"/>
      </w:tblGrid>
      <w:tr>
        <w:tc>
          <w:tcPr/>
          <w:bookmarkStart w:id="30" w:name="fig-elo"/>
          <w:p>
            <w:pPr>
              <w:pStyle w:val="Compact"/>
              <w:jc w:val="center"/>
            </w:pPr>
            <w:r>
              <w:drawing>
                <wp:inline>
                  <wp:extent cx="4620126" cy="3696101"/>
                  <wp:effectExtent b="0" l="0" r="0" t="0"/>
                  <wp:docPr descr="" title="" id="28" name="Picture"/>
                  <a:graphic>
                    <a:graphicData uri="http://schemas.openxmlformats.org/drawingml/2006/picture">
                      <pic:pic>
                        <pic:nvPicPr>
                          <pic:cNvPr descr="index_files/figure-docx/fig-elo-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3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End w:id="32"/>
    <w:bookmarkStart w:id="34" w:name="estimating-home-win-probability"/>
    <w:p>
      <w:pPr>
        <w:pStyle w:val="Heading3"/>
      </w:pPr>
      <w:r>
        <w:t xml:space="preserve">2.3 Estimating home win probability</w:t>
      </w:r>
    </w:p>
    <w:p>
      <w:pPr>
        <w:pStyle w:val="FirstParagraph"/>
      </w:pPr>
      <w:r>
        <w:t xml:space="preserve">The pregame Elo ratings estimated above can then be plugged back into the win probability formula to estimate the home teams’s likelihood of winning.</w:t>
      </w:r>
      <w:r>
        <w:t xml:space="preserve"> </w:t>
      </w: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While the model was slightly less accurate at the extremes,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bookmarkEnd w:id="35"/>
    <w:bookmarkStart w:id="86"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bookmarkStart w:id="46"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4</w:t>
        </w:r>
      </w:hyperlink>
      <w:r>
        <w:t xml:space="preserve">, we observe the relationship between attendance and estimated home win probability.</w:t>
      </w:r>
      <w:r>
        <w:t xml:space="preserve"> </w:t>
      </w:r>
      <w:r>
        <w:t xml:space="preserve">We add a simple quadratic regression line to reflect the quadratic relationship posited by</w:t>
      </w:r>
      <w:r>
        <w:t xml:space="preserve"> </w:t>
      </w:r>
      <w:r>
        <w:t xml:space="preserve">Coates et al. (2014)</w:t>
      </w:r>
      <w:r>
        <w:t xml:space="preserve">.</w:t>
      </w:r>
      <w:r>
        <w:t xml:space="preserve"> </w:t>
      </w:r>
      <w:r>
        <w:t xml:space="preserve">In most years, the slope appears to be positive and the curvature concave.</w:t>
      </w:r>
    </w:p>
    <w:bookmarkStart w:id="40" w:name="cell-fig-attendance-year"/>
    <w:tbl>
      <w:tblPr>
        <w:tblStyle w:val="Table"/>
        <w:tblW w:type="pct" w:w="5000"/>
        <w:tblLayout w:type="fixed"/>
        <w:tblLook w:firstRow="0" w:lastRow="0" w:firstColumn="0" w:lastColumn="0" w:noHBand="0" w:noVBand="0" w:val="0000"/>
      </w:tblPr>
      <w:tblGrid>
        <w:gridCol w:w="7920"/>
      </w:tblGrid>
      <w:tr>
        <w:tc>
          <w:tcPr/>
          <w:bookmarkStart w:id="39" w:name="fig-attendance-year"/>
          <w:p>
            <w:pPr>
              <w:pStyle w:val="Compact"/>
              <w:jc w:val="center"/>
            </w:pPr>
            <w:r>
              <w:drawing>
                <wp:inline>
                  <wp:extent cx="4620126" cy="3696101"/>
                  <wp:effectExtent b="0" l="0" r="0" t="0"/>
                  <wp:docPr descr="" title="" id="37" name="Picture"/>
                  <a:graphic>
                    <a:graphicData uri="http://schemas.openxmlformats.org/drawingml/2006/picture">
                      <pic:pic>
                        <pic:nvPicPr>
                          <pic:cNvPr descr="index_files/figure-docx/fig-attendance-year-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w:t>
            </w:r>
          </w:p>
          <w:bookmarkEnd w:id="3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0"/>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5" w:name="cell-fig-capacity-year"/>
    <w:tbl>
      <w:tblPr>
        <w:tblStyle w:val="Table"/>
        <w:tblW w:type="pct" w:w="5000"/>
        <w:tblLayout w:type="fixed"/>
        <w:tblLook w:firstRow="0" w:lastRow="0" w:firstColumn="0" w:lastColumn="0" w:noHBand="0" w:noVBand="0" w:val="0000"/>
      </w:tblPr>
      <w:tblGrid>
        <w:gridCol w:w="7920"/>
      </w:tblGrid>
      <w:tr>
        <w:tc>
          <w:tcPr/>
          <w:bookmarkStart w:id="44" w:name="fig-capacity-year"/>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capacity-year-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arena capacity filled by season, against estimated home win probability. We note the edge effects caused by sellouts, which occur much more frequently in 2024 and 2025.</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6"/>
    <w:bookmarkStart w:id="80"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uncertain. We model this as the absolute difference in the two teams’ Elo ratings: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6</w:t>
        </w:r>
      </w:hyperlink>
      <w:r>
        <w:t xml:space="preserve"> </w:t>
      </w:r>
      <w:r>
        <w:t xml:space="preserve">and</w:t>
      </w:r>
      <w:r>
        <w:t xml:space="preserve"> </w:t>
      </w:r>
      <w:hyperlink w:anchor="fig-attend-f2">
        <w:r>
          <w:rPr>
            <w:rStyle w:val="Hyperlink"/>
          </w:rPr>
          <w:t xml:space="preserve">Figure 7</w:t>
        </w:r>
      </w:hyperlink>
      <w:r>
        <w:t xml:space="preserve">, respectively, with the corresponding plots for percentage of arena capacity shown in</w:t>
      </w:r>
      <w:r>
        <w:t xml:space="preserve"> </w:t>
      </w:r>
      <w:hyperlink w:anchor="fig-capacity-f1">
        <w:r>
          <w:rPr>
            <w:rStyle w:val="Hyperlink"/>
          </w:rPr>
          <w:t xml:space="preserve">Figure 8</w:t>
        </w:r>
      </w:hyperlink>
      <w:r>
        <w:t xml:space="preserve"> </w:t>
      </w:r>
      <w:r>
        <w:t xml:space="preserve">and</w:t>
      </w:r>
      <w:r>
        <w:t xml:space="preserve"> </w:t>
      </w:r>
      <w:hyperlink w:anchor="fig-capacity-f2">
        <w:r>
          <w:rPr>
            <w:rStyle w:val="Hyperlink"/>
          </w:rPr>
          <w:t xml:space="preserve">Figure 9</w:t>
        </w:r>
      </w:hyperlink>
      <w:r>
        <w:t xml:space="preserve">. Note that because our uncertainty of outcome metric is define as the absolute difference in Elo ratings between the two teams. Larger values indicate a less competitive matchup and therefore lower outcome uncertainty. If the uncertainty of outcome hypothesis is true, we would expect a negative relationship between this variable and attendance, as more competitive games should attract larger crowds.</w:t>
      </w:r>
    </w:p>
    <w:bookmarkStart w:id="51" w:name="cell-fig-attend-f1"/>
    <w:tbl>
      <w:tblPr>
        <w:tblStyle w:val="Table"/>
        <w:tblW w:type="pct" w:w="5000"/>
        <w:tblLayout w:type="fixed"/>
        <w:tblLook w:firstRow="0" w:lastRow="0" w:firstColumn="0" w:lastColumn="0" w:noHBand="0" w:noVBand="0" w:val="0000"/>
      </w:tblPr>
      <w:tblGrid>
        <w:gridCol w:w="7920"/>
      </w:tblGrid>
      <w:tr>
        <w:tc>
          <w:tcPr/>
          <w:bookmarkStart w:id="50" w:name="fig-attend-f1"/>
          <w:p>
            <w:pPr>
              <w:pStyle w:val="Compact"/>
              <w:jc w:val="center"/>
            </w:pPr>
            <w:r>
              <w:drawing>
                <wp:inline>
                  <wp:extent cx="4620126" cy="3696101"/>
                  <wp:effectExtent b="0" l="0" r="0" t="0"/>
                  <wp:docPr descr="" title="" id="48" name="Picture"/>
                  <a:graphic>
                    <a:graphicData uri="http://schemas.openxmlformats.org/drawingml/2006/picture">
                      <pic:pic>
                        <pic:nvPicPr>
                          <pic:cNvPr descr="index_files/figure-docx/fig-attend-f1-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WNBA game attendance by season, against quality of play (game-time sum of Elo ratings - 3000). Higher values indicate matchups between stronger teams.</w:t>
            </w:r>
          </w:p>
          <w:bookmarkEnd w:id="5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1"/>
    <w:bookmarkStart w:id="56" w:name="cell-fig-attend-f2"/>
    <w:tbl>
      <w:tblPr>
        <w:tblStyle w:val="Table"/>
        <w:tblW w:type="pct" w:w="5000"/>
        <w:tblLayout w:type="fixed"/>
        <w:tblLook w:firstRow="0" w:lastRow="0" w:firstColumn="0" w:lastColumn="0" w:noHBand="0" w:noVBand="0" w:val="0000"/>
      </w:tblPr>
      <w:tblGrid>
        <w:gridCol w:w="7920"/>
      </w:tblGrid>
      <w:tr>
        <w:tc>
          <w:tcPr/>
          <w:bookmarkStart w:id="55" w:name="fig-attend-f2"/>
          <w:p>
            <w:pPr>
              <w:pStyle w:val="Compact"/>
              <w:jc w:val="center"/>
            </w:pPr>
            <w:r>
              <w:drawing>
                <wp:inline>
                  <wp:extent cx="4620126" cy="3696101"/>
                  <wp:effectExtent b="0" l="0" r="0" t="0"/>
                  <wp:docPr descr="" title="" id="53" name="Picture"/>
                  <a:graphic>
                    <a:graphicData uri="http://schemas.openxmlformats.org/drawingml/2006/picture">
                      <pic:pic>
                        <pic:nvPicPr>
                          <pic:cNvPr descr="index_files/figure-docx/fig-attend-f2-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WNBA game attendance by season, against uncertainty of outcome. Games are more competetive when UOH is closer to zero.</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Start w:id="61" w:name="cell-fig-capacity-f1"/>
    <w:tbl>
      <w:tblPr>
        <w:tblStyle w:val="Table"/>
        <w:tblW w:type="pct" w:w="5000"/>
        <w:tblLayout w:type="fixed"/>
        <w:tblLook w:firstRow="0" w:lastRow="0" w:firstColumn="0" w:lastColumn="0" w:noHBand="0" w:noVBand="0" w:val="0000"/>
      </w:tblPr>
      <w:tblGrid>
        <w:gridCol w:w="7920"/>
      </w:tblGrid>
      <w:tr>
        <w:tc>
          <w:tcPr/>
          <w:bookmarkStart w:id="60" w:name="fig-capacity-f1"/>
          <w:p>
            <w:pPr>
              <w:pStyle w:val="Compact"/>
              <w:jc w:val="center"/>
            </w:pPr>
            <w:r>
              <w:drawing>
                <wp:inline>
                  <wp:extent cx="4620126" cy="3696101"/>
                  <wp:effectExtent b="0" l="0" r="0" t="0"/>
                  <wp:docPr descr="" title="" id="58" name="Picture"/>
                  <a:graphic>
                    <a:graphicData uri="http://schemas.openxmlformats.org/drawingml/2006/picture">
                      <pic:pic>
                        <pic:nvPicPr>
                          <pic:cNvPr descr="index_files/figure-docx/fig-capacity-f1-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6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6" w:name="cell-fig-capacity-f2"/>
    <w:tbl>
      <w:tblPr>
        <w:tblStyle w:val="Table"/>
        <w:tblW w:type="pct" w:w="5000"/>
        <w:tblLayout w:type="fixed"/>
        <w:tblLook w:firstRow="0" w:lastRow="0" w:firstColumn="0" w:lastColumn="0" w:noHBand="0" w:noVBand="0" w:val="0000"/>
      </w:tblPr>
      <w:tblGrid>
        <w:gridCol w:w="7920"/>
      </w:tblGrid>
      <w:tr>
        <w:tc>
          <w:tcPr/>
          <w:bookmarkStart w:id="65" w:name="fig-capacity-f2"/>
          <w:p>
            <w:pPr>
              <w:pStyle w:val="Compact"/>
              <w:jc w:val="center"/>
            </w:pPr>
            <w:r>
              <w:drawing>
                <wp:inline>
                  <wp:extent cx="4620126" cy="3696101"/>
                  <wp:effectExtent b="0" l="0" r="0" t="0"/>
                  <wp:docPr descr="" title="" id="63" name="Picture"/>
                  <a:graphic>
                    <a:graphicData uri="http://schemas.openxmlformats.org/drawingml/2006/picture">
                      <pic:pic>
                        <pic:nvPicPr>
                          <pic:cNvPr descr="index_files/figure-docx/fig-capacity-f2-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asd</w:t>
            </w:r>
          </w:p>
          <w:bookmarkEnd w:id="6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6"/>
    <w:bookmarkStart w:id="79" w:name="rescaling"/>
    <w:p>
      <w:pPr>
        <w:pStyle w:val="Heading4"/>
      </w:pPr>
      <w:r>
        <w:t xml:space="preserve">3.2.1 Rescaling</w:t>
      </w:r>
    </w:p>
    <w:p>
      <w:pPr>
        <w:pStyle w:val="FirstParagraph"/>
      </w:pPr>
      <w:hyperlink w:anchor="fig-rescaled">
        <w:r>
          <w:rPr>
            <w:rStyle w:val="Hyperlink"/>
          </w:rPr>
          <w:t xml:space="preserve">Figure 10</w:t>
        </w:r>
      </w:hyperlink>
      <w:r>
        <w:t xml:space="preserve"> </w:t>
      </w:r>
      <w:r>
        <w:t xml:space="preserve">shows the distribution of our fan engagement variables after rescaling.</w:t>
      </w:r>
    </w:p>
    <w:bookmarkStart w:id="71" w:name="cell-fig-rescaled"/>
    <w:tbl>
      <w:tblPr>
        <w:tblStyle w:val="Table"/>
        <w:tblW w:type="pct" w:w="5000"/>
        <w:tblLayout w:type="fixed"/>
        <w:tblLook w:firstRow="0" w:lastRow="0" w:firstColumn="0" w:lastColumn="0" w:noHBand="0" w:noVBand="0" w:val="0000"/>
      </w:tblPr>
      <w:tblGrid>
        <w:gridCol w:w="7920"/>
      </w:tblGrid>
      <w:tr>
        <w:tc>
          <w:tcPr/>
          <w:bookmarkStart w:id="70" w:name="fig-rescaled"/>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rescaled-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Distribution of fan engagement variables after rescaling.</w:t>
            </w:r>
          </w:p>
          <w:bookmarkEnd w:id="7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p>
      <w:pPr>
        <w:pStyle w:val="BodyText"/>
      </w:pPr>
      <w:r>
        <w:t xml:space="preserve">We note that</w:t>
      </w:r>
      <w:r>
        <w:t xml:space="preserve"> </w:t>
      </w:r>
      <w:hyperlink w:anchor="tbl-cor">
        <w:r>
          <w:rPr>
            <w:rStyle w:val="Hyperlink"/>
          </w:rPr>
          <w:t xml:space="preserve">Table 3</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72" w:name="tbl-cor"/>
          <w:p>
            <w:pPr>
              <w:jc w:val="center"/>
            </w:pPr>
            <w:pPr>
              <w:jc w:val="left"/>
              <w:spacing w:before="200"/>
              <w:pStyle w:val="ImageCaption"/>
            </w:pPr>
            <w:r>
              <w:t xml:space="preserve">Table 3: Correlations among fan engagment variables.</w:t>
            </w:r>
          </w:p>
          <w:tbl>
            <w:tblPr>
              <w:tblStyle w:val="Table"/>
              <w:tblW w:type="pct" w:w="5000"/>
              <w:tblLayout w:type="fixed"/>
              <w:tblLook w:firstRow="1" w:lastRow="0" w:firstColumn="0" w:lastColumn="0" w:noHBand="0" w:noVBand="0" w:val="0020"/>
            </w:tblPr>
            <w:tblGrid>
              <w:gridCol w:w="1721"/>
              <w:gridCol w:w="1549"/>
              <w:gridCol w:w="1721"/>
              <w:gridCol w:w="1377"/>
              <w:gridCol w:w="1549"/>
            </w:tblGrid>
            <w:tr>
              <w:trPr>
                <w:tblHeader w:val="on"/>
              </w:trPr>
              <w:tc>
                <w:tcPr/>
                <w:p>
                  <w:pPr>
                    <w:pStyle w:val="Compact"/>
                  </w:pPr>
                </w:p>
              </w:tc>
              <w:tc>
                <w:tcPr/>
                <w:p>
                  <w:pPr>
                    <w:pStyle w:val="Compact"/>
                    <w:jc w:val="right"/>
                    <w:jc w:val="center"/>
                  </w:pPr>
                  <w:r>
                    <w:t xml:space="preserve">z_quality_of_play</w:t>
                  </w:r>
                </w:p>
              </w:tc>
              <w:tc>
                <w:tcPr/>
                <w:p>
                  <w:pPr>
                    <w:pStyle w:val="Compact"/>
                    <w:jc w:val="right"/>
                    <w:jc w:val="center"/>
                  </w:pPr>
                  <w:r>
                    <w:t xml:space="preserve">z_uncertain_outcome</w:t>
                  </w:r>
                </w:p>
              </w:tc>
              <w:tc>
                <w:tcPr/>
                <w:p>
                  <w:pPr>
                    <w:pStyle w:val="Compact"/>
                    <w:jc w:val="right"/>
                    <w:jc w:val="center"/>
                  </w:pPr>
                  <w:r>
                    <w:t xml:space="preserve">z_loss_aversion</w:t>
                  </w:r>
                </w:p>
              </w:tc>
              <w:tc>
                <w:tcPr/>
                <w:p>
                  <w:pPr>
                    <w:pStyle w:val="Compact"/>
                    <w:jc w:val="right"/>
                    <w:jc w:val="center"/>
                  </w:pPr>
                  <w:r>
                    <w:t xml:space="preserve">zzz_sum_all_three</w:t>
                  </w:r>
                </w:p>
              </w:tc>
            </w:tr>
            <w:tr>
              <w:tc>
                <w:tcPr/>
                <w:p>
                  <w:pPr>
                    <w:pStyle w:val="Compact"/>
                    <w:jc w:val="left"/>
                    <w:jc w:val="center"/>
                  </w:pPr>
                  <w:r>
                    <w:t xml:space="preserve">z_quality_of_play</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z_uncertain_outcome</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z_loss_aversion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zzz_sum_all_three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bl>
          <w:bookmarkEnd w:id="7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4" name="Picture"/>
            <a:graphic>
              <a:graphicData uri="http://schemas.openxmlformats.org/drawingml/2006/picture">
                <pic:pic>
                  <pic:nvPicPr>
                    <pic:cNvPr descr="index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77" name="Picture"/>
            <a:graphic>
              <a:graphicData uri="http://schemas.openxmlformats.org/drawingml/2006/picture">
                <pic:pic>
                  <pic:nvPicPr>
                    <pic:cNvPr descr="index_files/figure-docx/unnamed-chunk-6-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82"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81"/>
      </w:r>
      <w:r>
        <w:t xml:space="preserve">.</w:t>
      </w:r>
      <w:r>
        <w:t xml:space="preserve"> </w:t>
      </w:r>
      <w:r>
        <w:t xml:space="preserve">Finally, we include an indicator based on whether Caitlin Clark played more than 0 minutes in the game (</w:t>
      </w:r>
      <m:oMath>
        <m:r>
          <m:t>χ</m:t>
        </m:r>
      </m:oMath>
      <w:r>
        <w:t xml:space="preserve">).</w:t>
      </w:r>
    </w:p>
    <w:bookmarkEnd w:id="82"/>
    <w:bookmarkStart w:id="83"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these changes, we include an interaction term between our measures of fan engagement (</w:t>
      </w:r>
      <m:oMath>
        <m:sSub>
          <m:e>
            <m:r>
              <m:t>f</m:t>
            </m:r>
          </m:e>
          <m:sub>
            <m:r>
              <m:t>k</m:t>
            </m:r>
          </m:sub>
        </m:sSub>
      </m:oMath>
      <w:r>
        <w:t xml:space="preserve">) and season (</w:t>
      </w:r>
      <m:oMath>
        <m:sSub>
          <m:e>
            <m:r>
              <m:t>τ</m:t>
            </m:r>
          </m:e>
          <m:sub>
            <m:r>
              <m:t>1</m:t>
            </m:r>
          </m:sub>
        </m:sSub>
      </m:oMath>
      <w:r>
        <w:t xml:space="preserve">). We also considered fitting a period-based model but ultimately decided against this approach. Defining periods by hand would require subjective decisions about the timing of structural breaks and would risk introducing researcher bias into the analysis. Instead, we allow the relationship between attendance and fan engagement to evolve season-by-season.</w:t>
      </w:r>
    </w:p>
    <w:bookmarkEnd w:id="83"/>
    <w:bookmarkStart w:id="84"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84"/>
    <w:bookmarkStart w:id="85"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85"/>
    <w:bookmarkEnd w:id="86"/>
    <w:bookmarkStart w:id="130"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drawing>
          <wp:inline>
            <wp:extent cx="4620126" cy="3696101"/>
            <wp:effectExtent b="0" l="0" r="0" t="0"/>
            <wp:docPr descr="" title="" id="88" name="Picture"/>
            <a:graphic>
              <a:graphicData uri="http://schemas.openxmlformats.org/drawingml/2006/picture">
                <pic:pic>
                  <pic:nvPicPr>
                    <pic:cNvPr descr="index_files/figure-docx/unnamed-chunk-9-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SourceCode"/>
      </w:pPr>
      <w:r>
        <w:br/>
      </w:r>
      <w:r>
        <w:rPr>
          <w:rStyle w:val="VerbatimChar"/>
        </w:rPr>
        <w:t xml:space="preserve">Call:</w:t>
      </w:r>
      <w:r>
        <w:br/>
      </w:r>
      <w:r>
        <w:rPr>
          <w:rStyle w:val="VerbatimChar"/>
        </w:rPr>
        <w:t xml:space="preserve">lm(formula = log(attendance) ~ elo_home_pregame + elo_away_pregame + </w:t>
      </w:r>
      <w:r>
        <w:br/>
      </w:r>
      <w:r>
        <w:rPr>
          <w:rStyle w:val="VerbatimChar"/>
        </w:rPr>
        <w:t xml:space="preserve">    I(elo_home_pregame^2) * I(elo_away_pregame^2) + factor(season_id) + </w:t>
      </w:r>
      <w:r>
        <w:br/>
      </w:r>
      <w:r>
        <w:rPr>
          <w:rStyle w:val="VerbatimChar"/>
        </w:rPr>
        <w:t xml:space="preserve">    factor(wday(game_date)) + factor(month(game_date)) + factor(arena) + </w:t>
      </w:r>
      <w:r>
        <w:br/>
      </w:r>
      <w:r>
        <w:rPr>
          <w:rStyle w:val="VerbatimChar"/>
        </w:rPr>
        <w:t xml:space="preserve">    median_income + median_pop + is_cc + is_aw, data = mod_df)</w:t>
      </w:r>
      <w:r>
        <w:br/>
      </w:r>
      <w:r>
        <w:br/>
      </w:r>
      <w:r>
        <w:rPr>
          <w:rStyle w:val="VerbatimChar"/>
        </w:rPr>
        <w:t xml:space="preserve">Residuals:</w:t>
      </w:r>
      <w:r>
        <w:br/>
      </w:r>
      <w:r>
        <w:rPr>
          <w:rStyle w:val="VerbatimChar"/>
        </w:rPr>
        <w:t xml:space="preserve">     Min       1Q   Median       3Q      Max </w:t>
      </w:r>
      <w:r>
        <w:br/>
      </w:r>
      <w:r>
        <w:rPr>
          <w:rStyle w:val="VerbatimChar"/>
        </w:rPr>
        <w:t xml:space="preserve">-1.46647 -0.14474 -0.00642  0.13032  1.00933 </w:t>
      </w:r>
      <w:r>
        <w:br/>
      </w:r>
      <w:r>
        <w:br/>
      </w:r>
      <w:r>
        <w:rPr>
          <w:rStyle w:val="VerbatimChar"/>
        </w:rPr>
        <w:t xml:space="preserve">Coefficients: (2 not defined because of singularities)</w:t>
      </w:r>
      <w:r>
        <w:br/>
      </w:r>
      <w:r>
        <w:rPr>
          <w:rStyle w:val="VerbatimChar"/>
        </w:rPr>
        <w:t xml:space="preserve">                                                   Estimate Std. Error t value</w:t>
      </w:r>
      <w:r>
        <w:br/>
      </w:r>
      <w:r>
        <w:rPr>
          <w:rStyle w:val="VerbatimChar"/>
        </w:rPr>
        <w:t xml:space="preserve">(Intercept)                                       1.110e+01  1.069e+00  10.387</w:t>
      </w:r>
      <w:r>
        <w:br/>
      </w:r>
      <w:r>
        <w:rPr>
          <w:rStyle w:val="VerbatimChar"/>
        </w:rPr>
        <w:t xml:space="preserve">elo_home_pregame                                  2.925e-04  9.465e-04   0.309</w:t>
      </w:r>
      <w:r>
        <w:br/>
      </w:r>
      <w:r>
        <w:rPr>
          <w:rStyle w:val="VerbatimChar"/>
        </w:rPr>
        <w:t xml:space="preserve">elo_away_pregame                                 -2.995e-03  8.508e-04  -3.520</w:t>
      </w:r>
      <w:r>
        <w:br/>
      </w:r>
      <w:r>
        <w:rPr>
          <w:rStyle w:val="VerbatimChar"/>
        </w:rPr>
        <w:t xml:space="preserve">I(elo_home_pregame^2)                            -5.371e-08  3.181e-07  -0.169</w:t>
      </w:r>
      <w:r>
        <w:br/>
      </w:r>
      <w:r>
        <w:rPr>
          <w:rStyle w:val="VerbatimChar"/>
        </w:rPr>
        <w:t xml:space="preserve">I(elo_away_pregame^2)                             8.646e-07  2.847e-07   3.037</w:t>
      </w:r>
      <w:r>
        <w:br/>
      </w:r>
      <w:r>
        <w:rPr>
          <w:rStyle w:val="VerbatimChar"/>
        </w:rPr>
        <w:t xml:space="preserve">factor(season_id)1998                             3.560e-02  4.107e-02   0.867</w:t>
      </w:r>
      <w:r>
        <w:br/>
      </w:r>
      <w:r>
        <w:rPr>
          <w:rStyle w:val="VerbatimChar"/>
        </w:rPr>
        <w:t xml:space="preserve">factor(season_id)1999                            -4.422e-02  3.915e-02  -1.130</w:t>
      </w:r>
      <w:r>
        <w:br/>
      </w:r>
      <w:r>
        <w:rPr>
          <w:rStyle w:val="VerbatimChar"/>
        </w:rPr>
        <w:t xml:space="preserve">factor(season_id)2000                            -1.771e-01  3.823e-02  -4.633</w:t>
      </w:r>
      <w:r>
        <w:br/>
      </w:r>
      <w:r>
        <w:rPr>
          <w:rStyle w:val="VerbatimChar"/>
        </w:rPr>
        <w:t xml:space="preserve">factor(season_id)2001                            -2.637e-01  3.917e-02  -6.734</w:t>
      </w:r>
      <w:r>
        <w:br/>
      </w:r>
      <w:r>
        <w:rPr>
          <w:rStyle w:val="VerbatimChar"/>
        </w:rPr>
        <w:t xml:space="preserve">factor(season_id)2002                            -2.369e-01  3.915e-02  -6.051</w:t>
      </w:r>
      <w:r>
        <w:br/>
      </w:r>
      <w:r>
        <w:rPr>
          <w:rStyle w:val="VerbatimChar"/>
        </w:rPr>
        <w:t xml:space="preserve">factor(season_id)2003                            -2.863e-01  3.920e-02  -7.303</w:t>
      </w:r>
      <w:r>
        <w:br/>
      </w:r>
      <w:r>
        <w:rPr>
          <w:rStyle w:val="VerbatimChar"/>
        </w:rPr>
        <w:t xml:space="preserve">factor(season_id)2004                            -2.875e-01  3.959e-02  -7.264</w:t>
      </w:r>
      <w:r>
        <w:br/>
      </w:r>
      <w:r>
        <w:rPr>
          <w:rStyle w:val="VerbatimChar"/>
        </w:rPr>
        <w:t xml:space="preserve">factor(season_id)2005                            -3.387e-01  3.922e-02  -8.636</w:t>
      </w:r>
      <w:r>
        <w:br/>
      </w:r>
      <w:r>
        <w:rPr>
          <w:rStyle w:val="VerbatimChar"/>
        </w:rPr>
        <w:t xml:space="preserve">factor(season_id)2006                            -4.064e-01  3.902e-02 -10.416</w:t>
      </w:r>
      <w:r>
        <w:br/>
      </w:r>
      <w:r>
        <w:rPr>
          <w:rStyle w:val="VerbatimChar"/>
        </w:rPr>
        <w:t xml:space="preserve">factor(season_id)2007                            -3.884e-01  3.900e-02  -9.959</w:t>
      </w:r>
      <w:r>
        <w:br/>
      </w:r>
      <w:r>
        <w:rPr>
          <w:rStyle w:val="VerbatimChar"/>
        </w:rPr>
        <w:t xml:space="preserve">factor(season_id)2008                            -3.259e-01  3.879e-02  -8.402</w:t>
      </w:r>
      <w:r>
        <w:br/>
      </w:r>
      <w:r>
        <w:rPr>
          <w:rStyle w:val="VerbatimChar"/>
        </w:rPr>
        <w:t xml:space="preserve">factor(season_id)2009                            -3.460e-01  3.866e-02  -8.951</w:t>
      </w:r>
      <w:r>
        <w:br/>
      </w:r>
      <w:r>
        <w:rPr>
          <w:rStyle w:val="VerbatimChar"/>
        </w:rPr>
        <w:t xml:space="preserve">factor(season_id)2010                            -3.655e-01  3.878e-02  -9.423</w:t>
      </w:r>
      <w:r>
        <w:br/>
      </w:r>
      <w:r>
        <w:rPr>
          <w:rStyle w:val="VerbatimChar"/>
        </w:rPr>
        <w:t xml:space="preserve">factor(season_id)2011                            -3.180e-01  3.905e-02  -8.144</w:t>
      </w:r>
      <w:r>
        <w:br/>
      </w:r>
      <w:r>
        <w:rPr>
          <w:rStyle w:val="VerbatimChar"/>
        </w:rPr>
        <w:t xml:space="preserve">factor(season_id)2012                            -3.869e-01  3.933e-02  -9.838</w:t>
      </w:r>
      <w:r>
        <w:br/>
      </w:r>
      <w:r>
        <w:rPr>
          <w:rStyle w:val="VerbatimChar"/>
        </w:rPr>
        <w:t xml:space="preserve">factor(season_id)2013                            -3.757e-01  3.912e-02  -9.602</w:t>
      </w:r>
      <w:r>
        <w:br/>
      </w:r>
      <w:r>
        <w:rPr>
          <w:rStyle w:val="VerbatimChar"/>
        </w:rPr>
        <w:t xml:space="preserve">factor(season_id)2014                            -3.778e-01  3.885e-02  -9.723</w:t>
      </w:r>
      <w:r>
        <w:br/>
      </w:r>
      <w:r>
        <w:rPr>
          <w:rStyle w:val="VerbatimChar"/>
        </w:rPr>
        <w:t xml:space="preserve">factor(season_id)2015                            -4.114e-01  3.920e-02 -10.495</w:t>
      </w:r>
      <w:r>
        <w:br/>
      </w:r>
      <w:r>
        <w:rPr>
          <w:rStyle w:val="VerbatimChar"/>
        </w:rPr>
        <w:t xml:space="preserve">factor(season_id)2016                            -3.976e-01  3.942e-02 -10.088</w:t>
      </w:r>
      <w:r>
        <w:br/>
      </w:r>
      <w:r>
        <w:rPr>
          <w:rStyle w:val="VerbatimChar"/>
        </w:rPr>
        <w:t xml:space="preserve">factor(season_id)2017                            -3.838e-01  4.013e-02  -9.564</w:t>
      </w:r>
      <w:r>
        <w:br/>
      </w:r>
      <w:r>
        <w:rPr>
          <w:rStyle w:val="VerbatimChar"/>
        </w:rPr>
        <w:t xml:space="preserve">factor(season_id)2018                            -3.726e-01  4.063e-02  -9.170</w:t>
      </w:r>
      <w:r>
        <w:br/>
      </w:r>
      <w:r>
        <w:rPr>
          <w:rStyle w:val="VerbatimChar"/>
        </w:rPr>
        <w:t xml:space="preserve">factor(season_id)2019                            -3.851e-01  4.141e-02  -9.301</w:t>
      </w:r>
      <w:r>
        <w:br/>
      </w:r>
      <w:r>
        <w:rPr>
          <w:rStyle w:val="VerbatimChar"/>
        </w:rPr>
        <w:t xml:space="preserve">factor(season_id)2022                            -5.838e-01  4.233e-02 -13.791</w:t>
      </w:r>
      <w:r>
        <w:br/>
      </w:r>
      <w:r>
        <w:rPr>
          <w:rStyle w:val="VerbatimChar"/>
        </w:rPr>
        <w:t xml:space="preserve">factor(season_id)2023                            -4.455e-01  4.184e-02 -10.648</w:t>
      </w:r>
      <w:r>
        <w:br/>
      </w:r>
      <w:r>
        <w:rPr>
          <w:rStyle w:val="VerbatimChar"/>
        </w:rPr>
        <w:t xml:space="preserve">factor(season_id)2024                            -1.868e-01  4.222e-02  -4.426</w:t>
      </w:r>
      <w:r>
        <w:br/>
      </w:r>
      <w:r>
        <w:rPr>
          <w:rStyle w:val="VerbatimChar"/>
        </w:rPr>
        <w:t xml:space="preserve">factor(season_id)2025                            -5.412e-02  4.202e-02  -1.288</w:t>
      </w:r>
      <w:r>
        <w:br/>
      </w:r>
      <w:r>
        <w:rPr>
          <w:rStyle w:val="VerbatimChar"/>
        </w:rPr>
        <w:t xml:space="preserve">factor(wday(game_date))2                         -8.963e-02  2.112e-02  -4.244</w:t>
      </w:r>
      <w:r>
        <w:br/>
      </w:r>
      <w:r>
        <w:rPr>
          <w:rStyle w:val="VerbatimChar"/>
        </w:rPr>
        <w:t xml:space="preserve">factor(wday(game_date))3                         -1.205e-01  1.100e-02 -10.959</w:t>
      </w:r>
      <w:r>
        <w:br/>
      </w:r>
      <w:r>
        <w:rPr>
          <w:rStyle w:val="VerbatimChar"/>
        </w:rPr>
        <w:t xml:space="preserve">factor(wday(game_date))4                          1.686e-03  1.262e-02   0.134</w:t>
      </w:r>
      <w:r>
        <w:br/>
      </w:r>
      <w:r>
        <w:rPr>
          <w:rStyle w:val="VerbatimChar"/>
        </w:rPr>
        <w:t xml:space="preserve">factor(wday(game_date))5                         -8.071e-02  1.233e-02  -6.545</w:t>
      </w:r>
      <w:r>
        <w:br/>
      </w:r>
      <w:r>
        <w:rPr>
          <w:rStyle w:val="VerbatimChar"/>
        </w:rPr>
        <w:t xml:space="preserve">factor(wday(game_date))6                          3.524e-03  1.060e-02   0.333</w:t>
      </w:r>
      <w:r>
        <w:br/>
      </w:r>
      <w:r>
        <w:rPr>
          <w:rStyle w:val="VerbatimChar"/>
        </w:rPr>
        <w:t xml:space="preserve">factor(wday(game_date))7                          5.300e-02  1.163e-02   4.557</w:t>
      </w:r>
      <w:r>
        <w:br/>
      </w:r>
      <w:r>
        <w:rPr>
          <w:rStyle w:val="VerbatimChar"/>
        </w:rPr>
        <w:t xml:space="preserve">factor(month(game_date))6                        -3.901e-02  1.278e-02  -3.053</w:t>
      </w:r>
      <w:r>
        <w:br/>
      </w:r>
      <w:r>
        <w:rPr>
          <w:rStyle w:val="VerbatimChar"/>
        </w:rPr>
        <w:t xml:space="preserve">factor(month(game_date))7                         6.601e-02  1.292e-02   5.110</w:t>
      </w:r>
      <w:r>
        <w:br/>
      </w:r>
      <w:r>
        <w:rPr>
          <w:rStyle w:val="VerbatimChar"/>
        </w:rPr>
        <w:t xml:space="preserve">factor(month(game_date))8                         8.160e-02  1.332e-02   6.124</w:t>
      </w:r>
      <w:r>
        <w:br/>
      </w:r>
      <w:r>
        <w:rPr>
          <w:rStyle w:val="VerbatimChar"/>
        </w:rPr>
        <w:t xml:space="preserve">factor(month(game_date))9                         6.490e-02  1.664e-02   3.899</w:t>
      </w:r>
      <w:r>
        <w:br/>
      </w:r>
      <w:r>
        <w:rPr>
          <w:rStyle w:val="VerbatimChar"/>
        </w:rPr>
        <w:t xml:space="preserve">factor(arena)Allstate Arena                      -2.433e-01  7.525e-02  -3.233</w:t>
      </w:r>
      <w:r>
        <w:br/>
      </w:r>
      <w:r>
        <w:rPr>
          <w:rStyle w:val="VerbatimChar"/>
        </w:rPr>
        <w:t xml:space="preserve">factor(arena)American Airlines Center             6.710e-01  1.845e-01   3.637</w:t>
      </w:r>
      <w:r>
        <w:br/>
      </w:r>
      <w:r>
        <w:rPr>
          <w:rStyle w:val="VerbatimChar"/>
        </w:rPr>
        <w:t xml:space="preserve">factor(arena)Amway Arena                         -1.267e-01  7.925e-02  -1.599</w:t>
      </w:r>
      <w:r>
        <w:br/>
      </w:r>
      <w:r>
        <w:rPr>
          <w:rStyle w:val="VerbatimChar"/>
        </w:rPr>
        <w:t xml:space="preserve">factor(arena)Angel of the Winds Arena            -1.223e-01  1.271e-01  -0.962</w:t>
      </w:r>
      <w:r>
        <w:br/>
      </w:r>
      <w:r>
        <w:rPr>
          <w:rStyle w:val="VerbatimChar"/>
        </w:rPr>
        <w:t xml:space="preserve">factor(arena)Arthur Ashe Stadium                  8.105e-01  2.499e-01   3.243</w:t>
      </w:r>
      <w:r>
        <w:br/>
      </w:r>
      <w:r>
        <w:rPr>
          <w:rStyle w:val="VerbatimChar"/>
        </w:rPr>
        <w:t xml:space="preserve">factor(arena)AT&amp;T Center                          5.229e-02  7.433e-02   0.704</w:t>
      </w:r>
      <w:r>
        <w:br/>
      </w:r>
      <w:r>
        <w:rPr>
          <w:rStyle w:val="VerbatimChar"/>
        </w:rPr>
        <w:t xml:space="preserve">factor(arena)Bankers Life Fieldhouse             -7.724e-03  7.446e-02  -0.104</w:t>
      </w:r>
      <w:r>
        <w:br/>
      </w:r>
      <w:r>
        <w:rPr>
          <w:rStyle w:val="VerbatimChar"/>
        </w:rPr>
        <w:t xml:space="preserve">factor(arena)Barclays Center                      1.479e-01  7.743e-02   1.910</w:t>
      </w:r>
      <w:r>
        <w:br/>
      </w:r>
      <w:r>
        <w:rPr>
          <w:rStyle w:val="VerbatimChar"/>
        </w:rPr>
        <w:t xml:space="preserve">factor(arena)BOK Center                          -3.011e-01  7.689e-02  -3.916</w:t>
      </w:r>
      <w:r>
        <w:br/>
      </w:r>
      <w:r>
        <w:rPr>
          <w:rStyle w:val="VerbatimChar"/>
        </w:rPr>
        <w:t xml:space="preserve">factor(arena)Capital One Arena                    3.389e-02  8.165e-02   0.415</w:t>
      </w:r>
      <w:r>
        <w:br/>
      </w:r>
      <w:r>
        <w:rPr>
          <w:rStyle w:val="VerbatimChar"/>
        </w:rPr>
        <w:t xml:space="preserve">factor(arena)CareFirst Arena                     -8.473e-01  9.344e-02  -9.068</w:t>
      </w:r>
      <w:r>
        <w:br/>
      </w:r>
      <w:r>
        <w:rPr>
          <w:rStyle w:val="VerbatimChar"/>
        </w:rPr>
        <w:t xml:space="preserve">factor(arena)CFG Bank Arena                       1.356e-01  1.846e-01   0.734</w:t>
      </w:r>
      <w:r>
        <w:br/>
      </w:r>
      <w:r>
        <w:rPr>
          <w:rStyle w:val="VerbatimChar"/>
        </w:rPr>
        <w:t xml:space="preserve">factor(arena)Chase Center                         5.175e-01  9.016e-02   5.741</w:t>
      </w:r>
      <w:r>
        <w:br/>
      </w:r>
      <w:r>
        <w:rPr>
          <w:rStyle w:val="VerbatimChar"/>
        </w:rPr>
        <w:t xml:space="preserve">factor(arena)Climate Pledge Arena                 2.265e-01  7.761e-02   2.918</w:t>
      </w:r>
      <w:r>
        <w:br/>
      </w:r>
      <w:r>
        <w:rPr>
          <w:rStyle w:val="VerbatimChar"/>
        </w:rPr>
        <w:t xml:space="preserve">factor(arena)College Park Center                 -4.509e-01  7.424e-02  -6.074</w:t>
      </w:r>
      <w:r>
        <w:br/>
      </w:r>
      <w:r>
        <w:rPr>
          <w:rStyle w:val="VerbatimChar"/>
        </w:rPr>
        <w:t xml:space="preserve">factor(arena)Conseco Fieldhouse                   2.006e-02  7.450e-02   0.269</w:t>
      </w:r>
      <w:r>
        <w:br/>
      </w:r>
      <w:r>
        <w:rPr>
          <w:rStyle w:val="VerbatimChar"/>
        </w:rPr>
        <w:t xml:space="preserve">factor(arena)Crypto.com Arena                     1.286e-01  7.812e-02   1.647</w:t>
      </w:r>
      <w:r>
        <w:br/>
      </w:r>
      <w:r>
        <w:rPr>
          <w:rStyle w:val="VerbatimChar"/>
        </w:rPr>
        <w:t xml:space="preserve">factor(arena)Dee Event Center                    -3.346e-01  2.504e-01  -1.336</w:t>
      </w:r>
      <w:r>
        <w:br/>
      </w:r>
      <w:r>
        <w:rPr>
          <w:rStyle w:val="VerbatimChar"/>
        </w:rPr>
        <w:t xml:space="preserve">factor(arena)EagleBank Arena                     -1.608e-02  1.845e-01  -0.087</w:t>
      </w:r>
      <w:r>
        <w:br/>
      </w:r>
      <w:r>
        <w:rPr>
          <w:rStyle w:val="VerbatimChar"/>
        </w:rPr>
        <w:t xml:space="preserve">factor(arena)EnergySolutions Arena               -2.795e-01  7.760e-02  -3.601</w:t>
      </w:r>
      <w:r>
        <w:br/>
      </w:r>
      <w:r>
        <w:rPr>
          <w:rStyle w:val="VerbatimChar"/>
        </w:rPr>
        <w:t xml:space="preserve">factor(arena)Entertainment and Sports Arena      -6.244e-01  7.703e-02  -8.106</w:t>
      </w:r>
      <w:r>
        <w:br/>
      </w:r>
      <w:r>
        <w:rPr>
          <w:rStyle w:val="VerbatimChar"/>
        </w:rPr>
        <w:t xml:space="preserve">factor(arena)Footprint Center                     2.398e-01  7.965e-02   3.011</w:t>
      </w:r>
      <w:r>
        <w:br/>
      </w:r>
      <w:r>
        <w:rPr>
          <w:rStyle w:val="VerbatimChar"/>
        </w:rPr>
        <w:t xml:space="preserve">factor(arena)Freeman Coliseum                    -3.829e-01  9.472e-02  -4.042</w:t>
      </w:r>
      <w:r>
        <w:br/>
      </w:r>
      <w:r>
        <w:rPr>
          <w:rStyle w:val="VerbatimChar"/>
        </w:rPr>
        <w:t xml:space="preserve">factor(arena)Gainbridge Fieldhouse               -1.448e-01  8.019e-02  -1.806</w:t>
      </w:r>
      <w:r>
        <w:br/>
      </w:r>
      <w:r>
        <w:rPr>
          <w:rStyle w:val="VerbatimChar"/>
        </w:rPr>
        <w:t xml:space="preserve">factor(arena)Galen Center                        -6.133e-01  1.844e-01  -3.325</w:t>
      </w:r>
      <w:r>
        <w:br/>
      </w:r>
      <w:r>
        <w:rPr>
          <w:rStyle w:val="VerbatimChar"/>
        </w:rPr>
        <w:t xml:space="preserve">factor(arena)Gateway Center Arena @ College Park -9.240e-01  7.804e-02 -11.840</w:t>
      </w:r>
      <w:r>
        <w:br/>
      </w:r>
      <w:r>
        <w:rPr>
          <w:rStyle w:val="VerbatimChar"/>
        </w:rPr>
        <w:t xml:space="preserve">factor(arena)Great Western Forum                 -3.538e-01  8.003e-02  -4.421</w:t>
      </w:r>
      <w:r>
        <w:br/>
      </w:r>
      <w:r>
        <w:rPr>
          <w:rStyle w:val="VerbatimChar"/>
        </w:rPr>
        <w:t xml:space="preserve">factor(arena)Hartford Civic Center               -4.569e-01  2.500e-01  -1.828</w:t>
      </w:r>
      <w:r>
        <w:br/>
      </w:r>
      <w:r>
        <w:rPr>
          <w:rStyle w:val="VerbatimChar"/>
        </w:rPr>
        <w:t xml:space="preserve">factor(arena)Hinkle Fieldhouse                   -1.261e+00  1.425e-01  -8.849</w:t>
      </w:r>
      <w:r>
        <w:br/>
      </w:r>
      <w:r>
        <w:rPr>
          <w:rStyle w:val="VerbatimChar"/>
        </w:rPr>
        <w:t xml:space="preserve">factor(arena)Home Depot Center Tennis Stadium    -2.549e-01  2.500e-01  -1.020</w:t>
      </w:r>
      <w:r>
        <w:br/>
      </w:r>
      <w:r>
        <w:rPr>
          <w:rStyle w:val="VerbatimChar"/>
        </w:rPr>
        <w:t xml:space="preserve">factor(arena)Indiana Farmers Coliseum            -1.094e+00  1.098e-01  -9.959</w:t>
      </w:r>
      <w:r>
        <w:br/>
      </w:r>
      <w:r>
        <w:rPr>
          <w:rStyle w:val="VerbatimChar"/>
        </w:rPr>
        <w:t xml:space="preserve">factor(arena)KeyArena                            -1.633e-02  7.353e-02  -0.222</w:t>
      </w:r>
      <w:r>
        <w:br/>
      </w:r>
      <w:r>
        <w:rPr>
          <w:rStyle w:val="VerbatimChar"/>
        </w:rPr>
        <w:t xml:space="preserve">factor(arena)Madison Square Garden                3.014e-01  7.373e-02   4.088</w:t>
      </w:r>
      <w:r>
        <w:br/>
      </w:r>
      <w:r>
        <w:rPr>
          <w:rStyle w:val="VerbatimChar"/>
        </w:rPr>
        <w:t xml:space="preserve">factor(arena)Mandalay Bay Events Center          -4.830e-01  8.319e-02  -5.806</w:t>
      </w:r>
      <w:r>
        <w:br/>
      </w:r>
      <w:r>
        <w:rPr>
          <w:rStyle w:val="VerbatimChar"/>
        </w:rPr>
        <w:t xml:space="preserve">factor(arena)McCamish Pavilion                   -5.566e-01  8.224e-02  -6.767</w:t>
      </w:r>
      <w:r>
        <w:br/>
      </w:r>
      <w:r>
        <w:rPr>
          <w:rStyle w:val="VerbatimChar"/>
        </w:rPr>
        <w:t xml:space="preserve">factor(arena)Michelob ULTRA Arena                -4.098e-02  8.046e-02  -0.509</w:t>
      </w:r>
      <w:r>
        <w:br/>
      </w:r>
      <w:r>
        <w:rPr>
          <w:rStyle w:val="VerbatimChar"/>
        </w:rPr>
        <w:t xml:space="preserve">factor(arena)Mohegan Sun Arena                   -1.468e-01  7.280e-02  -2.016</w:t>
      </w:r>
      <w:r>
        <w:br/>
      </w:r>
      <w:r>
        <w:rPr>
          <w:rStyle w:val="VerbatimChar"/>
        </w:rPr>
        <w:t xml:space="preserve">factor(arena)Palace of Auburn Hills              -2.272e-02  7.458e-02  -0.305</w:t>
      </w:r>
      <w:r>
        <w:br/>
      </w:r>
      <w:r>
        <w:rPr>
          <w:rStyle w:val="VerbatimChar"/>
        </w:rPr>
        <w:t xml:space="preserve">factor(arena)Philips Arena                       -1.566e-01  7.510e-02  -2.085</w:t>
      </w:r>
      <w:r>
        <w:br/>
      </w:r>
      <w:r>
        <w:rPr>
          <w:rStyle w:val="VerbatimChar"/>
        </w:rPr>
        <w:t xml:space="preserve">factor(arena)PHX Arena                            6.721e-02  9.016e-02   0.745</w:t>
      </w:r>
      <w:r>
        <w:br/>
      </w:r>
      <w:r>
        <w:rPr>
          <w:rStyle w:val="VerbatimChar"/>
        </w:rPr>
        <w:t xml:space="preserve">factor(arena)Prudential Center                   -8.486e-02  8.039e-02  -1.056</w:t>
      </w:r>
      <w:r>
        <w:br/>
      </w:r>
      <w:r>
        <w:rPr>
          <w:rStyle w:val="VerbatimChar"/>
        </w:rPr>
        <w:t xml:space="preserve">factor(arena)Radio City Musical Hall             -3.257e-01  1.229e-01  -2.649</w:t>
      </w:r>
      <w:r>
        <w:br/>
      </w:r>
      <w:r>
        <w:rPr>
          <w:rStyle w:val="VerbatimChar"/>
        </w:rPr>
        <w:t xml:space="preserve">factor(arena)Rogers Arena                         3.245e-01  2.498e-01   1.299</w:t>
      </w:r>
      <w:r>
        <w:br/>
      </w:r>
      <w:r>
        <w:rPr>
          <w:rStyle w:val="VerbatimChar"/>
        </w:rPr>
        <w:t xml:space="preserve">factor(arena)Spokane Arena                       -6.156e-01  2.500e-01  -2.462</w:t>
      </w:r>
      <w:r>
        <w:br/>
      </w:r>
      <w:r>
        <w:rPr>
          <w:rStyle w:val="VerbatimChar"/>
        </w:rPr>
        <w:t xml:space="preserve">factor(arena)Staples Center                       2.000e-01  7.324e-02   2.731</w:t>
      </w:r>
      <w:r>
        <w:br/>
      </w:r>
      <w:r>
        <w:rPr>
          <w:rStyle w:val="VerbatimChar"/>
        </w:rPr>
        <w:t xml:space="preserve">factor(arena)State Farm Arena                    -4.736e-01  8.832e-02  -5.363</w:t>
      </w:r>
      <w:r>
        <w:br/>
      </w:r>
      <w:r>
        <w:rPr>
          <w:rStyle w:val="VerbatimChar"/>
        </w:rPr>
        <w:t xml:space="preserve">factor(arena)T-Mobile Arena                       3.389e-01  1.187e-01   2.855</w:t>
      </w:r>
      <w:r>
        <w:br/>
      </w:r>
      <w:r>
        <w:rPr>
          <w:rStyle w:val="VerbatimChar"/>
        </w:rPr>
        <w:t xml:space="preserve">factor(arena)Talking Stick Resort Arena           2.712e-01  7.655e-02   3.543</w:t>
      </w:r>
      <w:r>
        <w:br/>
      </w:r>
      <w:r>
        <w:rPr>
          <w:rStyle w:val="VerbatimChar"/>
        </w:rPr>
        <w:t xml:space="preserve">factor(arena)Target Center                        3.978e-03  7.278e-02   0.055</w:t>
      </w:r>
      <w:r>
        <w:br/>
      </w:r>
      <w:r>
        <w:rPr>
          <w:rStyle w:val="VerbatimChar"/>
        </w:rPr>
        <w:t xml:space="preserve">factor(arena)TD Garden                            4.271e-01  1.848e-01   2.311</w:t>
      </w:r>
      <w:r>
        <w:br/>
      </w:r>
      <w:r>
        <w:rPr>
          <w:rStyle w:val="VerbatimChar"/>
        </w:rPr>
        <w:t xml:space="preserve">factor(arena)UIC Pavilion                        -6.686e-01  7.878e-02  -8.487</w:t>
      </w:r>
      <w:r>
        <w:br/>
      </w:r>
      <w:r>
        <w:rPr>
          <w:rStyle w:val="VerbatimChar"/>
        </w:rPr>
        <w:t xml:space="preserve">factor(arena)United Center                        7.065e-01  1.846e-01   3.828</w:t>
      </w:r>
      <w:r>
        <w:br/>
      </w:r>
      <w:r>
        <w:rPr>
          <w:rStyle w:val="VerbatimChar"/>
        </w:rPr>
        <w:t xml:space="preserve">factor(arena)US Airways Center                    8.956e-02  7.374e-02   1.215</w:t>
      </w:r>
      <w:r>
        <w:br/>
      </w:r>
      <w:r>
        <w:rPr>
          <w:rStyle w:val="VerbatimChar"/>
        </w:rPr>
        <w:t xml:space="preserve">factor(arena)Van Andel Arena                      6.256e-03  2.500e-01   0.025</w:t>
      </w:r>
      <w:r>
        <w:br/>
      </w:r>
      <w:r>
        <w:rPr>
          <w:rStyle w:val="VerbatimChar"/>
        </w:rPr>
        <w:t xml:space="preserve">factor(arena)Verizon Center                       3.103e-01  7.384e-02   4.203</w:t>
      </w:r>
      <w:r>
        <w:br/>
      </w:r>
      <w:r>
        <w:rPr>
          <w:rStyle w:val="VerbatimChar"/>
        </w:rPr>
        <w:t xml:space="preserve">factor(arena)Walter Pyramid at Long Beach State  -7.658e-01  1.847e-01  -4.146</w:t>
      </w:r>
      <w:r>
        <w:br/>
      </w:r>
      <w:r>
        <w:rPr>
          <w:rStyle w:val="VerbatimChar"/>
        </w:rPr>
        <w:t xml:space="preserve">factor(arena)Westchester County Center           -1.337e+00  8.224e-02 -16.260</w:t>
      </w:r>
      <w:r>
        <w:br/>
      </w:r>
      <w:r>
        <w:rPr>
          <w:rStyle w:val="VerbatimChar"/>
        </w:rPr>
        <w:t xml:space="preserve">factor(arena)Wintrust Arena                      -6.420e-02  7.502e-02  -0.856</w:t>
      </w:r>
      <w:r>
        <w:br/>
      </w:r>
      <w:r>
        <w:rPr>
          <w:rStyle w:val="VerbatimChar"/>
        </w:rPr>
        <w:t xml:space="preserve">factor(arena)Xcel Energy Center                   2.088e-01  9.463e-02   2.206</w:t>
      </w:r>
      <w:r>
        <w:br/>
      </w:r>
      <w:r>
        <w:rPr>
          <w:rStyle w:val="VerbatimChar"/>
        </w:rPr>
        <w:t xml:space="preserve">median_income                                            NA         NA      NA</w:t>
      </w:r>
      <w:r>
        <w:br/>
      </w:r>
      <w:r>
        <w:rPr>
          <w:rStyle w:val="VerbatimChar"/>
        </w:rPr>
        <w:t xml:space="preserve">median_pop                                               NA         NA      NA</w:t>
      </w:r>
      <w:r>
        <w:br/>
      </w:r>
      <w:r>
        <w:rPr>
          <w:rStyle w:val="VerbatimChar"/>
        </w:rPr>
        <w:t xml:space="preserve">is_cc                                             6.252e-01  4.040e-02  15.475</w:t>
      </w:r>
      <w:r>
        <w:br/>
      </w:r>
      <w:r>
        <w:rPr>
          <w:rStyle w:val="VerbatimChar"/>
        </w:rPr>
        <w:t xml:space="preserve">is_aw                                             6.798e-02  2.340e-02   2.905</w:t>
      </w:r>
      <w:r>
        <w:br/>
      </w:r>
      <w:r>
        <w:rPr>
          <w:rStyle w:val="VerbatimChar"/>
        </w:rPr>
        <w:t xml:space="preserve">I(elo_home_pregame^2):I(elo_away_pregame^2)       7.647e-14  4.475e-14   1.709</w:t>
      </w:r>
      <w:r>
        <w:br/>
      </w:r>
      <w:r>
        <w:rPr>
          <w:rStyle w:val="VerbatimChar"/>
        </w:rPr>
        <w:t xml:space="preserve">                                                 Pr(&gt;|t|)    </w:t>
      </w:r>
      <w:r>
        <w:br/>
      </w:r>
      <w:r>
        <w:rPr>
          <w:rStyle w:val="VerbatimChar"/>
        </w:rPr>
        <w:t xml:space="preserve">(Intercept)                                       &lt; 2e-16 ***</w:t>
      </w:r>
      <w:r>
        <w:br/>
      </w:r>
      <w:r>
        <w:rPr>
          <w:rStyle w:val="VerbatimChar"/>
        </w:rPr>
        <w:t xml:space="preserve">elo_home_pregame                                 0.757278    </w:t>
      </w:r>
      <w:r>
        <w:br/>
      </w:r>
      <w:r>
        <w:rPr>
          <w:rStyle w:val="VerbatimChar"/>
        </w:rPr>
        <w:t xml:space="preserve">elo_away_pregame                                 0.000436 ***</w:t>
      </w:r>
      <w:r>
        <w:br/>
      </w:r>
      <w:r>
        <w:rPr>
          <w:rStyle w:val="VerbatimChar"/>
        </w:rPr>
        <w:t xml:space="preserve">I(elo_home_pregame^2)                            0.865940    </w:t>
      </w:r>
      <w:r>
        <w:br/>
      </w:r>
      <w:r>
        <w:rPr>
          <w:rStyle w:val="VerbatimChar"/>
        </w:rPr>
        <w:t xml:space="preserve">I(elo_away_pregame^2)                            0.002403 ** </w:t>
      </w:r>
      <w:r>
        <w:br/>
      </w:r>
      <w:r>
        <w:rPr>
          <w:rStyle w:val="VerbatimChar"/>
        </w:rPr>
        <w:t xml:space="preserve">factor(season_id)1998                            0.386085    </w:t>
      </w:r>
      <w:r>
        <w:br/>
      </w:r>
      <w:r>
        <w:rPr>
          <w:rStyle w:val="VerbatimChar"/>
        </w:rPr>
        <w:t xml:space="preserve">factor(season_id)1999                            0.258689    </w:t>
      </w:r>
      <w:r>
        <w:br/>
      </w:r>
      <w:r>
        <w:rPr>
          <w:rStyle w:val="VerbatimChar"/>
        </w:rPr>
        <w:t xml:space="preserve">factor(season_id)2000                            3.70e-06 ***</w:t>
      </w:r>
      <w:r>
        <w:br/>
      </w:r>
      <w:r>
        <w:rPr>
          <w:rStyle w:val="VerbatimChar"/>
        </w:rPr>
        <w:t xml:space="preserve">factor(season_id)2001                            1.84e-11 ***</w:t>
      </w:r>
      <w:r>
        <w:br/>
      </w:r>
      <w:r>
        <w:rPr>
          <w:rStyle w:val="VerbatimChar"/>
        </w:rPr>
        <w:t xml:space="preserve">factor(season_id)2002                            1.55e-09 ***</w:t>
      </w:r>
      <w:r>
        <w:br/>
      </w:r>
      <w:r>
        <w:rPr>
          <w:rStyle w:val="VerbatimChar"/>
        </w:rPr>
        <w:t xml:space="preserve">factor(season_id)2003                            3.27e-13 ***</w:t>
      </w:r>
      <w:r>
        <w:br/>
      </w:r>
      <w:r>
        <w:rPr>
          <w:rStyle w:val="VerbatimChar"/>
        </w:rPr>
        <w:t xml:space="preserve">factor(season_id)2004                            4.36e-13 ***</w:t>
      </w:r>
      <w:r>
        <w:br/>
      </w:r>
      <w:r>
        <w:rPr>
          <w:rStyle w:val="VerbatimChar"/>
        </w:rPr>
        <w:t xml:space="preserve">factor(season_id)2005                             &lt; 2e-16 ***</w:t>
      </w:r>
      <w:r>
        <w:br/>
      </w:r>
      <w:r>
        <w:rPr>
          <w:rStyle w:val="VerbatimChar"/>
        </w:rPr>
        <w:t xml:space="preserve">factor(season_id)2006                             &lt; 2e-16 ***</w:t>
      </w:r>
      <w:r>
        <w:br/>
      </w:r>
      <w:r>
        <w:rPr>
          <w:rStyle w:val="VerbatimChar"/>
        </w:rPr>
        <w:t xml:space="preserve">factor(season_id)2007                             &lt; 2e-16 ***</w:t>
      </w:r>
      <w:r>
        <w:br/>
      </w:r>
      <w:r>
        <w:rPr>
          <w:rStyle w:val="VerbatimChar"/>
        </w:rPr>
        <w:t xml:space="preserve">factor(season_id)2008                             &lt; 2e-16 ***</w:t>
      </w:r>
      <w:r>
        <w:br/>
      </w:r>
      <w:r>
        <w:rPr>
          <w:rStyle w:val="VerbatimChar"/>
        </w:rPr>
        <w:t xml:space="preserve">factor(season_id)2009                             &lt; 2e-16 ***</w:t>
      </w:r>
      <w:r>
        <w:br/>
      </w:r>
      <w:r>
        <w:rPr>
          <w:rStyle w:val="VerbatimChar"/>
        </w:rPr>
        <w:t xml:space="preserve">factor(season_id)2010                             &lt; 2e-16 ***</w:t>
      </w:r>
      <w:r>
        <w:br/>
      </w:r>
      <w:r>
        <w:rPr>
          <w:rStyle w:val="VerbatimChar"/>
        </w:rPr>
        <w:t xml:space="preserve">factor(season_id)2011                            4.78e-16 ***</w:t>
      </w:r>
      <w:r>
        <w:br/>
      </w:r>
      <w:r>
        <w:rPr>
          <w:rStyle w:val="VerbatimChar"/>
        </w:rPr>
        <w:t xml:space="preserve">factor(season_id)2012                             &lt; 2e-16 ***</w:t>
      </w:r>
      <w:r>
        <w:br/>
      </w:r>
      <w:r>
        <w:rPr>
          <w:rStyle w:val="VerbatimChar"/>
        </w:rPr>
        <w:t xml:space="preserve">factor(season_id)2013                             &lt; 2e-16 ***</w:t>
      </w:r>
      <w:r>
        <w:br/>
      </w:r>
      <w:r>
        <w:rPr>
          <w:rStyle w:val="VerbatimChar"/>
        </w:rPr>
        <w:t xml:space="preserve">factor(season_id)2014                             &lt; 2e-16 ***</w:t>
      </w:r>
      <w:r>
        <w:br/>
      </w:r>
      <w:r>
        <w:rPr>
          <w:rStyle w:val="VerbatimChar"/>
        </w:rPr>
        <w:t xml:space="preserve">factor(season_id)2015                             &lt; 2e-16 ***</w:t>
      </w:r>
      <w:r>
        <w:br/>
      </w:r>
      <w:r>
        <w:rPr>
          <w:rStyle w:val="VerbatimChar"/>
        </w:rPr>
        <w:t xml:space="preserve">factor(season_id)2016                             &lt; 2e-16 ***</w:t>
      </w:r>
      <w:r>
        <w:br/>
      </w:r>
      <w:r>
        <w:rPr>
          <w:rStyle w:val="VerbatimChar"/>
        </w:rPr>
        <w:t xml:space="preserve">factor(season_id)2017                             &lt; 2e-16 ***</w:t>
      </w:r>
      <w:r>
        <w:br/>
      </w:r>
      <w:r>
        <w:rPr>
          <w:rStyle w:val="VerbatimChar"/>
        </w:rPr>
        <w:t xml:space="preserve">factor(season_id)2018                             &lt; 2e-16 ***</w:t>
      </w:r>
      <w:r>
        <w:br/>
      </w:r>
      <w:r>
        <w:rPr>
          <w:rStyle w:val="VerbatimChar"/>
        </w:rPr>
        <w:t xml:space="preserve">factor(season_id)2019                             &lt; 2e-16 ***</w:t>
      </w:r>
      <w:r>
        <w:br/>
      </w:r>
      <w:r>
        <w:rPr>
          <w:rStyle w:val="VerbatimChar"/>
        </w:rPr>
        <w:t xml:space="preserve">factor(season_id)2022                             &lt; 2e-16 ***</w:t>
      </w:r>
      <w:r>
        <w:br/>
      </w:r>
      <w:r>
        <w:rPr>
          <w:rStyle w:val="VerbatimChar"/>
        </w:rPr>
        <w:t xml:space="preserve">factor(season_id)2023                             &lt; 2e-16 ***</w:t>
      </w:r>
      <w:r>
        <w:br/>
      </w:r>
      <w:r>
        <w:rPr>
          <w:rStyle w:val="VerbatimChar"/>
        </w:rPr>
        <w:t xml:space="preserve">factor(season_id)2024                            9.83e-06 ***</w:t>
      </w:r>
      <w:r>
        <w:br/>
      </w:r>
      <w:r>
        <w:rPr>
          <w:rStyle w:val="VerbatimChar"/>
        </w:rPr>
        <w:t xml:space="preserve">factor(season_id)2025                            0.197818    </w:t>
      </w:r>
      <w:r>
        <w:br/>
      </w:r>
      <w:r>
        <w:rPr>
          <w:rStyle w:val="VerbatimChar"/>
        </w:rPr>
        <w:t xml:space="preserve">factor(wday(game_date))2                         2.24e-05 ***</w:t>
      </w:r>
      <w:r>
        <w:br/>
      </w:r>
      <w:r>
        <w:rPr>
          <w:rStyle w:val="VerbatimChar"/>
        </w:rPr>
        <w:t xml:space="preserve">factor(wday(game_date))3                          &lt; 2e-16 ***</w:t>
      </w:r>
      <w:r>
        <w:br/>
      </w:r>
      <w:r>
        <w:rPr>
          <w:rStyle w:val="VerbatimChar"/>
        </w:rPr>
        <w:t xml:space="preserve">factor(wday(game_date))4                         0.893736    </w:t>
      </w:r>
      <w:r>
        <w:br/>
      </w:r>
      <w:r>
        <w:rPr>
          <w:rStyle w:val="VerbatimChar"/>
        </w:rPr>
        <w:t xml:space="preserve">factor(wday(game_date))5                         6.56e-11 ***</w:t>
      </w:r>
      <w:r>
        <w:br/>
      </w:r>
      <w:r>
        <w:rPr>
          <w:rStyle w:val="VerbatimChar"/>
        </w:rPr>
        <w:t xml:space="preserve">factor(wday(game_date))6                         0.739523    </w:t>
      </w:r>
      <w:r>
        <w:br/>
      </w:r>
      <w:r>
        <w:rPr>
          <w:rStyle w:val="VerbatimChar"/>
        </w:rPr>
        <w:t xml:space="preserve">factor(wday(game_date))7                         5.31e-06 ***</w:t>
      </w:r>
      <w:r>
        <w:br/>
      </w:r>
      <w:r>
        <w:rPr>
          <w:rStyle w:val="VerbatimChar"/>
        </w:rPr>
        <w:t xml:space="preserve">factor(month(game_date))6                        0.002280 ** </w:t>
      </w:r>
      <w:r>
        <w:br/>
      </w:r>
      <w:r>
        <w:rPr>
          <w:rStyle w:val="VerbatimChar"/>
        </w:rPr>
        <w:t xml:space="preserve">factor(month(game_date))7                        3.35e-07 ***</w:t>
      </w:r>
      <w:r>
        <w:br/>
      </w:r>
      <w:r>
        <w:rPr>
          <w:rStyle w:val="VerbatimChar"/>
        </w:rPr>
        <w:t xml:space="preserve">factor(month(game_date))8                        9.82e-10 ***</w:t>
      </w:r>
      <w:r>
        <w:br/>
      </w:r>
      <w:r>
        <w:rPr>
          <w:rStyle w:val="VerbatimChar"/>
        </w:rPr>
        <w:t xml:space="preserve">factor(month(game_date))9                        9.77e-05 ***</w:t>
      </w:r>
      <w:r>
        <w:br/>
      </w:r>
      <w:r>
        <w:rPr>
          <w:rStyle w:val="VerbatimChar"/>
        </w:rPr>
        <w:t xml:space="preserve">factor(arena)Allstate Arena                      0.001232 ** </w:t>
      </w:r>
      <w:r>
        <w:br/>
      </w:r>
      <w:r>
        <w:rPr>
          <w:rStyle w:val="VerbatimChar"/>
        </w:rPr>
        <w:t xml:space="preserve">factor(arena)American Airlines Center            0.000279 ***</w:t>
      </w:r>
      <w:r>
        <w:br/>
      </w:r>
      <w:r>
        <w:rPr>
          <w:rStyle w:val="VerbatimChar"/>
        </w:rPr>
        <w:t xml:space="preserve">factor(arena)Amway Arena                         0.109868    </w:t>
      </w:r>
      <w:r>
        <w:br/>
      </w:r>
      <w:r>
        <w:rPr>
          <w:rStyle w:val="VerbatimChar"/>
        </w:rPr>
        <w:t xml:space="preserve">factor(arena)Angel of the Winds Arena            0.336006    </w:t>
      </w:r>
      <w:r>
        <w:br/>
      </w:r>
      <w:r>
        <w:rPr>
          <w:rStyle w:val="VerbatimChar"/>
        </w:rPr>
        <w:t xml:space="preserve">factor(arena)Arthur Ashe Stadium                 0.001190 ** </w:t>
      </w:r>
      <w:r>
        <w:br/>
      </w:r>
      <w:r>
        <w:rPr>
          <w:rStyle w:val="VerbatimChar"/>
        </w:rPr>
        <w:t xml:space="preserve">factor(arena)AT&amp;T Center                         0.481745    </w:t>
      </w:r>
      <w:r>
        <w:br/>
      </w:r>
      <w:r>
        <w:rPr>
          <w:rStyle w:val="VerbatimChar"/>
        </w:rPr>
        <w:t xml:space="preserve">factor(arena)Bankers Life Fieldhouse             0.917387    </w:t>
      </w:r>
      <w:r>
        <w:br/>
      </w:r>
      <w:r>
        <w:rPr>
          <w:rStyle w:val="VerbatimChar"/>
        </w:rPr>
        <w:t xml:space="preserve">factor(arena)Barclays Center                     0.056209 .  </w:t>
      </w:r>
      <w:r>
        <w:br/>
      </w:r>
      <w:r>
        <w:rPr>
          <w:rStyle w:val="VerbatimChar"/>
        </w:rPr>
        <w:t xml:space="preserve">factor(arena)BOK Center                          9.13e-05 ***</w:t>
      </w:r>
      <w:r>
        <w:br/>
      </w:r>
      <w:r>
        <w:rPr>
          <w:rStyle w:val="VerbatimChar"/>
        </w:rPr>
        <w:t xml:space="preserve">factor(arena)Capital One Arena                   0.678107    </w:t>
      </w:r>
      <w:r>
        <w:br/>
      </w:r>
      <w:r>
        <w:rPr>
          <w:rStyle w:val="VerbatimChar"/>
        </w:rPr>
        <w:t xml:space="preserve">factor(arena)CareFirst Arena                      &lt; 2e-16 ***</w:t>
      </w:r>
      <w:r>
        <w:br/>
      </w:r>
      <w:r>
        <w:rPr>
          <w:rStyle w:val="VerbatimChar"/>
        </w:rPr>
        <w:t xml:space="preserve">factor(arena)CFG Bank Arena                      0.462789    </w:t>
      </w:r>
      <w:r>
        <w:br/>
      </w:r>
      <w:r>
        <w:rPr>
          <w:rStyle w:val="VerbatimChar"/>
        </w:rPr>
        <w:t xml:space="preserve">factor(arena)Chase Center                        1.00e-08 ***</w:t>
      </w:r>
      <w:r>
        <w:br/>
      </w:r>
      <w:r>
        <w:rPr>
          <w:rStyle w:val="VerbatimChar"/>
        </w:rPr>
        <w:t xml:space="preserve">factor(arena)Climate Pledge Arena                0.003538 ** </w:t>
      </w:r>
      <w:r>
        <w:br/>
      </w:r>
      <w:r>
        <w:rPr>
          <w:rStyle w:val="VerbatimChar"/>
        </w:rPr>
        <w:t xml:space="preserve">factor(arena)College Park Center                 1.34e-09 ***</w:t>
      </w:r>
      <w:r>
        <w:br/>
      </w:r>
      <w:r>
        <w:rPr>
          <w:rStyle w:val="VerbatimChar"/>
        </w:rPr>
        <w:t xml:space="preserve">factor(arena)Conseco Fieldhouse                  0.787781    </w:t>
      </w:r>
      <w:r>
        <w:br/>
      </w:r>
      <w:r>
        <w:rPr>
          <w:rStyle w:val="VerbatimChar"/>
        </w:rPr>
        <w:t xml:space="preserve">factor(arena)Crypto.com Arena                    0.099676 .  </w:t>
      </w:r>
      <w:r>
        <w:br/>
      </w:r>
      <w:r>
        <w:rPr>
          <w:rStyle w:val="VerbatimChar"/>
        </w:rPr>
        <w:t xml:space="preserve">factor(arena)Dee Event Center                    0.181519    </w:t>
      </w:r>
      <w:r>
        <w:br/>
      </w:r>
      <w:r>
        <w:rPr>
          <w:rStyle w:val="VerbatimChar"/>
        </w:rPr>
        <w:t xml:space="preserve">factor(arena)EagleBank Arena                     0.930546    </w:t>
      </w:r>
      <w:r>
        <w:br/>
      </w:r>
      <w:r>
        <w:rPr>
          <w:rStyle w:val="VerbatimChar"/>
        </w:rPr>
        <w:t xml:space="preserve">factor(arena)EnergySolutions Arena               0.000320 ***</w:t>
      </w:r>
      <w:r>
        <w:br/>
      </w:r>
      <w:r>
        <w:rPr>
          <w:rStyle w:val="VerbatimChar"/>
        </w:rPr>
        <w:t xml:space="preserve">factor(arena)Entertainment and Sports Arena      6.56e-16 ***</w:t>
      </w:r>
      <w:r>
        <w:br/>
      </w:r>
      <w:r>
        <w:rPr>
          <w:rStyle w:val="VerbatimChar"/>
        </w:rPr>
        <w:t xml:space="preserve">factor(arena)Footprint Center                    0.002621 ** </w:t>
      </w:r>
      <w:r>
        <w:br/>
      </w:r>
      <w:r>
        <w:rPr>
          <w:rStyle w:val="VerbatimChar"/>
        </w:rPr>
        <w:t xml:space="preserve">factor(arena)Freeman Coliseum                    5.38e-05 ***</w:t>
      </w:r>
      <w:r>
        <w:br/>
      </w:r>
      <w:r>
        <w:rPr>
          <w:rStyle w:val="VerbatimChar"/>
        </w:rPr>
        <w:t xml:space="preserve">factor(arena)Gainbridge Fieldhouse               0.071019 .  </w:t>
      </w:r>
      <w:r>
        <w:br/>
      </w:r>
      <w:r>
        <w:rPr>
          <w:rStyle w:val="VerbatimChar"/>
        </w:rPr>
        <w:t xml:space="preserve">factor(arena)Galen Center                        0.000889 ***</w:t>
      </w:r>
      <w:r>
        <w:br/>
      </w:r>
      <w:r>
        <w:rPr>
          <w:rStyle w:val="VerbatimChar"/>
        </w:rPr>
        <w:t xml:space="preserve">factor(arena)Gateway Center Arena @ College Park  &lt; 2e-16 ***</w:t>
      </w:r>
      <w:r>
        <w:br/>
      </w:r>
      <w:r>
        <w:rPr>
          <w:rStyle w:val="VerbatimChar"/>
        </w:rPr>
        <w:t xml:space="preserve">factor(arena)Great Western Forum                 1.00e-05 ***</w:t>
      </w:r>
      <w:r>
        <w:br/>
      </w:r>
      <w:r>
        <w:rPr>
          <w:rStyle w:val="VerbatimChar"/>
        </w:rPr>
        <w:t xml:space="preserve">factor(arena)Hartford Civic Center               0.067665 .  </w:t>
      </w:r>
      <w:r>
        <w:br/>
      </w:r>
      <w:r>
        <w:rPr>
          <w:rStyle w:val="VerbatimChar"/>
        </w:rPr>
        <w:t xml:space="preserve">factor(arena)Hinkle Fieldhouse                    &lt; 2e-16 ***</w:t>
      </w:r>
      <w:r>
        <w:br/>
      </w:r>
      <w:r>
        <w:rPr>
          <w:rStyle w:val="VerbatimChar"/>
        </w:rPr>
        <w:t xml:space="preserve">factor(arena)Home Depot Center Tennis Stadium    0.307938    </w:t>
      </w:r>
      <w:r>
        <w:br/>
      </w:r>
      <w:r>
        <w:rPr>
          <w:rStyle w:val="VerbatimChar"/>
        </w:rPr>
        <w:t xml:space="preserve">factor(arena)Indiana Farmers Coliseum             &lt; 2e-16 ***</w:t>
      </w:r>
      <w:r>
        <w:br/>
      </w:r>
      <w:r>
        <w:rPr>
          <w:rStyle w:val="VerbatimChar"/>
        </w:rPr>
        <w:t xml:space="preserve">factor(arena)KeyArena                            0.824207    </w:t>
      </w:r>
      <w:r>
        <w:br/>
      </w:r>
      <w:r>
        <w:rPr>
          <w:rStyle w:val="VerbatimChar"/>
        </w:rPr>
        <w:t xml:space="preserve">factor(arena)Madison Square Garden               4.42e-05 ***</w:t>
      </w:r>
      <w:r>
        <w:br/>
      </w:r>
      <w:r>
        <w:rPr>
          <w:rStyle w:val="VerbatimChar"/>
        </w:rPr>
        <w:t xml:space="preserve">factor(arena)Mandalay Bay Events Center          6.81e-09 ***</w:t>
      </w:r>
      <w:r>
        <w:br/>
      </w:r>
      <w:r>
        <w:rPr>
          <w:rStyle w:val="VerbatimChar"/>
        </w:rPr>
        <w:t xml:space="preserve">factor(arena)McCamish Pavilion                   1.46e-11 ***</w:t>
      </w:r>
      <w:r>
        <w:br/>
      </w:r>
      <w:r>
        <w:rPr>
          <w:rStyle w:val="VerbatimChar"/>
        </w:rPr>
        <w:t xml:space="preserve">factor(arena)Michelob ULTRA Arena                0.610520    </w:t>
      </w:r>
      <w:r>
        <w:br/>
      </w:r>
      <w:r>
        <w:rPr>
          <w:rStyle w:val="VerbatimChar"/>
        </w:rPr>
        <w:t xml:space="preserve">factor(arena)Mohegan Sun Arena                   0.043820 *  </w:t>
      </w:r>
      <w:r>
        <w:br/>
      </w:r>
      <w:r>
        <w:rPr>
          <w:rStyle w:val="VerbatimChar"/>
        </w:rPr>
        <w:t xml:space="preserve">factor(arena)Palace of Auburn Hills              0.760697    </w:t>
      </w:r>
      <w:r>
        <w:br/>
      </w:r>
      <w:r>
        <w:rPr>
          <w:rStyle w:val="VerbatimChar"/>
        </w:rPr>
        <w:t xml:space="preserve">factor(arena)Philips Arena                       0.037089 *  </w:t>
      </w:r>
      <w:r>
        <w:br/>
      </w:r>
      <w:r>
        <w:rPr>
          <w:rStyle w:val="VerbatimChar"/>
        </w:rPr>
        <w:t xml:space="preserve">factor(arena)PHX Arena                           0.456019    </w:t>
      </w:r>
      <w:r>
        <w:br/>
      </w:r>
      <w:r>
        <w:rPr>
          <w:rStyle w:val="VerbatimChar"/>
        </w:rPr>
        <w:t xml:space="preserve">factor(arena)Prudential Center                   0.291193    </w:t>
      </w:r>
      <w:r>
        <w:br/>
      </w:r>
      <w:r>
        <w:rPr>
          <w:rStyle w:val="VerbatimChar"/>
        </w:rPr>
        <w:t xml:space="preserve">factor(arena)Radio City Musical Hall             0.008090 ** </w:t>
      </w:r>
      <w:r>
        <w:br/>
      </w:r>
      <w:r>
        <w:rPr>
          <w:rStyle w:val="VerbatimChar"/>
        </w:rPr>
        <w:t xml:space="preserve">factor(arena)Rogers Arena                        0.194066    </w:t>
      </w:r>
      <w:r>
        <w:br/>
      </w:r>
      <w:r>
        <w:rPr>
          <w:rStyle w:val="VerbatimChar"/>
        </w:rPr>
        <w:t xml:space="preserve">factor(arena)Spokane Arena                       0.013854 *  </w:t>
      </w:r>
      <w:r>
        <w:br/>
      </w:r>
      <w:r>
        <w:rPr>
          <w:rStyle w:val="VerbatimChar"/>
        </w:rPr>
        <w:t xml:space="preserve">factor(arena)Staples Center                      0.006342 ** </w:t>
      </w:r>
      <w:r>
        <w:br/>
      </w:r>
      <w:r>
        <w:rPr>
          <w:rStyle w:val="VerbatimChar"/>
        </w:rPr>
        <w:t xml:space="preserve">factor(arena)State Farm Arena                    8.57e-08 ***</w:t>
      </w:r>
      <w:r>
        <w:br/>
      </w:r>
      <w:r>
        <w:rPr>
          <w:rStyle w:val="VerbatimChar"/>
        </w:rPr>
        <w:t xml:space="preserve">factor(arena)T-Mobile Arena                      0.004327 ** </w:t>
      </w:r>
      <w:r>
        <w:br/>
      </w:r>
      <w:r>
        <w:rPr>
          <w:rStyle w:val="VerbatimChar"/>
        </w:rPr>
        <w:t xml:space="preserve">factor(arena)Talking Stick Resort Arena          0.000399 ***</w:t>
      </w:r>
      <w:r>
        <w:br/>
      </w:r>
      <w:r>
        <w:rPr>
          <w:rStyle w:val="VerbatimChar"/>
        </w:rPr>
        <w:t xml:space="preserve">factor(arena)Target Center                       0.956408    </w:t>
      </w:r>
      <w:r>
        <w:br/>
      </w:r>
      <w:r>
        <w:rPr>
          <w:rStyle w:val="VerbatimChar"/>
        </w:rPr>
        <w:t xml:space="preserve">factor(arena)TD Garden                           0.020857 *  </w:t>
      </w:r>
      <w:r>
        <w:br/>
      </w:r>
      <w:r>
        <w:rPr>
          <w:rStyle w:val="VerbatimChar"/>
        </w:rPr>
        <w:t xml:space="preserve">factor(arena)UIC Pavilion                         &lt; 2e-16 ***</w:t>
      </w:r>
      <w:r>
        <w:br/>
      </w:r>
      <w:r>
        <w:rPr>
          <w:rStyle w:val="VerbatimChar"/>
        </w:rPr>
        <w:t xml:space="preserve">factor(arena)United Center                       0.000131 ***</w:t>
      </w:r>
      <w:r>
        <w:br/>
      </w:r>
      <w:r>
        <w:rPr>
          <w:rStyle w:val="VerbatimChar"/>
        </w:rPr>
        <w:t xml:space="preserve">factor(arena)US Airways Center                   0.224613    </w:t>
      </w:r>
      <w:r>
        <w:br/>
      </w:r>
      <w:r>
        <w:rPr>
          <w:rStyle w:val="VerbatimChar"/>
        </w:rPr>
        <w:t xml:space="preserve">factor(arena)Van Andel Arena                     0.980035    </w:t>
      </w:r>
      <w:r>
        <w:br/>
      </w:r>
      <w:r>
        <w:rPr>
          <w:rStyle w:val="VerbatimChar"/>
        </w:rPr>
        <w:t xml:space="preserve">factor(arena)Verizon Center                      2.68e-05 ***</w:t>
      </w:r>
      <w:r>
        <w:br/>
      </w:r>
      <w:r>
        <w:rPr>
          <w:rStyle w:val="VerbatimChar"/>
        </w:rPr>
        <w:t xml:space="preserve">factor(arena)Walter Pyramid at Long Beach State  3.44e-05 ***</w:t>
      </w:r>
      <w:r>
        <w:br/>
      </w:r>
      <w:r>
        <w:rPr>
          <w:rStyle w:val="VerbatimChar"/>
        </w:rPr>
        <w:t xml:space="preserve">factor(arena)Westchester County Center            &lt; 2e-16 ***</w:t>
      </w:r>
      <w:r>
        <w:br/>
      </w:r>
      <w:r>
        <w:rPr>
          <w:rStyle w:val="VerbatimChar"/>
        </w:rPr>
        <w:t xml:space="preserve">factor(arena)Wintrust Arena                      0.392168    </w:t>
      </w:r>
      <w:r>
        <w:br/>
      </w:r>
      <w:r>
        <w:rPr>
          <w:rStyle w:val="VerbatimChar"/>
        </w:rPr>
        <w:t xml:space="preserve">factor(arena)Xcel Energy Center                  0.027406 *  </w:t>
      </w:r>
      <w:r>
        <w:br/>
      </w:r>
      <w:r>
        <w:rPr>
          <w:rStyle w:val="VerbatimChar"/>
        </w:rPr>
        <w:t xml:space="preserve">median_income                                          NA    </w:t>
      </w:r>
      <w:r>
        <w:br/>
      </w:r>
      <w:r>
        <w:rPr>
          <w:rStyle w:val="VerbatimChar"/>
        </w:rPr>
        <w:t xml:space="preserve">median_pop                                             NA    </w:t>
      </w:r>
      <w:r>
        <w:br/>
      </w:r>
      <w:r>
        <w:rPr>
          <w:rStyle w:val="VerbatimChar"/>
        </w:rPr>
        <w:t xml:space="preserve">is_cc                                             &lt; 2e-16 ***</w:t>
      </w:r>
      <w:r>
        <w:br/>
      </w:r>
      <w:r>
        <w:rPr>
          <w:rStyle w:val="VerbatimChar"/>
        </w:rPr>
        <w:t xml:space="preserve">is_aw                                            0.003686 ** </w:t>
      </w:r>
      <w:r>
        <w:br/>
      </w:r>
      <w:r>
        <w:rPr>
          <w:rStyle w:val="VerbatimChar"/>
        </w:rPr>
        <w:t xml:space="preserve">I(elo_home_pregame^2):I(elo_away_pregame^2)      0.087551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0.2384 on 4960 degrees of freedom</w:t>
      </w:r>
      <w:r>
        <w:br/>
      </w:r>
      <w:r>
        <w:rPr>
          <w:rStyle w:val="VerbatimChar"/>
        </w:rPr>
        <w:t xml:space="preserve">  (135 observations deleted due to missingness)</w:t>
      </w:r>
      <w:r>
        <w:br/>
      </w:r>
      <w:r>
        <w:rPr>
          <w:rStyle w:val="VerbatimChar"/>
        </w:rPr>
        <w:t xml:space="preserve">Multiple R-squared:  0.684, Adjusted R-squared:  0.6776 </w:t>
      </w:r>
      <w:r>
        <w:br/>
      </w:r>
      <w:r>
        <w:rPr>
          <w:rStyle w:val="VerbatimChar"/>
        </w:rPr>
        <w:t xml:space="preserve">F-statistic: 105.3 on 102 and 4960 DF,  p-value: &lt; 2.2e-16</w:t>
      </w:r>
    </w:p>
    <w:p>
      <w:pPr>
        <w:pStyle w:val="SourceCode"/>
      </w:pPr>
      <w:r>
        <w:rPr>
          <w:rStyle w:val="VerbatimChar"/>
        </w:rPr>
        <w:t xml:space="preserve">Analysis of Variance Table</w:t>
      </w:r>
      <w:r>
        <w:br/>
      </w:r>
      <w:r>
        <w:br/>
      </w:r>
      <w:r>
        <w:rPr>
          <w:rStyle w:val="VerbatimChar"/>
        </w:rPr>
        <w:t xml:space="preserve">Response: log(attendance)</w:t>
      </w:r>
      <w:r>
        <w:br/>
      </w:r>
      <w:r>
        <w:rPr>
          <w:rStyle w:val="VerbatimChar"/>
        </w:rPr>
        <w:t xml:space="preserve">                                              Df Sum Sq Mean Sq  F value</w:t>
      </w:r>
      <w:r>
        <w:br/>
      </w:r>
      <w:r>
        <w:rPr>
          <w:rStyle w:val="VerbatimChar"/>
        </w:rPr>
        <w:t xml:space="preserve">elo_home_pregame                               1  44.80  44.795 788.2517</w:t>
      </w:r>
      <w:r>
        <w:br/>
      </w:r>
      <w:r>
        <w:rPr>
          <w:rStyle w:val="VerbatimChar"/>
        </w:rPr>
        <w:t xml:space="preserve">elo_away_pregame                               1   0.19   0.185   3.2569</w:t>
      </w:r>
      <w:r>
        <w:br/>
      </w:r>
      <w:r>
        <w:rPr>
          <w:rStyle w:val="VerbatimChar"/>
        </w:rPr>
        <w:t xml:space="preserve">I(elo_home_pregame^2)                          1   0.00   0.000   0.0058</w:t>
      </w:r>
      <w:r>
        <w:br/>
      </w:r>
      <w:r>
        <w:rPr>
          <w:rStyle w:val="VerbatimChar"/>
        </w:rPr>
        <w:t xml:space="preserve">I(elo_away_pregame^2)                          1   0.24   0.236   4.1484</w:t>
      </w:r>
      <w:r>
        <w:br/>
      </w:r>
      <w:r>
        <w:rPr>
          <w:rStyle w:val="VerbatimChar"/>
        </w:rPr>
        <w:t xml:space="preserve">factor(season_id)                             26 158.66   6.102 107.3837</w:t>
      </w:r>
      <w:r>
        <w:br/>
      </w:r>
      <w:r>
        <w:rPr>
          <w:rStyle w:val="VerbatimChar"/>
        </w:rPr>
        <w:t xml:space="preserve">factor(wday(game_date))                        6  15.04   2.507  44.1073</w:t>
      </w:r>
      <w:r>
        <w:br/>
      </w:r>
      <w:r>
        <w:rPr>
          <w:rStyle w:val="VerbatimChar"/>
        </w:rPr>
        <w:t xml:space="preserve">factor(month(game_date))                       4  12.35   3.088  54.3374</w:t>
      </w:r>
      <w:r>
        <w:br/>
      </w:r>
      <w:r>
        <w:rPr>
          <w:rStyle w:val="VerbatimChar"/>
        </w:rPr>
        <w:t xml:space="preserve">factor(arena)                                 59 364.85   6.184 108.8170</w:t>
      </w:r>
      <w:r>
        <w:br/>
      </w:r>
      <w:r>
        <w:rPr>
          <w:rStyle w:val="VerbatimChar"/>
        </w:rPr>
        <w:t xml:space="preserve">is_cc                                          1  13.48  13.477 237.1570</w:t>
      </w:r>
      <w:r>
        <w:br/>
      </w:r>
      <w:r>
        <w:rPr>
          <w:rStyle w:val="VerbatimChar"/>
        </w:rPr>
        <w:t xml:space="preserve">is_aw                                          1   0.49   0.493   8.6738</w:t>
      </w:r>
      <w:r>
        <w:br/>
      </w:r>
      <w:r>
        <w:rPr>
          <w:rStyle w:val="VerbatimChar"/>
        </w:rPr>
        <w:t xml:space="preserve">I(elo_home_pregame^2):I(elo_away_pregame^2)    1   0.17   0.166   2.9200</w:t>
      </w:r>
      <w:r>
        <w:br/>
      </w:r>
      <w:r>
        <w:rPr>
          <w:rStyle w:val="VerbatimChar"/>
        </w:rPr>
        <w:t xml:space="preserve">Residuals                                   4960 281.87   0.057         </w:t>
      </w:r>
      <w:r>
        <w:br/>
      </w:r>
      <w:r>
        <w:rPr>
          <w:rStyle w:val="VerbatimChar"/>
        </w:rPr>
        <w:t xml:space="preserve">                                               Pr(&gt;F)    </w:t>
      </w:r>
      <w:r>
        <w:br/>
      </w:r>
      <w:r>
        <w:rPr>
          <w:rStyle w:val="VerbatimChar"/>
        </w:rPr>
        <w:t xml:space="preserve">elo_home_pregame                            &lt; 2.2e-16 ***</w:t>
      </w:r>
      <w:r>
        <w:br/>
      </w:r>
      <w:r>
        <w:rPr>
          <w:rStyle w:val="VerbatimChar"/>
        </w:rPr>
        <w:t xml:space="preserve">elo_away_pregame                             0.071185 .  </w:t>
      </w:r>
      <w:r>
        <w:br/>
      </w:r>
      <w:r>
        <w:rPr>
          <w:rStyle w:val="VerbatimChar"/>
        </w:rPr>
        <w:t xml:space="preserve">I(elo_home_pregame^2)                        0.939142    </w:t>
      </w:r>
      <w:r>
        <w:br/>
      </w:r>
      <w:r>
        <w:rPr>
          <w:rStyle w:val="VerbatimChar"/>
        </w:rPr>
        <w:t xml:space="preserve">I(elo_away_pregame^2)                        0.041728 *  </w:t>
      </w:r>
      <w:r>
        <w:br/>
      </w:r>
      <w:r>
        <w:rPr>
          <w:rStyle w:val="VerbatimChar"/>
        </w:rPr>
        <w:t xml:space="preserve">factor(season_id)                           &lt; 2.2e-16 ***</w:t>
      </w:r>
      <w:r>
        <w:br/>
      </w:r>
      <w:r>
        <w:rPr>
          <w:rStyle w:val="VerbatimChar"/>
        </w:rPr>
        <w:t xml:space="preserve">factor(wday(game_date))                     &lt; 2.2e-16 ***</w:t>
      </w:r>
      <w:r>
        <w:br/>
      </w:r>
      <w:r>
        <w:rPr>
          <w:rStyle w:val="VerbatimChar"/>
        </w:rPr>
        <w:t xml:space="preserve">factor(month(game_date))                    &lt; 2.2e-16 ***</w:t>
      </w:r>
      <w:r>
        <w:br/>
      </w:r>
      <w:r>
        <w:rPr>
          <w:rStyle w:val="VerbatimChar"/>
        </w:rPr>
        <w:t xml:space="preserve">factor(arena)                               &lt; 2.2e-16 ***</w:t>
      </w:r>
      <w:r>
        <w:br/>
      </w:r>
      <w:r>
        <w:rPr>
          <w:rStyle w:val="VerbatimChar"/>
        </w:rPr>
        <w:t xml:space="preserve">is_cc                                       &lt; 2.2e-16 ***</w:t>
      </w:r>
      <w:r>
        <w:br/>
      </w:r>
      <w:r>
        <w:rPr>
          <w:rStyle w:val="VerbatimChar"/>
        </w:rPr>
        <w:t xml:space="preserve">is_aw                                        0.003243 ** </w:t>
      </w:r>
      <w:r>
        <w:br/>
      </w:r>
      <w:r>
        <w:rPr>
          <w:rStyle w:val="VerbatimChar"/>
        </w:rPr>
        <w:t xml:space="preserve">I(elo_home_pregame^2):I(elo_away_pregame^2)  0.087551 .  </w:t>
      </w:r>
      <w:r>
        <w:br/>
      </w:r>
      <w:r>
        <w:rPr>
          <w:rStyle w:val="VerbatimChar"/>
        </w:rPr>
        <w:t xml:space="preserve">Residuals                                                </w:t>
      </w:r>
      <w:r>
        <w:br/>
      </w:r>
      <w:r>
        <w:rPr>
          <w:rStyle w:val="VerbatimChar"/>
        </w:rPr>
        <w:t xml:space="preserve">---</w:t>
      </w:r>
      <w:r>
        <w:br/>
      </w:r>
      <w:r>
        <w:rPr>
          <w:rStyle w:val="VerbatimChar"/>
        </w:rPr>
        <w:t xml:space="preserve">Signif. codes:  0 '***' 0.001 '**' 0.01 '*' 0.05 '.' 0.1 ' ' 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9"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4</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8</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bookmarkStart w:id="97" w:name="baseline-effects"/>
    <w:p>
      <w:pPr>
        <w:pStyle w:val="Heading4"/>
      </w:pPr>
      <w:r>
        <w:t xml:space="preserve">4.1.1 Baseline effects</w:t>
      </w:r>
    </w:p>
    <w:tbl>
      <w:tblPr>
        <w:tblStyle w:val="Table"/>
        <w:tblW w:type="pct" w:w="5000"/>
        <w:tblLayout w:type="fixed"/>
        <w:tblLook w:firstRow="0" w:lastRow="0" w:firstColumn="0" w:lastColumn="0" w:noHBand="0" w:noVBand="0" w:val="0000"/>
      </w:tblPr>
      <w:tblGrid>
        <w:gridCol w:w="7920"/>
      </w:tblGrid>
      <w:tr>
        <w:tc>
          <w:tcPr/>
          <w:bookmarkStart w:id="90" w:name="tbl-coefs"/>
          <w:p>
            <w:pPr>
              <w:jc w:val="center"/>
            </w:pPr>
            <w:pPr>
              <w:jc w:val="left"/>
              <w:spacing w:before="200"/>
              <w:pStyle w:val="ImageCaption"/>
            </w:pPr>
            <w:r>
              <w:t xml:space="preserve">Table 4: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9.202</w:t>
                  </w:r>
                </w:p>
              </w:tc>
              <w:tc>
                <w:tcPr/>
                <w:p>
                  <w:pPr>
                    <w:pStyle w:val="Compact"/>
                    <w:jc w:val="right"/>
                    <w:jc w:val="center"/>
                  </w:pPr>
                  <w:r>
                    <w:t xml:space="preserve">0.081</w:t>
                  </w:r>
                </w:p>
              </w:tc>
              <w:tc>
                <w:tcPr/>
                <w:p>
                  <w:pPr>
                    <w:pStyle w:val="Compact"/>
                    <w:jc w:val="right"/>
                    <w:jc w:val="center"/>
                  </w:pPr>
                  <w:r>
                    <w:t xml:space="preserve">113.091</w:t>
                  </w:r>
                </w:p>
              </w:tc>
              <w:tc>
                <w:tcPr/>
                <w:p>
                  <w:pPr>
                    <w:pStyle w:val="Compact"/>
                    <w:jc w:val="right"/>
                    <w:jc w:val="center"/>
                  </w:pPr>
                  <w:r>
                    <w:t xml:space="preserve">0.000</w:t>
                  </w:r>
                </w:p>
              </w:tc>
              <w:tc>
                <w:tcPr/>
                <w:p>
                  <w:pPr>
                    <w:pStyle w:val="Compact"/>
                    <w:jc w:val="right"/>
                    <w:jc w:val="center"/>
                  </w:pPr>
                  <w:r>
                    <w:t xml:space="preserve">9.042</w:t>
                  </w:r>
                </w:p>
              </w:tc>
              <w:tc>
                <w:tcPr/>
                <w:p>
                  <w:pPr>
                    <w:pStyle w:val="Compact"/>
                    <w:jc w:val="right"/>
                    <w:jc w:val="center"/>
                  </w:pPr>
                  <w:r>
                    <w:t xml:space="preserve">9.361</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-0.081</w:t>
                  </w:r>
                </w:p>
              </w:tc>
              <w:tc>
                <w:tcPr/>
                <w:p>
                  <w:pPr>
                    <w:pStyle w:val="Compact"/>
                    <w:jc w:val="right"/>
                    <w:jc w:val="center"/>
                  </w:pPr>
                  <w:r>
                    <w:t xml:space="preserve">0.048</w:t>
                  </w:r>
                </w:p>
              </w:tc>
              <w:tc>
                <w:tcPr/>
                <w:p>
                  <w:pPr>
                    <w:pStyle w:val="Compact"/>
                    <w:jc w:val="right"/>
                    <w:jc w:val="center"/>
                  </w:pPr>
                  <w:r>
                    <w:t xml:space="preserve">-1.690</w:t>
                  </w:r>
                </w:p>
              </w:tc>
              <w:tc>
                <w:tcPr/>
                <w:p>
                  <w:pPr>
                    <w:pStyle w:val="Compact"/>
                    <w:jc w:val="right"/>
                    <w:jc w:val="center"/>
                  </w:pPr>
                  <w:r>
                    <w:t xml:space="preserve">0.091</w:t>
                  </w:r>
                </w:p>
              </w:tc>
              <w:tc>
                <w:tcPr/>
                <w:p>
                  <w:pPr>
                    <w:pStyle w:val="Compact"/>
                    <w:jc w:val="right"/>
                    <w:jc w:val="center"/>
                  </w:pPr>
                  <w:r>
                    <w:t xml:space="preserve">-0.175</w:t>
                  </w:r>
                </w:p>
              </w:tc>
              <w:tc>
                <w:tcPr/>
                <w:p>
                  <w:pPr>
                    <w:pStyle w:val="Compact"/>
                    <w:jc w:val="right"/>
                    <w:jc w:val="center"/>
                  </w:pPr>
                  <w:r>
                    <w:t xml:space="preserve">0.013</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0.003</w:t>
                  </w:r>
                </w:p>
              </w:tc>
              <w:tc>
                <w:tcPr/>
                <w:p>
                  <w:pPr>
                    <w:pStyle w:val="Compact"/>
                    <w:jc w:val="right"/>
                    <w:jc w:val="center"/>
                  </w:pPr>
                  <w:r>
                    <w:t xml:space="preserve">0.059</w:t>
                  </w:r>
                </w:p>
              </w:tc>
              <w:tc>
                <w:tcPr/>
                <w:p>
                  <w:pPr>
                    <w:pStyle w:val="Compact"/>
                    <w:jc w:val="right"/>
                    <w:jc w:val="center"/>
                  </w:pPr>
                  <w:r>
                    <w:t xml:space="preserve">0.058</w:t>
                  </w:r>
                </w:p>
              </w:tc>
              <w:tc>
                <w:tcPr/>
                <w:p>
                  <w:pPr>
                    <w:pStyle w:val="Compact"/>
                    <w:jc w:val="right"/>
                    <w:jc w:val="center"/>
                  </w:pPr>
                  <w:r>
                    <w:t xml:space="preserve">0.954</w:t>
                  </w:r>
                </w:p>
              </w:tc>
              <w:tc>
                <w:tcPr/>
                <w:p>
                  <w:pPr>
                    <w:pStyle w:val="Compact"/>
                    <w:jc w:val="right"/>
                    <w:jc w:val="center"/>
                  </w:pPr>
                  <w:r>
                    <w:t xml:space="preserve">-0.112</w:t>
                  </w:r>
                </w:p>
              </w:tc>
              <w:tc>
                <w:tcPr/>
                <w:p>
                  <w:pPr>
                    <w:pStyle w:val="Compact"/>
                    <w:jc w:val="right"/>
                    <w:jc w:val="center"/>
                  </w:pPr>
                  <w:r>
                    <w:t xml:space="preserve">0.119</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-0.053</w:t>
                  </w:r>
                </w:p>
              </w:tc>
              <w:tc>
                <w:tcPr/>
                <w:p>
                  <w:pPr>
                    <w:pStyle w:val="Compact"/>
                    <w:jc w:val="right"/>
                    <w:jc w:val="center"/>
                  </w:pPr>
                  <w:r>
                    <w:t xml:space="preserve">0.022</w:t>
                  </w:r>
                </w:p>
              </w:tc>
              <w:tc>
                <w:tcPr/>
                <w:p>
                  <w:pPr>
                    <w:pStyle w:val="Compact"/>
                    <w:jc w:val="right"/>
                    <w:jc w:val="center"/>
                  </w:pPr>
                  <w:r>
                    <w:t xml:space="preserve">-2.407</w:t>
                  </w:r>
                </w:p>
              </w:tc>
              <w:tc>
                <w:tcPr/>
                <w:p>
                  <w:pPr>
                    <w:pStyle w:val="Compact"/>
                    <w:jc w:val="right"/>
                    <w:jc w:val="center"/>
                  </w:pPr>
                  <w:r>
                    <w:t xml:space="preserve">0.016</w:t>
                  </w:r>
                </w:p>
              </w:tc>
              <w:tc>
                <w:tcPr/>
                <w:p>
                  <w:pPr>
                    <w:pStyle w:val="Compact"/>
                    <w:jc w:val="right"/>
                    <w:jc w:val="center"/>
                  </w:pPr>
                  <w:r>
                    <w:t xml:space="preserve">-0.097</w:t>
                  </w:r>
                </w:p>
              </w:tc>
              <w:tc>
                <w:tcPr/>
                <w:p>
                  <w:pPr>
                    <w:pStyle w:val="Compact"/>
                    <w:jc w:val="right"/>
                    <w:jc w:val="center"/>
                  </w:pPr>
                  <w:r>
                    <w:t xml:space="preserve">-0.010</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0.315</w:t>
                  </w:r>
                </w:p>
              </w:tc>
              <w:tc>
                <w:tcPr/>
                <w:p>
                  <w:pPr>
                    <w:pStyle w:val="Compact"/>
                    <w:jc w:val="right"/>
                    <w:jc w:val="center"/>
                  </w:pPr>
                  <w:r>
                    <w:t xml:space="preserve">0.027</w:t>
                  </w:r>
                </w:p>
              </w:tc>
              <w:tc>
                <w:tcPr/>
                <w:p>
                  <w:pPr>
                    <w:pStyle w:val="Compact"/>
                    <w:jc w:val="right"/>
                    <w:jc w:val="center"/>
                  </w:pPr>
                  <w:r>
                    <w:t xml:space="preserve">11.616</w:t>
                  </w:r>
                </w:p>
              </w:tc>
              <w:tc>
                <w:tcPr/>
                <w:p>
                  <w:pPr>
                    <w:pStyle w:val="Compact"/>
                    <w:jc w:val="right"/>
                    <w:jc w:val="center"/>
                  </w:pPr>
                  <w:r>
                    <w:t xml:space="preserve">0.000</w:t>
                  </w:r>
                </w:p>
              </w:tc>
              <w:tc>
                <w:tcPr/>
                <w:p>
                  <w:pPr>
                    <w:pStyle w:val="Compact"/>
                    <w:jc w:val="right"/>
                    <w:jc w:val="center"/>
                  </w:pPr>
                  <w:r>
                    <w:t xml:space="preserve">0.261</w:t>
                  </w:r>
                </w:p>
              </w:tc>
              <w:tc>
                <w:tcPr/>
                <w:p>
                  <w:pPr>
                    <w:pStyle w:val="Compact"/>
                    <w:jc w:val="right"/>
                    <w:jc w:val="center"/>
                  </w:pPr>
                  <w:r>
                    <w:t xml:space="preserve">0.368</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0.061</w:t>
                  </w:r>
                </w:p>
              </w:tc>
              <w:tc>
                <w:tcPr/>
                <w:p>
                  <w:pPr>
                    <w:pStyle w:val="Compact"/>
                    <w:jc w:val="right"/>
                    <w:jc w:val="center"/>
                  </w:pPr>
                  <w:r>
                    <w:t xml:space="preserve">0.024</w:t>
                  </w:r>
                </w:p>
              </w:tc>
              <w:tc>
                <w:tcPr/>
                <w:p>
                  <w:pPr>
                    <w:pStyle w:val="Compact"/>
                    <w:jc w:val="right"/>
                    <w:jc w:val="center"/>
                  </w:pPr>
                  <w:r>
                    <w:t xml:space="preserve">2.573</w:t>
                  </w:r>
                </w:p>
              </w:tc>
              <w:tc>
                <w:tcPr/>
                <w:p>
                  <w:pPr>
                    <w:pStyle w:val="Compact"/>
                    <w:jc w:val="right"/>
                    <w:jc w:val="center"/>
                  </w:pPr>
                  <w:r>
                    <w:t xml:space="preserve">0.010</w:t>
                  </w:r>
                </w:p>
              </w:tc>
              <w:tc>
                <w:tcPr/>
                <w:p>
                  <w:pPr>
                    <w:pStyle w:val="Compact"/>
                    <w:jc w:val="right"/>
                    <w:jc w:val="center"/>
                  </w:pPr>
                  <w:r>
                    <w:t xml:space="preserve">0.014</w:t>
                  </w:r>
                </w:p>
              </w:tc>
              <w:tc>
                <w:tcPr/>
                <w:p>
                  <w:pPr>
                    <w:pStyle w:val="Compact"/>
                    <w:jc w:val="right"/>
                    <w:jc w:val="center"/>
                  </w:pPr>
                  <w:r>
                    <w:t xml:space="preserve">0.107</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0.460</w:t>
                  </w:r>
                </w:p>
              </w:tc>
              <w:tc>
                <w:tcPr/>
                <w:p>
                  <w:pPr>
                    <w:pStyle w:val="Compact"/>
                    <w:jc w:val="right"/>
                    <w:jc w:val="center"/>
                  </w:pPr>
                  <w:r>
                    <w:t xml:space="preserve">0.042</w:t>
                  </w:r>
                </w:p>
              </w:tc>
              <w:tc>
                <w:tcPr/>
                <w:p>
                  <w:pPr>
                    <w:pStyle w:val="Compact"/>
                    <w:jc w:val="right"/>
                    <w:jc w:val="center"/>
                  </w:pPr>
                  <w:r>
                    <w:t xml:space="preserve">10.825</w:t>
                  </w:r>
                </w:p>
              </w:tc>
              <w:tc>
                <w:tcPr/>
                <w:p>
                  <w:pPr>
                    <w:pStyle w:val="Compact"/>
                    <w:jc w:val="right"/>
                    <w:jc w:val="center"/>
                  </w:pPr>
                  <w:r>
                    <w:t xml:space="preserve">0.000</w:t>
                  </w:r>
                </w:p>
              </w:tc>
              <w:tc>
                <w:tcPr/>
                <w:p>
                  <w:pPr>
                    <w:pStyle w:val="Compact"/>
                    <w:jc w:val="right"/>
                    <w:jc w:val="center"/>
                  </w:pPr>
                  <w:r>
                    <w:t xml:space="preserve">0.376</w:t>
                  </w:r>
                </w:p>
              </w:tc>
              <w:tc>
                <w:tcPr/>
                <w:p>
                  <w:pPr>
                    <w:pStyle w:val="Compact"/>
                    <w:jc w:val="right"/>
                    <w:jc w:val="center"/>
                  </w:pPr>
                  <w:r>
                    <w:t xml:space="preserve">0.543</w:t>
                  </w:r>
                </w:p>
              </w:tc>
            </w:tr>
          </w:tbl>
          <w:bookmarkEnd w:id="9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
        <w:r>
          <w:rPr>
            <w:rStyle w:val="Hyperlink"/>
          </w:rPr>
          <w:t xml:space="preserve">Table 4</w:t>
        </w:r>
      </w:hyperlink>
      <w:r>
        <w:t xml:space="preserve"> </w:t>
      </w:r>
      <w:r>
        <w:t xml:space="preserve">reports estimates from the baseline interaction. Because each measure of fan engagement is interacted with season, the reported coefficients for quality of play, outcome uncertainty, and loss aversion represent their estimated effects in the reference season (1997). The interaction terms, discussed below, capture how these relationships evolve over time. In the reference season,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p>
      <w:pPr>
        <w:pStyle w:val="BodyText"/>
      </w:pPr>
      <w:r>
        <w:t xml:space="preserve">Among the control variables, games featuring Caitlin Clark were associated with significantly higher attendance, whole A’ja Wilson’s presence was associated witha smaller but still significant increase in attendance.</w:t>
      </w:r>
      <w:r>
        <w:t xml:space="preserve"> </w:t>
      </w:r>
      <w:r>
        <w:t xml:space="preserve">Even for the smallest coefficient in</w:t>
      </w:r>
      <w:r>
        <w:t xml:space="preserve"> </w:t>
      </w:r>
      <w:hyperlink w:anchor="tbl-coefs">
        <w:r>
          <w:rPr>
            <w:rStyle w:val="Hyperlink"/>
          </w:rPr>
          <w:t xml:space="preserve">Table 4</w:t>
        </w:r>
      </w:hyperlink>
      <w:r>
        <w:t xml:space="preserve">, the expected attendance nearly doubles (i.e., is multiplied by</w:t>
      </w:r>
      <w:r>
        <w:t xml:space="preserve"> </w:t>
      </w:r>
      <m:oMath>
        <m:r>
          <m:rPr>
            <m:sty m:val="p"/>
          </m:rPr>
          <m:t>exp</m:t>
        </m:r>
        <m:r>
          <m:rPr>
            <m:sty m:val="p"/>
          </m:rPr>
          <m:t>(</m:t>
        </m:r>
        <m:r>
          <m:t>0.623</m:t>
        </m:r>
        <m:r>
          <m:rPr>
            <m:sty m:val="p"/>
          </m:rPr>
          <m:t>)</m:t>
        </m:r>
      </m:oMath>
      <w:r>
        <w:t xml:space="preserve"> </w:t>
      </w:r>
      <w:r>
        <w:t xml:space="preserve">= 1.58)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r>
        <w:t xml:space="preserve"> </w:t>
      </w:r>
      <w:r>
        <w:t xml:space="preserve">The corresponding change in attendance for A’ja Wilson—by most accounts a better player than Clark—is a multiple of 1.06.</w:t>
      </w:r>
    </w:p>
    <w:bookmarkStart w:id="95" w:name="cell-fig-attend-coefs"/>
    <w:tbl>
      <w:tblPr>
        <w:tblStyle w:val="Table"/>
        <w:tblW w:type="pct" w:w="5000"/>
        <w:tblLayout w:type="fixed"/>
        <w:tblLook w:firstRow="0" w:lastRow="0" w:firstColumn="0" w:lastColumn="0" w:noHBand="0" w:noVBand="0" w:val="0000"/>
      </w:tblPr>
      <w:tblGrid>
        <w:gridCol w:w="7920"/>
      </w:tblGrid>
      <w:tr>
        <w:tc>
          <w:tcPr/>
          <w:bookmarkStart w:id="94" w:name="fig-attend-coefs"/>
          <w:p>
            <w:pPr>
              <w:pStyle w:val="Compact"/>
              <w:jc w:val="center"/>
            </w:pPr>
            <w:r>
              <w:drawing>
                <wp:inline>
                  <wp:extent cx="4620126" cy="3696101"/>
                  <wp:effectExtent b="0" l="0" r="0" t="0"/>
                  <wp:docPr descr="" title="" id="92" name="Picture"/>
                  <a:graphic>
                    <a:graphicData uri="http://schemas.openxmlformats.org/drawingml/2006/picture">
                      <pic:pic>
                        <pic:nvPicPr>
                          <pic:cNvPr descr="index_files/figure-docx/fig-attend-coefs-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Relative magnitudes of coefficients in attendance model. Coefficients of interest are highlighted. Note the relatively large size of the coefficient associated with Caitlin Clark.</w:t>
            </w:r>
          </w:p>
          <w:bookmarkEnd w:id="9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5"/>
    <w:p>
      <w:pPr>
        <w:pStyle w:val="BodyText"/>
      </w:pPr>
      <w:hyperlink w:anchor="tbl-glance">
        <w:r>
          <w:rPr>
            <w:rStyle w:val="Hyperlink"/>
          </w:rPr>
          <w:t xml:space="preserve">Table 5</w:t>
        </w:r>
      </w:hyperlink>
      <w:r>
        <w:t xml:space="preserve"> </w:t>
      </w:r>
      <w:r>
        <w:t xml:space="preserve">characterizes the model’s fit.</w:t>
      </w:r>
      <w:r>
        <w:t xml:space="preserve"> </w:t>
      </w:r>
      <w:r>
        <w:t xml:space="preserve">Our model explains</w:t>
      </w:r>
      <w:r>
        <w:t xml:space="preserve"> </w:t>
      </w:r>
      <m:oMath>
        <m:r>
          <m:t>70.2</m:t>
        </m:r>
      </m:oMath>
      <w:r>
        <w:t xml:space="preserve"> </w:t>
      </w:r>
      <w:r>
        <w:t xml:space="preserve">of the variance in game attendance, and the small difference between</w:t>
      </w:r>
      <w:r>
        <w:t xml:space="preserve"> </w:t>
      </w:r>
      <m:oMath>
        <m:sSup>
          <m:e>
            <m:r>
              <m:t>r</m:t>
            </m:r>
          </m:e>
          <m:sup>
            <m:r>
              <m:t>2</m:t>
            </m:r>
          </m:sup>
        </m:sSup>
      </m:oMath>
      <w:r>
        <w:t xml:space="preserve"> </w:t>
      </w:r>
      <w:r>
        <w:t xml:space="preserve">and</w:t>
      </w:r>
      <w:r>
        <w:t xml:space="preserve"> </w:t>
      </w:r>
      <m:oMath>
        <m:r>
          <m:t>a</m:t>
        </m:r>
        <m:r>
          <m:t>d</m:t>
        </m:r>
        <m:r>
          <m:t>j</m:t>
        </m:r>
        <m:r>
          <m:rPr>
            <m:sty m:val="p"/>
          </m:rPr>
          <m:t>.</m:t>
        </m:r>
        <m:sSup>
          <m:e>
            <m:r>
              <m:t>r</m:t>
            </m:r>
          </m:e>
          <m:sup>
            <m:r>
              <m:t>2</m:t>
            </m:r>
          </m:sup>
        </m:sSup>
      </m:oMath>
      <w:r>
        <w:t xml:space="preserve"> </w:t>
      </w:r>
      <w:r>
        <w:t xml:space="preserve">suggests that the complexity of our model is justified.</w:t>
      </w:r>
    </w:p>
    <w:tbl>
      <w:tblPr>
        <w:tblStyle w:val="Table"/>
        <w:tblW w:type="pct" w:w="5000"/>
        <w:tblLayout w:type="fixed"/>
        <w:tblLook w:firstRow="0" w:lastRow="0" w:firstColumn="0" w:lastColumn="0" w:noHBand="0" w:noVBand="0" w:val="0000"/>
      </w:tblPr>
      <w:tblGrid>
        <w:gridCol w:w="7920"/>
      </w:tblGrid>
      <w:tr>
        <w:tc>
          <w:tcPr/>
          <w:bookmarkStart w:id="96" w:name="tbl-glance"/>
          <w:p>
            <w:pPr>
              <w:jc w:val="center"/>
            </w:pPr>
            <w:pPr>
              <w:jc w:val="left"/>
              <w:spacing w:before="200"/>
              <w:pStyle w:val="ImageCaption"/>
            </w:pPr>
            <w:r>
              <w:t xml:space="preserve">Table 5: Model fit</w:t>
            </w:r>
          </w:p>
          <w:tbl>
            <w:tblPr>
              <w:tblStyle w:val="Table"/>
              <w:tblW w:type="pct" w:w="5000"/>
              <w:tblLayout w:type="fixed"/>
              <w:tblLook w:firstRow="1" w:lastRow="0" w:firstColumn="0" w:lastColumn="0" w:noHBand="0" w:noVBand="0" w:val="0020"/>
            </w:tblPr>
            <w:tblGrid>
              <w:gridCol w:w="440"/>
              <w:gridCol w:w="733"/>
              <w:gridCol w:w="1026"/>
              <w:gridCol w:w="440"/>
              <w:gridCol w:w="733"/>
              <w:gridCol w:w="586"/>
              <w:gridCol w:w="293"/>
              <w:gridCol w:w="586"/>
              <w:gridCol w:w="586"/>
              <w:gridCol w:w="586"/>
              <w:gridCol w:w="660"/>
              <w:gridCol w:w="880"/>
              <w:gridCol w:w="36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0.702</w:t>
                  </w:r>
                </w:p>
              </w:tc>
              <w:tc>
                <w:tcPr/>
                <w:p>
                  <w:pPr>
                    <w:pStyle w:val="Compact"/>
                    <w:jc w:val="right"/>
                    <w:jc w:val="center"/>
                  </w:pPr>
                  <w:r>
                    <w:t xml:space="preserve">0.691</w:t>
                  </w:r>
                </w:p>
              </w:tc>
              <w:tc>
                <w:tcPr/>
                <w:p>
                  <w:pPr>
                    <w:pStyle w:val="Compact"/>
                    <w:jc w:val="right"/>
                    <w:jc w:val="center"/>
                  </w:pPr>
                  <w:r>
                    <w:t xml:space="preserve">0.233</w:t>
                  </w:r>
                </w:p>
              </w:tc>
              <w:tc>
                <w:tcPr/>
                <w:p>
                  <w:pPr>
                    <w:pStyle w:val="Compact"/>
                    <w:jc w:val="right"/>
                    <w:jc w:val="center"/>
                  </w:pPr>
                  <w:r>
                    <w:t xml:space="preserve">66.734</w:t>
                  </w:r>
                </w:p>
              </w:tc>
              <w:tc>
                <w:tcPr/>
                <w:p>
                  <w:pPr>
                    <w:pStyle w:val="Compact"/>
                    <w:jc w:val="right"/>
                    <w:jc w:val="center"/>
                  </w:pPr>
                  <w:r>
                    <w:t xml:space="preserve">0</w:t>
                  </w:r>
                </w:p>
              </w:tc>
              <w:tc>
                <w:tcPr/>
                <w:p>
                  <w:pPr>
                    <w:pStyle w:val="Compact"/>
                    <w:jc w:val="right"/>
                    <w:jc w:val="center"/>
                  </w:pPr>
                  <w:r>
                    <w:t xml:space="preserve">172</w:t>
                  </w:r>
                </w:p>
              </w:tc>
              <w:tc>
                <w:tcPr/>
                <w:p>
                  <w:pPr>
                    <w:pStyle w:val="Compact"/>
                    <w:jc w:val="right"/>
                    <w:jc w:val="center"/>
                  </w:pPr>
                  <w:r>
                    <w:t xml:space="preserve">274.025</w:t>
                  </w:r>
                </w:p>
              </w:tc>
              <w:tc>
                <w:tcPr/>
                <w:p>
                  <w:pPr>
                    <w:pStyle w:val="Compact"/>
                    <w:jc w:val="right"/>
                    <w:jc w:val="center"/>
                  </w:pPr>
                  <w:r>
                    <w:t xml:space="preserve">-200.05</w:t>
                  </w:r>
                </w:p>
              </w:tc>
              <w:tc>
                <w:tcPr/>
                <w:p>
                  <w:pPr>
                    <w:pStyle w:val="Compact"/>
                    <w:jc w:val="right"/>
                    <w:jc w:val="center"/>
                  </w:pPr>
                  <w:r>
                    <w:t xml:space="preserve">935.879</w:t>
                  </w:r>
                </w:p>
              </w:tc>
              <w:tc>
                <w:tcPr/>
                <w:p>
                  <w:pPr>
                    <w:pStyle w:val="Compact"/>
                    <w:jc w:val="right"/>
                    <w:jc w:val="center"/>
                  </w:pPr>
                  <w:r>
                    <w:t xml:space="preserve">265.618</w:t>
                  </w:r>
                </w:p>
              </w:tc>
              <w:tc>
                <w:tcPr/>
                <w:p>
                  <w:pPr>
                    <w:pStyle w:val="Compact"/>
                    <w:jc w:val="right"/>
                    <w:jc w:val="center"/>
                  </w:pPr>
                  <w:r>
                    <w:t xml:space="preserve">4883</w:t>
                  </w:r>
                </w:p>
              </w:tc>
              <w:tc>
                <w:tcPr/>
                <w:p>
                  <w:pPr>
                    <w:pStyle w:val="Compact"/>
                    <w:jc w:val="right"/>
                    <w:jc w:val="center"/>
                  </w:pPr>
                  <w:r>
                    <w:t xml:space="preserve">5056</w:t>
                  </w:r>
                </w:p>
              </w:tc>
            </w:tr>
          </w:tbl>
          <w:bookmarkEnd w:id="9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1" w:lastRow="0" w:firstColumn="0" w:lastColumn="0" w:noHBand="0" w:noVBand="0" w:val="0020"/>
      </w:tblPr>
      <w:tblGrid>
        <w:gridCol w:w="3001"/>
        <w:gridCol w:w="1000"/>
        <w:gridCol w:w="1000"/>
        <w:gridCol w:w="750"/>
        <w:gridCol w:w="500"/>
        <w:gridCol w:w="1000"/>
        <w:gridCol w:w="666"/>
      </w:tblGrid>
      <w:tr>
        <w:trPr>
          <w:tblHeader w:val="on"/>
        </w:trPr>
        <w:tc>
          <w:tcPr/>
          <w:p>
            <w:pPr>
              <w:pStyle w:val="Compact"/>
              <w:jc w:val="left"/>
            </w:pPr>
            <w:r>
              <w:t xml:space="preserve">Model</w:t>
            </w:r>
          </w:p>
        </w:tc>
        <w:tc>
          <w:tcPr/>
          <w:p>
            <w:pPr>
              <w:pStyle w:val="Compact"/>
              <w:jc w:val="right"/>
            </w:pPr>
            <w:r>
              <w:t xml:space="preserve">Residual df</w:t>
            </w:r>
          </w:p>
        </w:tc>
        <w:tc>
          <w:tcPr/>
          <w:p>
            <w:pPr>
              <w:pStyle w:val="Compact"/>
              <w:jc w:val="right"/>
            </w:pPr>
            <w:r>
              <w:t xml:space="preserve">Residual SS</w:t>
            </w:r>
          </w:p>
        </w:tc>
        <w:tc>
          <w:tcPr/>
          <w:p>
            <w:pPr>
              <w:pStyle w:val="Compact"/>
              <w:jc w:val="right"/>
            </w:pPr>
            <w:r>
              <w:t xml:space="preserve">Df added</w:t>
            </w:r>
          </w:p>
        </w:tc>
        <w:tc>
          <w:tcPr/>
          <w:p>
            <w:pPr>
              <w:pStyle w:val="Compact"/>
              <w:jc w:val="right"/>
            </w:pPr>
            <w:r>
              <w:t xml:space="preserve">ΔSS</w:t>
            </w:r>
          </w:p>
        </w:tc>
        <w:tc>
          <w:tcPr/>
          <w:p>
            <w:pPr>
              <w:pStyle w:val="Compact"/>
              <w:jc w:val="right"/>
            </w:pPr>
            <w:r>
              <w:t xml:space="preserve">F-statistic</w:t>
            </w:r>
          </w:p>
        </w:tc>
        <w:tc>
          <w:tcPr/>
          <w:p>
            <w:pPr>
              <w:pStyle w:val="Compact"/>
              <w:jc w:val="right"/>
            </w:pPr>
            <w:r>
              <w:t xml:space="preserve">p-value</w:t>
            </w:r>
          </w:p>
        </w:tc>
      </w:tr>
      <w:tr>
        <w:tc>
          <w:tcPr/>
          <w:p>
            <w:pPr>
              <w:pStyle w:val="Compact"/>
              <w:jc w:val="left"/>
            </w:pPr>
            <w:r>
              <w:t xml:space="preserve">Baseline (no season-varying slopes)</w:t>
            </w:r>
          </w:p>
        </w:tc>
        <w:tc>
          <w:tcPr/>
          <w:p>
            <w:pPr>
              <w:pStyle w:val="Compact"/>
              <w:jc w:val="right"/>
            </w:pPr>
            <w:r>
              <w:t xml:space="preserve">4961</w:t>
            </w:r>
          </w:p>
        </w:tc>
        <w:tc>
          <w:tcPr/>
          <w:p>
            <w:pPr>
              <w:pStyle w:val="Compact"/>
              <w:jc w:val="right"/>
            </w:pPr>
            <w:r>
              <w:t xml:space="preserve">275.43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Season-varying slopes</w:t>
            </w:r>
          </w:p>
        </w:tc>
        <w:tc>
          <w:tcPr/>
          <w:p>
            <w:pPr>
              <w:pStyle w:val="Compact"/>
              <w:jc w:val="right"/>
            </w:pPr>
            <w:r>
              <w:t xml:space="preserve">4883</w:t>
            </w:r>
          </w:p>
        </w:tc>
        <w:tc>
          <w:tcPr/>
          <w:p>
            <w:pPr>
              <w:pStyle w:val="Compact"/>
              <w:jc w:val="right"/>
            </w:pPr>
            <w:r>
              <w:t xml:space="preserve">265.62</w:t>
            </w:r>
          </w:p>
        </w:tc>
        <w:tc>
          <w:tcPr/>
          <w:p>
            <w:pPr>
              <w:pStyle w:val="Compact"/>
              <w:jc w:val="right"/>
            </w:pPr>
            <w:r>
              <w:t xml:space="preserve">78</w:t>
            </w:r>
          </w:p>
        </w:tc>
        <w:tc>
          <w:tcPr/>
          <w:p>
            <w:pPr>
              <w:pStyle w:val="Compact"/>
              <w:jc w:val="right"/>
            </w:pPr>
            <w:r>
              <w:t xml:space="preserve">9.814</w:t>
            </w:r>
          </w:p>
        </w:tc>
        <w:tc>
          <w:tcPr/>
          <w:p>
            <w:pPr>
              <w:pStyle w:val="Compact"/>
              <w:jc w:val="right"/>
            </w:pPr>
            <w:r>
              <w:t xml:space="preserve">2.313</w:t>
            </w:r>
          </w:p>
        </w:tc>
        <w:tc>
          <w:tcPr/>
          <w:p>
            <w:pPr>
              <w:pStyle w:val="Compact"/>
              <w:jc w:val="right"/>
            </w:pPr>
            <w:r>
              <w:t xml:space="preserve">0</w:t>
            </w:r>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
        <w:r>
          <w:rPr>
            <w:rStyle w:val="Hyperlink"/>
          </w:rPr>
          <w:t xml:space="preserve">Table 8</w:t>
        </w:r>
      </w:hyperlink>
      <w:r>
        <w:t xml:space="preserve"> </w:t>
      </w:r>
      <w:r>
        <w:t xml:space="preserve">compares a model fit with constant slope coefficients to our model which allows each effect to vary by season. The interactions introduce 78 additional terms corresponding to season specific slopes to our model. The nested F-test rejects the null hypothesis that season-specific interactions are equal to zero, indicating that the effects of our fan engagement measures differ significantly across seasons.</w:t>
      </w:r>
    </w:p>
    <w:bookmarkEnd w:id="97"/>
    <w:bookmarkStart w:id="108" w:name="annual-effects"/>
    <w:p>
      <w:pPr>
        <w:pStyle w:val="Heading4"/>
      </w:pPr>
      <w:r>
        <w:t xml:space="preserve">4.1.2 Annual effects</w:t>
      </w:r>
    </w:p>
    <w:p>
      <w:pPr>
        <w:pStyle w:val="FirstParagraph"/>
      </w:pPr>
      <w:hyperlink w:anchor="fig-season-coefs">
        <w:r>
          <w:rPr>
            <w:rStyle w:val="Hyperlink"/>
          </w:rPr>
          <w:t xml:space="preserve">Figure 12</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102" w:name="cell-fig-season-coefs"/>
    <w:tbl>
      <w:tblPr>
        <w:tblStyle w:val="Table"/>
        <w:tblW w:type="pct" w:w="5000"/>
        <w:tblLayout w:type="fixed"/>
        <w:tblLook w:firstRow="0" w:lastRow="0" w:firstColumn="0" w:lastColumn="0" w:noHBand="0" w:noVBand="0" w:val="0000"/>
      </w:tblPr>
      <w:tblGrid>
        <w:gridCol w:w="7920"/>
      </w:tblGrid>
      <w:tr>
        <w:tc>
          <w:tcPr/>
          <w:bookmarkStart w:id="101" w:name="fig-season-coefs"/>
          <w:p>
            <w:pPr>
              <w:pStyle w:val="Compact"/>
              <w:jc w:val="center"/>
            </w:pPr>
            <w:r>
              <w:drawing>
                <wp:inline>
                  <wp:extent cx="4620126" cy="3696101"/>
                  <wp:effectExtent b="0" l="0" r="0" t="0"/>
                  <wp:docPr descr="" title="" id="99" name="Picture"/>
                  <a:graphic>
                    <a:graphicData uri="http://schemas.openxmlformats.org/drawingml/2006/picture">
                      <pic:pic>
                        <pic:nvPicPr>
                          <pic:cNvPr descr="index_files/figure-docx/fig-season-coefs-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fixed effects for natural logarithm of attendance models.</w:t>
            </w:r>
          </w:p>
          <w:bookmarkEnd w:id="10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2"/>
    <w:p>
      <w:pPr>
        <w:pStyle w:val="BodyText"/>
      </w:pPr>
      <w:hyperlink w:anchor="fig-season-slopes">
        <w:r>
          <w:rPr>
            <w:rStyle w:val="Hyperlink"/>
          </w:rPr>
          <w:t xml:space="preserve">Figure 13</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4</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107" w:name="cell-fig-season-slopes"/>
    <w:tbl>
      <w:tblPr>
        <w:tblStyle w:val="Table"/>
        <w:tblW w:type="pct" w:w="5000"/>
        <w:tblLayout w:type="fixed"/>
        <w:tblLook w:firstRow="0" w:lastRow="0" w:firstColumn="0" w:lastColumn="0" w:noHBand="0" w:noVBand="0" w:val="0000"/>
      </w:tblPr>
      <w:tblGrid>
        <w:gridCol w:w="7920"/>
      </w:tblGrid>
      <w:tr>
        <w:tc>
          <w:tcPr/>
          <w:bookmarkStart w:id="106" w:name="fig-season-slopes"/>
          <w:p>
            <w:pPr>
              <w:pStyle w:val="Compact"/>
              <w:jc w:val="center"/>
            </w:pPr>
            <w:r>
              <w:drawing>
                <wp:inline>
                  <wp:extent cx="4620126" cy="3696101"/>
                  <wp:effectExtent b="0" l="0" r="0" t="0"/>
                  <wp:docPr descr="" title="" id="104" name="Picture"/>
                  <a:graphic>
                    <a:graphicData uri="http://schemas.openxmlformats.org/drawingml/2006/picture">
                      <pic:pic>
                        <pic:nvPicPr>
                          <pic:cNvPr descr="index_files/figure-docx/fig-season-slopes-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Estimated season-level changes in slopes for natural logarithm of attendance models.</w:t>
            </w:r>
          </w:p>
          <w:bookmarkEnd w:id="10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7"/>
    <w:bookmarkEnd w:id="108"/>
    <w:bookmarkEnd w:id="109"/>
    <w:bookmarkStart w:id="129"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17" w:name="main-effects"/>
    <w:p>
      <w:pPr>
        <w:pStyle w:val="Heading4"/>
      </w:pPr>
      <w:r>
        <w:t xml:space="preserve">4.2.1 Main effects</w:t>
      </w:r>
    </w:p>
    <w:p>
      <w:pPr>
        <w:pStyle w:val="FirstParagraph"/>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10"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559"/>
              <w:gridCol w:w="2143"/>
              <w:gridCol w:w="838"/>
              <w:gridCol w:w="931"/>
              <w:gridCol w:w="931"/>
              <w:gridCol w:w="745"/>
              <w:gridCol w:w="838"/>
              <w:gridCol w:w="931"/>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2.197</w:t>
                  </w:r>
                </w:p>
              </w:tc>
              <w:tc>
                <w:tcPr/>
                <w:p>
                  <w:pPr>
                    <w:pStyle w:val="Compact"/>
                    <w:jc w:val="right"/>
                    <w:jc w:val="center"/>
                  </w:pPr>
                  <w:r>
                    <w:t xml:space="preserve">0.218</w:t>
                  </w:r>
                </w:p>
              </w:tc>
              <w:tc>
                <w:tcPr/>
                <w:p>
                  <w:pPr>
                    <w:pStyle w:val="Compact"/>
                    <w:jc w:val="right"/>
                    <w:jc w:val="center"/>
                  </w:pPr>
                  <w:r>
                    <w:t xml:space="preserve">10.091</w:t>
                  </w:r>
                </w:p>
              </w:tc>
              <w:tc>
                <w:tcPr/>
                <w:p>
                  <w:pPr>
                    <w:pStyle w:val="Compact"/>
                    <w:jc w:val="right"/>
                    <w:jc w:val="center"/>
                  </w:pPr>
                  <w:r>
                    <w:t xml:space="preserve">0.000</w:t>
                  </w:r>
                </w:p>
              </w:tc>
              <w:tc>
                <w:tcPr/>
                <w:p>
                  <w:pPr>
                    <w:pStyle w:val="Compact"/>
                    <w:jc w:val="right"/>
                    <w:jc w:val="center"/>
                  </w:pPr>
                  <w:r>
                    <w:t xml:space="preserve">1.770</w:t>
                  </w:r>
                </w:p>
              </w:tc>
              <w:tc>
                <w:tcPr/>
                <w:p>
                  <w:pPr>
                    <w:pStyle w:val="Compact"/>
                    <w:jc w:val="right"/>
                    <w:jc w:val="center"/>
                  </w:pPr>
                  <w:r>
                    <w:t xml:space="preserve">2.624</w:t>
                  </w:r>
                </w:p>
              </w:tc>
            </w:tr>
            <w:tr>
              <w:tc>
                <w:tcPr/>
                <w:p>
                  <w:pPr>
                    <w:pStyle w:val="Compact"/>
                    <w:jc w:val="left"/>
                    <w:jc w:val="center"/>
                  </w:pPr>
                  <w:r>
                    <w:t xml:space="preserve">f1</w:t>
                  </w:r>
                </w:p>
              </w:tc>
              <w:tc>
                <w:tcPr/>
                <w:p>
                  <w:pPr>
                    <w:pStyle w:val="Compact"/>
                    <w:jc w:val="left"/>
                    <w:jc w:val="center"/>
                  </w:pPr>
                  <w:r>
                    <w:t xml:space="preserve">I(Z Loss Aversion)</w:t>
                  </w:r>
                </w:p>
              </w:tc>
              <w:tc>
                <w:tcPr/>
                <w:p>
                  <w:pPr>
                    <w:pStyle w:val="Compact"/>
                    <w:jc w:val="right"/>
                    <w:jc w:val="center"/>
                  </w:pPr>
                  <w:r>
                    <w:t xml:space="preserve">-0.170</w:t>
                  </w:r>
                </w:p>
              </w:tc>
              <w:tc>
                <w:tcPr/>
                <w:p>
                  <w:pPr>
                    <w:pStyle w:val="Compact"/>
                    <w:jc w:val="right"/>
                    <w:jc w:val="center"/>
                  </w:pPr>
                  <w:r>
                    <w:t xml:space="preserve">0.117</w:t>
                  </w:r>
                </w:p>
              </w:tc>
              <w:tc>
                <w:tcPr/>
                <w:p>
                  <w:pPr>
                    <w:pStyle w:val="Compact"/>
                    <w:jc w:val="right"/>
                    <w:jc w:val="center"/>
                  </w:pPr>
                  <w:r>
                    <w:t xml:space="preserve">-1.444</w:t>
                  </w:r>
                </w:p>
              </w:tc>
              <w:tc>
                <w:tcPr/>
                <w:p>
                  <w:pPr>
                    <w:pStyle w:val="Compact"/>
                    <w:jc w:val="right"/>
                    <w:jc w:val="center"/>
                  </w:pPr>
                  <w:r>
                    <w:t xml:space="preserve">0.149</w:t>
                  </w:r>
                </w:p>
              </w:tc>
              <w:tc>
                <w:tcPr/>
                <w:p>
                  <w:pPr>
                    <w:pStyle w:val="Compact"/>
                    <w:jc w:val="right"/>
                    <w:jc w:val="center"/>
                  </w:pPr>
                  <w:r>
                    <w:t xml:space="preserve">-0.400</w:t>
                  </w:r>
                </w:p>
              </w:tc>
              <w:tc>
                <w:tcPr/>
                <w:p>
                  <w:pPr>
                    <w:pStyle w:val="Compact"/>
                    <w:jc w:val="right"/>
                    <w:jc w:val="center"/>
                  </w:pPr>
                  <w:r>
                    <w:t xml:space="preserve">0.061</w:t>
                  </w:r>
                </w:p>
              </w:tc>
            </w:tr>
            <w:tr>
              <w:tc>
                <w:tcPr/>
                <w:p>
                  <w:pPr>
                    <w:pStyle w:val="Compact"/>
                    <w:jc w:val="left"/>
                    <w:jc w:val="center"/>
                  </w:pPr>
                  <w:r>
                    <w:t xml:space="preserve">f1</w:t>
                  </w:r>
                </w:p>
              </w:tc>
              <w:tc>
                <w:tcPr/>
                <w:p>
                  <w:pPr>
                    <w:pStyle w:val="Compact"/>
                    <w:jc w:val="left"/>
                    <w:jc w:val="center"/>
                  </w:pPr>
                  <w:r>
                    <w:t xml:space="preserve">I(Z Quality Of Play)</w:t>
                  </w:r>
                </w:p>
              </w:tc>
              <w:tc>
                <w:tcPr/>
                <w:p>
                  <w:pPr>
                    <w:pStyle w:val="Compact"/>
                    <w:jc w:val="right"/>
                    <w:jc w:val="center"/>
                  </w:pPr>
                  <w:r>
                    <w:t xml:space="preserve">0.111</w:t>
                  </w:r>
                </w:p>
              </w:tc>
              <w:tc>
                <w:tcPr/>
                <w:p>
                  <w:pPr>
                    <w:pStyle w:val="Compact"/>
                    <w:jc w:val="right"/>
                    <w:jc w:val="center"/>
                  </w:pPr>
                  <w:r>
                    <w:t xml:space="preserve">0.159</w:t>
                  </w:r>
                </w:p>
              </w:tc>
              <w:tc>
                <w:tcPr/>
                <w:p>
                  <w:pPr>
                    <w:pStyle w:val="Compact"/>
                    <w:jc w:val="right"/>
                    <w:jc w:val="center"/>
                  </w:pPr>
                  <w:r>
                    <w:t xml:space="preserve">0.701</w:t>
                  </w:r>
                </w:p>
              </w:tc>
              <w:tc>
                <w:tcPr/>
                <w:p>
                  <w:pPr>
                    <w:pStyle w:val="Compact"/>
                    <w:jc w:val="right"/>
                    <w:jc w:val="center"/>
                  </w:pPr>
                  <w:r>
                    <w:t xml:space="preserve">0.483</w:t>
                  </w:r>
                </w:p>
              </w:tc>
              <w:tc>
                <w:tcPr/>
                <w:p>
                  <w:pPr>
                    <w:pStyle w:val="Compact"/>
                    <w:jc w:val="right"/>
                    <w:jc w:val="center"/>
                  </w:pPr>
                  <w:r>
                    <w:t xml:space="preserve">-0.200</w:t>
                  </w:r>
                </w:p>
              </w:tc>
              <w:tc>
                <w:tcPr/>
                <w:p>
                  <w:pPr>
                    <w:pStyle w:val="Compact"/>
                    <w:jc w:val="right"/>
                    <w:jc w:val="center"/>
                  </w:pPr>
                  <w:r>
                    <w:t xml:space="preserve">0.423</w:t>
                  </w:r>
                </w:p>
              </w:tc>
            </w:tr>
            <w:tr>
              <w:tc>
                <w:tcPr/>
                <w:p>
                  <w:pPr>
                    <w:pStyle w:val="Compact"/>
                    <w:jc w:val="left"/>
                    <w:jc w:val="center"/>
                  </w:pPr>
                  <w:r>
                    <w:t xml:space="preserve">f1</w:t>
                  </w:r>
                </w:p>
              </w:tc>
              <w:tc>
                <w:tcPr/>
                <w:p>
                  <w:pPr>
                    <w:pStyle w:val="Compact"/>
                    <w:jc w:val="left"/>
                    <w:jc w:val="center"/>
                  </w:pPr>
                  <w:r>
                    <w:t xml:space="preserve">I(Z Uncertain Outcome)</w:t>
                  </w:r>
                </w:p>
              </w:tc>
              <w:tc>
                <w:tcPr/>
                <w:p>
                  <w:pPr>
                    <w:pStyle w:val="Compact"/>
                    <w:jc w:val="right"/>
                    <w:jc w:val="center"/>
                  </w:pPr>
                  <w:r>
                    <w:t xml:space="preserve">-0.123</w:t>
                  </w:r>
                </w:p>
              </w:tc>
              <w:tc>
                <w:tcPr/>
                <w:p>
                  <w:pPr>
                    <w:pStyle w:val="Compact"/>
                    <w:jc w:val="right"/>
                    <w:jc w:val="center"/>
                  </w:pPr>
                  <w:r>
                    <w:t xml:space="preserve">0.057</w:t>
                  </w:r>
                </w:p>
              </w:tc>
              <w:tc>
                <w:tcPr/>
                <w:p>
                  <w:pPr>
                    <w:pStyle w:val="Compact"/>
                    <w:jc w:val="right"/>
                    <w:jc w:val="center"/>
                  </w:pPr>
                  <w:r>
                    <w:t xml:space="preserve">-2.168</w:t>
                  </w:r>
                </w:p>
              </w:tc>
              <w:tc>
                <w:tcPr/>
                <w:p>
                  <w:pPr>
                    <w:pStyle w:val="Compact"/>
                    <w:jc w:val="right"/>
                    <w:jc w:val="center"/>
                  </w:pPr>
                  <w:r>
                    <w:t xml:space="preserve">0.030</w:t>
                  </w:r>
                </w:p>
              </w:tc>
              <w:tc>
                <w:tcPr/>
                <w:p>
                  <w:pPr>
                    <w:pStyle w:val="Compact"/>
                    <w:jc w:val="right"/>
                    <w:jc w:val="center"/>
                  </w:pPr>
                  <w:r>
                    <w:t xml:space="preserve">-0.234</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Is Sellouttrue</w:t>
                  </w:r>
                </w:p>
              </w:tc>
              <w:tc>
                <w:tcPr/>
                <w:p>
                  <w:pPr>
                    <w:pStyle w:val="Compact"/>
                    <w:jc w:val="right"/>
                    <w:jc w:val="center"/>
                  </w:pPr>
                  <w:r>
                    <w:t xml:space="preserve">2.888</w:t>
                  </w:r>
                </w:p>
              </w:tc>
              <w:tc>
                <w:tcPr/>
                <w:p>
                  <w:pPr>
                    <w:pStyle w:val="Compact"/>
                    <w:jc w:val="right"/>
                    <w:jc w:val="center"/>
                  </w:pPr>
                  <w:r>
                    <w:t xml:space="preserve">0.118</w:t>
                  </w:r>
                </w:p>
              </w:tc>
              <w:tc>
                <w:tcPr/>
                <w:p>
                  <w:pPr>
                    <w:pStyle w:val="Compact"/>
                    <w:jc w:val="right"/>
                    <w:jc w:val="center"/>
                  </w:pPr>
                  <w:r>
                    <w:t xml:space="preserve">24.384</w:t>
                  </w:r>
                </w:p>
              </w:tc>
              <w:tc>
                <w:tcPr/>
                <w:p>
                  <w:pPr>
                    <w:pStyle w:val="Compact"/>
                    <w:jc w:val="right"/>
                    <w:jc w:val="center"/>
                  </w:pPr>
                  <w:r>
                    <w:t xml:space="preserve">0.000</w:t>
                  </w:r>
                </w:p>
              </w:tc>
              <w:tc>
                <w:tcPr/>
                <w:p>
                  <w:pPr>
                    <w:pStyle w:val="Compact"/>
                    <w:jc w:val="right"/>
                    <w:jc w:val="center"/>
                  </w:pPr>
                  <w:r>
                    <w:t xml:space="preserve">2.656</w:t>
                  </w:r>
                </w:p>
              </w:tc>
              <w:tc>
                <w:tcPr/>
                <w:p>
                  <w:pPr>
                    <w:pStyle w:val="Compact"/>
                    <w:jc w:val="right"/>
                    <w:jc w:val="center"/>
                  </w:pPr>
                  <w:r>
                    <w:t xml:space="preserve">3.121</w:t>
                  </w:r>
                </w:p>
              </w:tc>
            </w:tr>
            <w:tr>
              <w:tc>
                <w:tcPr/>
                <w:p>
                  <w:pPr>
                    <w:pStyle w:val="Compact"/>
                    <w:jc w:val="left"/>
                    <w:jc w:val="center"/>
                  </w:pPr>
                  <w:r>
                    <w:t xml:space="preserve">f1</w:t>
                  </w:r>
                </w:p>
              </w:tc>
              <w:tc>
                <w:tcPr/>
                <w:p>
                  <w:pPr>
                    <w:pStyle w:val="Compact"/>
                    <w:jc w:val="left"/>
                    <w:jc w:val="center"/>
                  </w:pPr>
                  <w:r>
                    <w:t xml:space="preserve">P: A’ja Wilson</w:t>
                  </w:r>
                </w:p>
              </w:tc>
              <w:tc>
                <w:tcPr/>
                <w:p>
                  <w:pPr>
                    <w:pStyle w:val="Compact"/>
                    <w:jc w:val="right"/>
                    <w:jc w:val="center"/>
                  </w:pPr>
                  <w:r>
                    <w:t xml:space="preserve">0.175</w:t>
                  </w:r>
                </w:p>
              </w:tc>
              <w:tc>
                <w:tcPr/>
                <w:p>
                  <w:pPr>
                    <w:pStyle w:val="Compact"/>
                    <w:jc w:val="right"/>
                    <w:jc w:val="center"/>
                  </w:pPr>
                  <w:r>
                    <w:t xml:space="preserve">0.054</w:t>
                  </w:r>
                </w:p>
              </w:tc>
              <w:tc>
                <w:tcPr/>
                <w:p>
                  <w:pPr>
                    <w:pStyle w:val="Compact"/>
                    <w:jc w:val="right"/>
                    <w:jc w:val="center"/>
                  </w:pPr>
                  <w:r>
                    <w:t xml:space="preserve">3.257</w:t>
                  </w:r>
                </w:p>
              </w:tc>
              <w:tc>
                <w:tcPr/>
                <w:p>
                  <w:pPr>
                    <w:pStyle w:val="Compact"/>
                    <w:jc w:val="right"/>
                    <w:jc w:val="center"/>
                  </w:pPr>
                  <w:r>
                    <w:t xml:space="preserve">0.001</w:t>
                  </w:r>
                </w:p>
              </w:tc>
              <w:tc>
                <w:tcPr/>
                <w:p>
                  <w:pPr>
                    <w:pStyle w:val="Compact"/>
                    <w:jc w:val="right"/>
                    <w:jc w:val="center"/>
                  </w:pPr>
                  <w:r>
                    <w:t xml:space="preserve">0.070</w:t>
                  </w:r>
                </w:p>
              </w:tc>
              <w:tc>
                <w:tcPr/>
                <w:p>
                  <w:pPr>
                    <w:pStyle w:val="Compact"/>
                    <w:jc w:val="right"/>
                    <w:jc w:val="center"/>
                  </w:pPr>
                  <w:r>
                    <w:t xml:space="preserve">0.280</w:t>
                  </w:r>
                </w:p>
              </w:tc>
            </w:tr>
            <w:tr>
              <w:tc>
                <w:tcPr/>
                <w:p>
                  <w:pPr>
                    <w:pStyle w:val="Compact"/>
                    <w:jc w:val="left"/>
                    <w:jc w:val="center"/>
                  </w:pPr>
                  <w:r>
                    <w:t xml:space="preserve">f1</w:t>
                  </w:r>
                </w:p>
              </w:tc>
              <w:tc>
                <w:tcPr/>
                <w:p>
                  <w:pPr>
                    <w:pStyle w:val="Compact"/>
                    <w:jc w:val="left"/>
                    <w:jc w:val="center"/>
                  </w:pPr>
                  <w:r>
                    <w:t xml:space="preserve">P: Caitlin Clark</w:t>
                  </w:r>
                </w:p>
              </w:tc>
              <w:tc>
                <w:tcPr/>
                <w:p>
                  <w:pPr>
                    <w:pStyle w:val="Compact"/>
                    <w:jc w:val="right"/>
                    <w:jc w:val="center"/>
                  </w:pPr>
                  <w:r>
                    <w:t xml:space="preserve">1.613</w:t>
                  </w:r>
                </w:p>
              </w:tc>
              <w:tc>
                <w:tcPr/>
                <w:p>
                  <w:pPr>
                    <w:pStyle w:val="Compact"/>
                    <w:jc w:val="right"/>
                    <w:jc w:val="center"/>
                  </w:pPr>
                  <w:r>
                    <w:t xml:space="preserve">0.212</w:t>
                  </w:r>
                </w:p>
              </w:tc>
              <w:tc>
                <w:tcPr/>
                <w:p>
                  <w:pPr>
                    <w:pStyle w:val="Compact"/>
                    <w:jc w:val="right"/>
                    <w:jc w:val="center"/>
                  </w:pPr>
                  <w:r>
                    <w:t xml:space="preserve">7.599</w:t>
                  </w:r>
                </w:p>
              </w:tc>
              <w:tc>
                <w:tcPr/>
                <w:p>
                  <w:pPr>
                    <w:pStyle w:val="Compact"/>
                    <w:jc w:val="right"/>
                    <w:jc w:val="center"/>
                  </w:pPr>
                  <w:r>
                    <w:t xml:space="preserve">0.000</w:t>
                  </w:r>
                </w:p>
              </w:tc>
              <w:tc>
                <w:tcPr/>
                <w:p>
                  <w:pPr>
                    <w:pStyle w:val="Compact"/>
                    <w:jc w:val="right"/>
                    <w:jc w:val="center"/>
                  </w:pPr>
                  <w:r>
                    <w:t xml:space="preserve">1.197</w:t>
                  </w:r>
                </w:p>
              </w:tc>
              <w:tc>
                <w:tcPr/>
                <w:p>
                  <w:pPr>
                    <w:pStyle w:val="Compact"/>
                    <w:jc w:val="right"/>
                    <w:jc w:val="center"/>
                  </w:pPr>
                  <w:r>
                    <w:t xml:space="preserve">2.030</w:t>
                  </w:r>
                </w:p>
              </w:tc>
            </w:tr>
          </w:tbl>
          <w:bookmarkEnd w:id="11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pct-coefs">
        <w:r>
          <w:rPr>
            <w:rStyle w:val="Hyperlink"/>
          </w:rPr>
          <w:t xml:space="preserve">Figure 14</w:t>
        </w:r>
      </w:hyperlink>
      <w:r>
        <w:t xml:space="preserve"> </w:t>
      </w:r>
      <w:r>
        <w:t xml:space="preserve">shows that…</w:t>
      </w:r>
    </w:p>
    <w:bookmarkStart w:id="115" w:name="cell-fig-pct-coefs"/>
    <w:tbl>
      <w:tblPr>
        <w:tblStyle w:val="Table"/>
        <w:tblW w:type="pct" w:w="5000"/>
        <w:tblLayout w:type="fixed"/>
        <w:tblLook w:firstRow="0" w:lastRow="0" w:firstColumn="0" w:lastColumn="0" w:noHBand="0" w:noVBand="0" w:val="0000"/>
      </w:tblPr>
      <w:tblGrid>
        <w:gridCol w:w="7920"/>
      </w:tblGrid>
      <w:tr>
        <w:tc>
          <w:tcPr/>
          <w:bookmarkStart w:id="114" w:name="fig-pct-coefs"/>
          <w:p>
            <w:pPr>
              <w:pStyle w:val="Compact"/>
              <w:jc w:val="center"/>
            </w:pPr>
            <w:r>
              <w:drawing>
                <wp:inline>
                  <wp:extent cx="4620126" cy="3696101"/>
                  <wp:effectExtent b="0" l="0" r="0" t="0"/>
                  <wp:docPr descr="" title="" id="112" name="Picture"/>
                  <a:graphic>
                    <a:graphicData uri="http://schemas.openxmlformats.org/drawingml/2006/picture">
                      <pic:pic>
                        <pic:nvPicPr>
                          <pic:cNvPr descr="index_files/figure-docx/fig-pct-coefs-1.png" id="113" name="Picture"/>
                          <pic:cNvPicPr>
                            <a:picLocks noChangeArrowheads="1" noChangeAspect="1"/>
                          </pic:cNvPicPr>
                        </pic:nvPicPr>
                        <pic:blipFill>
                          <a:blip r:embed="rId1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Relative magnitudes of coefficients in attendance model. Coefficients of interest are highlighted. Note the relatively large size of the coefficient associated with Caitlin Clark.</w:t>
            </w:r>
          </w:p>
          <w:bookmarkEnd w:id="1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5"/>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16"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860.2571</w:t>
                  </w:r>
                </w:p>
              </w:tc>
              <w:tc>
                <w:tcPr/>
                <w:p>
                  <w:pPr>
                    <w:pStyle w:val="Compact"/>
                    <w:jc w:val="right"/>
                    <w:jc w:val="center"/>
                  </w:pPr>
                  <w:r>
                    <w:t xml:space="preserve">5055</w:t>
                  </w:r>
                </w:p>
              </w:tc>
              <w:tc>
                <w:tcPr/>
                <w:p>
                  <w:pPr>
                    <w:pStyle w:val="Compact"/>
                    <w:jc w:val="right"/>
                    <w:jc w:val="center"/>
                  </w:pPr>
                  <w:r>
                    <w:t xml:space="preserve">-2705.892</w:t>
                  </w:r>
                </w:p>
              </w:tc>
              <w:tc>
                <w:tcPr/>
                <w:p>
                  <w:pPr>
                    <w:pStyle w:val="Compact"/>
                    <w:jc w:val="right"/>
                    <w:jc w:val="center"/>
                  </w:pPr>
                  <w:r>
                    <w:t xml:space="preserve">5757.784</w:t>
                  </w:r>
                </w:p>
              </w:tc>
              <w:tc>
                <w:tcPr/>
                <w:p>
                  <w:pPr>
                    <w:pStyle w:val="Compact"/>
                    <w:jc w:val="right"/>
                    <w:jc w:val="center"/>
                  </w:pPr>
                  <w:r>
                    <w:t xml:space="preserve">6887.185</w:t>
                  </w:r>
                </w:p>
              </w:tc>
              <w:tc>
                <w:tcPr/>
                <w:p>
                  <w:pPr>
                    <w:pStyle w:val="Compact"/>
                    <w:jc w:val="right"/>
                    <w:jc w:val="center"/>
                  </w:pPr>
                  <w:r>
                    <w:t xml:space="preserve">266.5421</w:t>
                  </w:r>
                </w:p>
              </w:tc>
              <w:tc>
                <w:tcPr/>
                <w:p>
                  <w:pPr>
                    <w:pStyle w:val="Compact"/>
                    <w:jc w:val="right"/>
                    <w:jc w:val="center"/>
                  </w:pPr>
                  <w:r>
                    <w:t xml:space="preserve">4883</w:t>
                  </w:r>
                </w:p>
              </w:tc>
              <w:tc>
                <w:tcPr/>
                <w:p>
                  <w:pPr>
                    <w:pStyle w:val="Compact"/>
                    <w:jc w:val="right"/>
                    <w:jc w:val="center"/>
                  </w:pPr>
                  <w:r>
                    <w:t xml:space="preserve">5056</w:t>
                  </w:r>
                </w:p>
              </w:tc>
            </w:tr>
          </w:tbl>
          <w:bookmarkEnd w:id="11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9</w:t>
        </w:r>
      </w:hyperlink>
      <w:r>
        <w:t xml:space="preserve"> </w:t>
      </w:r>
      <w:r>
        <w:t xml:space="preserve">shows the analysis of variance for the percentage of arena capacity models.</w:t>
      </w:r>
    </w:p>
    <w:bookmarkEnd w:id="117"/>
    <w:bookmarkStart w:id="128" w:name="annual-effects-1"/>
    <w:p>
      <w:pPr>
        <w:pStyle w:val="Heading4"/>
      </w:pPr>
      <w:r>
        <w:t xml:space="preserve">4.2.2 Annual effects</w:t>
      </w:r>
    </w:p>
    <w:p>
      <w:pPr>
        <w:pStyle w:val="FirstParagraph"/>
      </w:pPr>
      <w:hyperlink w:anchor="fig-season-coefs2">
        <w:r>
          <w:rPr>
            <w:rStyle w:val="Hyperlink"/>
          </w:rPr>
          <w:t xml:space="preserve">Figure 15</w:t>
        </w:r>
      </w:hyperlink>
      <w:r>
        <w:t xml:space="preserve"> </w:t>
      </w:r>
      <w:r>
        <w:t xml:space="preserve">displays the estimated effects of our fan engagement measures on attendance relative to the 1997 reference season. Similar to the overall attendance trends, these effects generally remained below their 1997 levels for much of the league’s history and only returned to comparable levels recently. In the most recent years of measurement, however, we see the league exceeding previously record-holding levels.</w:t>
      </w:r>
    </w:p>
    <w:bookmarkStart w:id="122" w:name="cell-fig-season-coefs2"/>
    <w:tbl>
      <w:tblPr>
        <w:tblStyle w:val="Table"/>
        <w:tblW w:type="pct" w:w="5000"/>
        <w:tblLayout w:type="fixed"/>
        <w:tblLook w:firstRow="0" w:lastRow="0" w:firstColumn="0" w:lastColumn="0" w:noHBand="0" w:noVBand="0" w:val="0000"/>
      </w:tblPr>
      <w:tblGrid>
        <w:gridCol w:w="7920"/>
      </w:tblGrid>
      <w:tr>
        <w:tc>
          <w:tcPr/>
          <w:bookmarkStart w:id="121" w:name="fig-season-coefs2"/>
          <w:p>
            <w:pPr>
              <w:pStyle w:val="Compact"/>
              <w:jc w:val="center"/>
            </w:pPr>
            <w:r>
              <w:drawing>
                <wp:inline>
                  <wp:extent cx="4620126" cy="3696101"/>
                  <wp:effectExtent b="0" l="0" r="0" t="0"/>
                  <wp:docPr descr="" title="" id="119" name="Picture"/>
                  <a:graphic>
                    <a:graphicData uri="http://schemas.openxmlformats.org/drawingml/2006/picture">
                      <pic:pic>
                        <pic:nvPicPr>
                          <pic:cNvPr descr="index_files/figure-docx/fig-season-coefs2-1.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season-level fixed effects for percentage of arena capacity models.</w:t>
            </w:r>
          </w:p>
          <w:bookmarkEnd w:id="12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2"/>
    <w:p>
      <w:pPr>
        <w:pStyle w:val="BodyText"/>
      </w:pPr>
      <w:hyperlink w:anchor="fig-season-slopes2">
        <w:r>
          <w:rPr>
            <w:rStyle w:val="Hyperlink"/>
          </w:rPr>
          <w:t xml:space="preserve">Figure 16</w:t>
        </w:r>
      </w:hyperlink>
      <w:r>
        <w:t xml:space="preserve"> </w:t>
      </w:r>
      <w:r>
        <w:t xml:space="preserve">shows that…??</w:t>
      </w:r>
    </w:p>
    <w:bookmarkStart w:id="127" w:name="cell-fig-season-slopes2"/>
    <w:tbl>
      <w:tblPr>
        <w:tblStyle w:val="Table"/>
        <w:tblW w:type="pct" w:w="5000"/>
        <w:tblLayout w:type="fixed"/>
        <w:tblLook w:firstRow="0" w:lastRow="0" w:firstColumn="0" w:lastColumn="0" w:noHBand="0" w:noVBand="0" w:val="0000"/>
      </w:tblPr>
      <w:tblGrid>
        <w:gridCol w:w="7920"/>
      </w:tblGrid>
      <w:tr>
        <w:tc>
          <w:tcPr/>
          <w:bookmarkStart w:id="126" w:name="fig-season-slopes2"/>
          <w:p>
            <w:pPr>
              <w:pStyle w:val="Compact"/>
              <w:jc w:val="center"/>
            </w:pPr>
            <w:r>
              <w:drawing>
                <wp:inline>
                  <wp:extent cx="4620126" cy="3696101"/>
                  <wp:effectExtent b="0" l="0" r="0" t="0"/>
                  <wp:docPr descr="" title="" id="124" name="Picture"/>
                  <a:graphic>
                    <a:graphicData uri="http://schemas.openxmlformats.org/drawingml/2006/picture">
                      <pic:pic>
                        <pic:nvPicPr>
                          <pic:cNvPr descr="index_files/figure-docx/fig-season-slopes2-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season-level changes in slopes for percentage of arena capacity models.</w:t>
            </w:r>
          </w:p>
          <w:bookmarkEnd w:id="1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7"/>
    <w:bookmarkEnd w:id="128"/>
    <w:bookmarkEnd w:id="129"/>
    <w:bookmarkEnd w:id="130"/>
    <w:bookmarkStart w:id="134" w:name="conclusion"/>
    <w:p>
      <w:pPr>
        <w:pStyle w:val="Heading2"/>
      </w:pPr>
      <w:r>
        <w:t xml:space="preserve">5 Conclusion</w:t>
      </w:r>
    </w:p>
    <w:bookmarkStart w:id="131"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131"/>
    <w:bookmarkStart w:id="132" w:name="future-work"/>
    <w:p>
      <w:pPr>
        <w:pStyle w:val="Heading3"/>
      </w:pPr>
      <w:r>
        <w:t xml:space="preserve">5.2 Future work</w:t>
      </w:r>
    </w:p>
    <w:bookmarkEnd w:id="132"/>
    <w:bookmarkStart w:id="133" w:name="discussion"/>
    <w:p>
      <w:pPr>
        <w:pStyle w:val="Heading3"/>
      </w:pPr>
      <w:r>
        <w:t xml:space="preserve">5.3 Discussion</w:t>
      </w:r>
    </w:p>
    <w:bookmarkEnd w:id="133"/>
    <w:bookmarkEnd w:id="134"/>
    <w:bookmarkStart w:id="182" w:name="references"/>
    <w:p>
      <w:pPr>
        <w:pStyle w:val="Heading2"/>
      </w:pPr>
      <w:r>
        <w:t xml:space="preserve">References</w:t>
      </w:r>
    </w:p>
    <w:bookmarkStart w:id="181" w:name="refs"/>
    <w:bookmarkStart w:id="136"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135">
        <w:r>
          <w:rPr>
            <w:rStyle w:val="Hyperlink"/>
          </w:rPr>
          <w:t xml:space="preserve">https://www.acrossthetimeline.com/wnba/attendance.html</w:t>
        </w:r>
      </w:hyperlink>
      <w:r>
        <w:t xml:space="preserve">.</w:t>
      </w:r>
      <w:r>
        <w:t xml:space="preserve"> </w:t>
      </w:r>
      <w:hyperlink r:id="rId135">
        <w:r>
          <w:rPr>
            <w:rStyle w:val="Hyperlink"/>
          </w:rPr>
          <w:t xml:space="preserve">https://www.acrossthetimeline.com/wnba/attendance.html</w:t>
        </w:r>
      </w:hyperlink>
      <w:r>
        <w:t xml:space="preserve">.</w:t>
      </w:r>
    </w:p>
    <w:bookmarkEnd w:id="136"/>
    <w:bookmarkStart w:id="138"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37">
        <w:r>
          <w:rPr>
            <w:rStyle w:val="Hyperlink"/>
          </w:rPr>
          <w:t xml:space="preserve">https://doi.org/10.1111/ecin.12061</w:t>
        </w:r>
      </w:hyperlink>
      <w:r>
        <w:t xml:space="preserve">.</w:t>
      </w:r>
    </w:p>
    <w:bookmarkEnd w:id="138"/>
    <w:bookmarkStart w:id="140"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39">
        <w:r>
          <w:rPr>
            <w:rStyle w:val="Hyperlink"/>
          </w:rPr>
          <w:t xml:space="preserve">https://doi.org/10.1177/155862350800300105</w:t>
        </w:r>
      </w:hyperlink>
      <w:r>
        <w:t xml:space="preserve">.</w:t>
      </w:r>
    </w:p>
    <w:bookmarkEnd w:id="140"/>
    <w:bookmarkStart w:id="142"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41">
        <w:r>
          <w:rPr>
            <w:rStyle w:val="Hyperlink"/>
          </w:rPr>
          <w:t xml:space="preserve">https://doi.org/10.1177/1527002508327387</w:t>
        </w:r>
      </w:hyperlink>
      <w:r>
        <w:t xml:space="preserve">.</w:t>
      </w:r>
    </w:p>
    <w:bookmarkEnd w:id="142"/>
    <w:bookmarkStart w:id="144"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43">
        <w:r>
          <w:rPr>
            <w:rStyle w:val="Hyperlink"/>
          </w:rPr>
          <w:t xml:space="preserve">https://doi.org/10.1123/jsm.2019-0404</w:t>
        </w:r>
      </w:hyperlink>
      <w:r>
        <w:t xml:space="preserve">.</w:t>
      </w:r>
    </w:p>
    <w:bookmarkEnd w:id="144"/>
    <w:bookmarkStart w:id="146"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45">
        <w:r>
          <w:rPr>
            <w:rStyle w:val="Hyperlink"/>
          </w:rPr>
          <w:t xml:space="preserve">https://doi.org/10.1123/jsm.16.4.311</w:t>
        </w:r>
      </w:hyperlink>
      <w:r>
        <w:t xml:space="preserve">.</w:t>
      </w:r>
    </w:p>
    <w:bookmarkEnd w:id="146"/>
    <w:bookmarkStart w:id="147"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47"/>
    <w:bookmarkStart w:id="149"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48">
        <w:r>
          <w:rPr>
            <w:rStyle w:val="Hyperlink"/>
          </w:rPr>
          <w:t xml:space="preserve">https://polecom.org/index.php/polecom/article/view/119</w:t>
        </w:r>
      </w:hyperlink>
      <w:r>
        <w:t xml:space="preserve">.</w:t>
      </w:r>
    </w:p>
    <w:bookmarkEnd w:id="149"/>
    <w:bookmarkStart w:id="151"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50">
        <w:r>
          <w:rPr>
            <w:rStyle w:val="Hyperlink"/>
          </w:rPr>
          <w:t xml:space="preserve">https://doi.org/10.32614/cran.package.wehoop</w:t>
        </w:r>
      </w:hyperlink>
      <w:r>
        <w:t xml:space="preserve">.</w:t>
      </w:r>
    </w:p>
    <w:bookmarkEnd w:id="151"/>
    <w:bookmarkStart w:id="153"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52">
        <w:r>
          <w:rPr>
            <w:rStyle w:val="Hyperlink"/>
          </w:rPr>
          <w:t xml:space="preserve">https://doi.org/10.1080/17430437.2017.1346620</w:t>
        </w:r>
      </w:hyperlink>
      <w:r>
        <w:t xml:space="preserve">.</w:t>
      </w:r>
    </w:p>
    <w:bookmarkEnd w:id="153"/>
    <w:bookmarkStart w:id="155"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54">
        <w:r>
          <w:rPr>
            <w:rStyle w:val="Hyperlink"/>
          </w:rPr>
          <w:t xml:space="preserve">https://doi.org/10.1002/mde.1308</w:t>
        </w:r>
      </w:hyperlink>
      <w:r>
        <w:t xml:space="preserve">.</w:t>
      </w:r>
    </w:p>
    <w:bookmarkEnd w:id="155"/>
    <w:bookmarkStart w:id="157"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56">
        <w:r>
          <w:rPr>
            <w:rStyle w:val="Hyperlink"/>
          </w:rPr>
          <w:t xml:space="preserve">https://doi.org/10.53728/2765-6500.1616</w:t>
        </w:r>
      </w:hyperlink>
      <w:r>
        <w:t xml:space="preserve">.</w:t>
      </w:r>
    </w:p>
    <w:bookmarkEnd w:id="157"/>
    <w:bookmarkStart w:id="159"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58">
        <w:r>
          <w:rPr>
            <w:rStyle w:val="Hyperlink"/>
          </w:rPr>
          <w:t xml:space="preserve">https://doi.org/10.1177/1527002509337212</w:t>
        </w:r>
      </w:hyperlink>
      <w:r>
        <w:t xml:space="preserve">.</w:t>
      </w:r>
    </w:p>
    <w:bookmarkEnd w:id="159"/>
    <w:bookmarkStart w:id="161"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60">
        <w:r>
          <w:rPr>
            <w:rStyle w:val="Hyperlink"/>
          </w:rPr>
          <w:t xml:space="preserve">https://doi.org/10.1080/14660970.2022.2037218</w:t>
        </w:r>
      </w:hyperlink>
      <w:r>
        <w:t xml:space="preserve">.</w:t>
      </w:r>
    </w:p>
    <w:bookmarkEnd w:id="161"/>
    <w:bookmarkStart w:id="163"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62">
        <w:r>
          <w:rPr>
            <w:rStyle w:val="Hyperlink"/>
          </w:rPr>
          <w:t xml:space="preserve">https://doi.org/10.1016/0304-4076(85)90158-7</w:t>
        </w:r>
      </w:hyperlink>
      <w:r>
        <w:t xml:space="preserve">.</w:t>
      </w:r>
    </w:p>
    <w:bookmarkEnd w:id="163"/>
    <w:bookmarkStart w:id="165"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64">
        <w:r>
          <w:rPr>
            <w:rStyle w:val="Hyperlink"/>
          </w:rPr>
          <w:t xml:space="preserve">https://www.jstor.org/stable/1924766</w:t>
        </w:r>
      </w:hyperlink>
      <w:r>
        <w:t xml:space="preserve">.</w:t>
      </w:r>
    </w:p>
    <w:bookmarkEnd w:id="165"/>
    <w:bookmarkStart w:id="166"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66"/>
    <w:bookmarkStart w:id="168"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67">
        <w:r>
          <w:rPr>
            <w:rStyle w:val="Hyperlink"/>
          </w:rPr>
          <w:t xml:space="preserve">https://doi.org/10.1002/(SICI)1099-1255(199611)11:6&lt;619::AID-JAE418&gt;3.0.CO;2-1</w:t>
        </w:r>
      </w:hyperlink>
      <w:r>
        <w:t xml:space="preserve">.</w:t>
      </w:r>
    </w:p>
    <w:bookmarkEnd w:id="168"/>
    <w:bookmarkStart w:id="170"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69">
        <w:r>
          <w:rPr>
            <w:rStyle w:val="Hyperlink"/>
          </w:rPr>
          <w:t xml:space="preserve">https://doi.org/10.3390/ijfs7010012</w:t>
        </w:r>
      </w:hyperlink>
      <w:r>
        <w:t xml:space="preserve">.</w:t>
      </w:r>
    </w:p>
    <w:bookmarkEnd w:id="170"/>
    <w:bookmarkStart w:id="171"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71"/>
    <w:bookmarkStart w:id="173"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72">
        <w:r>
          <w:rPr>
            <w:rStyle w:val="Hyperlink"/>
          </w:rPr>
          <w:t xml:space="preserve">https://doi.org/10.1080/00031305.2016.1154108</w:t>
        </w:r>
      </w:hyperlink>
      <w:r>
        <w:t xml:space="preserve">.</w:t>
      </w:r>
    </w:p>
    <w:bookmarkEnd w:id="173"/>
    <w:bookmarkStart w:id="175"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74">
        <w:r>
          <w:rPr>
            <w:rStyle w:val="Hyperlink"/>
          </w:rPr>
          <w:t xml:space="preserve">https://doi.org/10.1080/00031305.2019.1583913</w:t>
        </w:r>
      </w:hyperlink>
      <w:r>
        <w:t xml:space="preserve">.</w:t>
      </w:r>
    </w:p>
    <w:bookmarkEnd w:id="175"/>
    <w:bookmarkStart w:id="177"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76">
        <w:r>
          <w:rPr>
            <w:rStyle w:val="Hyperlink"/>
          </w:rPr>
          <w:t xml:space="preserve">https://accessecon.com/pubs/eb/2003/volume1/eb-03a10003a.pdf</w:t>
        </w:r>
      </w:hyperlink>
      <w:r>
        <w:t xml:space="preserve">.</w:t>
      </w:r>
    </w:p>
    <w:bookmarkEnd w:id="177"/>
    <w:bookmarkStart w:id="179" w:name="ref-wnba2024recordseason"/>
    <w:p>
      <w:pPr>
        <w:pStyle w:val="Bibliography"/>
      </w:pPr>
      <w:r>
        <w:t xml:space="preserve">WNBA. 2024.</w:t>
      </w:r>
      <w:r>
        <w:t xml:space="preserve"> </w:t>
      </w:r>
      <w:r>
        <w:t xml:space="preserve">“WNBA Delivers Record‑setting 2024 Season.”</w:t>
      </w:r>
      <w:r>
        <w:t xml:space="preserve"> </w:t>
      </w:r>
      <w:hyperlink r:id="rId178">
        <w:r>
          <w:rPr>
            <w:rStyle w:val="Hyperlink"/>
          </w:rPr>
          <w:t xml:space="preserve">https://www.wnba.com/news/wnba-delivers-record-setting-2024-season</w:t>
        </w:r>
      </w:hyperlink>
      <w:r>
        <w:t xml:space="preserve">.</w:t>
      </w:r>
    </w:p>
    <w:bookmarkEnd w:id="179"/>
    <w:bookmarkStart w:id="180"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80"/>
    <w:bookmarkEnd w:id="181"/>
    <w:bookmarkEnd w:id="182"/>
    <w:bookmarkStart w:id="205" w:name="appendix"/>
    <w:p>
      <w:pPr>
        <w:pStyle w:val="Heading2"/>
      </w:pPr>
      <w:r>
        <w:t xml:space="preserve">6 Appendix</w:t>
      </w:r>
    </w:p>
    <w:bookmarkStart w:id="185"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83" w:name="tbl-anova"/>
          <w:p>
            <w:pPr>
              <w:jc w:val="center"/>
            </w:pPr>
            <w:pPr>
              <w:jc w:val="left"/>
              <w:spacing w:before="200"/>
              <w:pStyle w:val="ImageCaption"/>
            </w:pPr>
            <w:r>
              <w:t xml:space="preserve">Table 8: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72"/>
              <w:gridCol w:w="3912"/>
              <w:gridCol w:w="286"/>
              <w:gridCol w:w="763"/>
              <w:gridCol w:w="667"/>
              <w:gridCol w:w="954"/>
              <w:gridCol w:w="76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2.981</w:t>
                  </w:r>
                </w:p>
              </w:tc>
              <w:tc>
                <w:tcPr/>
                <w:p>
                  <w:pPr>
                    <w:pStyle w:val="Compact"/>
                    <w:jc w:val="right"/>
                    <w:jc w:val="center"/>
                  </w:pPr>
                  <w:r>
                    <w:t xml:space="preserve">2.981</w:t>
                  </w:r>
                </w:p>
              </w:tc>
              <w:tc>
                <w:tcPr/>
                <w:p>
                  <w:pPr>
                    <w:pStyle w:val="Compact"/>
                    <w:jc w:val="right"/>
                    <w:jc w:val="center"/>
                  </w:pPr>
                  <w:r>
                    <w:t xml:space="preserve">54.793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5.733</w:t>
                  </w:r>
                </w:p>
              </w:tc>
              <w:tc>
                <w:tcPr/>
                <w:p>
                  <w:pPr>
                    <w:pStyle w:val="Compact"/>
                    <w:jc w:val="right"/>
                    <w:jc w:val="center"/>
                  </w:pPr>
                  <w:r>
                    <w:t xml:space="preserve">5.733</w:t>
                  </w:r>
                </w:p>
              </w:tc>
              <w:tc>
                <w:tcPr/>
                <w:p>
                  <w:pPr>
                    <w:pStyle w:val="Compact"/>
                    <w:jc w:val="right"/>
                    <w:jc w:val="center"/>
                  </w:pPr>
                  <w:r>
                    <w:t xml:space="preserve">105.392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0.051</w:t>
                  </w:r>
                </w:p>
              </w:tc>
              <w:tc>
                <w:tcPr/>
                <w:p>
                  <w:pPr>
                    <w:pStyle w:val="Compact"/>
                    <w:jc w:val="right"/>
                    <w:jc w:val="center"/>
                  </w:pPr>
                  <w:r>
                    <w:t xml:space="preserve">0.822</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0.511</w:t>
                  </w:r>
                </w:p>
              </w:tc>
              <w:tc>
                <w:tcPr/>
                <w:p>
                  <w:pPr>
                    <w:pStyle w:val="Compact"/>
                    <w:jc w:val="right"/>
                    <w:jc w:val="center"/>
                  </w:pPr>
                  <w:r>
                    <w:t xml:space="preserve">0.511</w:t>
                  </w:r>
                </w:p>
              </w:tc>
              <w:tc>
                <w:tcPr/>
                <w:p>
                  <w:pPr>
                    <w:pStyle w:val="Compact"/>
                    <w:jc w:val="right"/>
                    <w:jc w:val="center"/>
                  </w:pPr>
                  <w:r>
                    <w:t xml:space="preserve">9.399</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13.501</w:t>
                  </w:r>
                </w:p>
              </w:tc>
              <w:tc>
                <w:tcPr/>
                <w:p>
                  <w:pPr>
                    <w:pStyle w:val="Compact"/>
                    <w:jc w:val="right"/>
                    <w:jc w:val="center"/>
                  </w:pPr>
                  <w:r>
                    <w:t xml:space="preserve">13.501</w:t>
                  </w:r>
                </w:p>
              </w:tc>
              <w:tc>
                <w:tcPr/>
                <w:p>
                  <w:pPr>
                    <w:pStyle w:val="Compact"/>
                    <w:jc w:val="right"/>
                    <w:jc w:val="center"/>
                  </w:pPr>
                  <w:r>
                    <w:t xml:space="preserve">248.198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8.349</w:t>
                  </w:r>
                </w:p>
              </w:tc>
              <w:tc>
                <w:tcPr/>
                <w:p>
                  <w:pPr>
                    <w:pStyle w:val="Compact"/>
                    <w:jc w:val="right"/>
                    <w:jc w:val="center"/>
                  </w:pPr>
                  <w:r>
                    <w:t xml:space="preserve">8.349</w:t>
                  </w:r>
                </w:p>
              </w:tc>
              <w:tc>
                <w:tcPr/>
                <w:p>
                  <w:pPr>
                    <w:pStyle w:val="Compact"/>
                    <w:jc w:val="right"/>
                    <w:jc w:val="center"/>
                  </w:pPr>
                  <w:r>
                    <w:t xml:space="preserve">153.486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12.297</w:t>
                  </w:r>
                </w:p>
              </w:tc>
              <w:tc>
                <w:tcPr/>
                <w:p>
                  <w:pPr>
                    <w:pStyle w:val="Compact"/>
                    <w:jc w:val="right"/>
                    <w:jc w:val="center"/>
                  </w:pPr>
                  <w:r>
                    <w:t xml:space="preserve">3.074</w:t>
                  </w:r>
                </w:p>
              </w:tc>
              <w:tc>
                <w:tcPr/>
                <w:p>
                  <w:pPr>
                    <w:pStyle w:val="Compact"/>
                    <w:jc w:val="right"/>
                    <w:jc w:val="center"/>
                  </w:pPr>
                  <w:r>
                    <w:t xml:space="preserve">56.518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14.302</w:t>
                  </w:r>
                </w:p>
              </w:tc>
              <w:tc>
                <w:tcPr/>
                <w:p>
                  <w:pPr>
                    <w:pStyle w:val="Compact"/>
                    <w:jc w:val="right"/>
                    <w:jc w:val="center"/>
                  </w:pPr>
                  <w:r>
                    <w:t xml:space="preserve">2.384</w:t>
                  </w:r>
                </w:p>
              </w:tc>
              <w:tc>
                <w:tcPr/>
                <w:p>
                  <w:pPr>
                    <w:pStyle w:val="Compact"/>
                    <w:jc w:val="right"/>
                    <w:jc w:val="center"/>
                  </w:pPr>
                  <w:r>
                    <w:t xml:space="preserve">43.820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4.638</w:t>
                  </w:r>
                </w:p>
              </w:tc>
              <w:tc>
                <w:tcPr/>
                <w:p>
                  <w:pPr>
                    <w:pStyle w:val="Compact"/>
                    <w:jc w:val="right"/>
                    <w:jc w:val="center"/>
                  </w:pPr>
                  <w:r>
                    <w:t xml:space="preserve">0.178</w:t>
                  </w:r>
                </w:p>
              </w:tc>
              <w:tc>
                <w:tcPr/>
                <w:p>
                  <w:pPr>
                    <w:pStyle w:val="Compact"/>
                    <w:jc w:val="right"/>
                    <w:jc w:val="center"/>
                  </w:pPr>
                  <w:r>
                    <w:t xml:space="preserve">3.280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2.373</w:t>
                  </w:r>
                </w:p>
              </w:tc>
              <w:tc>
                <w:tcPr/>
                <w:p>
                  <w:pPr>
                    <w:pStyle w:val="Compact"/>
                    <w:jc w:val="right"/>
                    <w:jc w:val="center"/>
                  </w:pPr>
                  <w:r>
                    <w:t xml:space="preserve">0.091</w:t>
                  </w:r>
                </w:p>
              </w:tc>
              <w:tc>
                <w:tcPr/>
                <w:p>
                  <w:pPr>
                    <w:pStyle w:val="Compact"/>
                    <w:jc w:val="right"/>
                    <w:jc w:val="center"/>
                  </w:pPr>
                  <w:r>
                    <w:t xml:space="preserve">1.678</w:t>
                  </w:r>
                </w:p>
              </w:tc>
              <w:tc>
                <w:tcPr/>
                <w:p>
                  <w:pPr>
                    <w:pStyle w:val="Compact"/>
                    <w:jc w:val="right"/>
                    <w:jc w:val="center"/>
                  </w:pPr>
                  <w:r>
                    <w:t xml:space="preserve">0.017</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2.803</w:t>
                  </w:r>
                </w:p>
              </w:tc>
              <w:tc>
                <w:tcPr/>
                <w:p>
                  <w:pPr>
                    <w:pStyle w:val="Compact"/>
                    <w:jc w:val="right"/>
                    <w:jc w:val="center"/>
                  </w:pPr>
                  <w:r>
                    <w:t xml:space="preserve">0.108</w:t>
                  </w:r>
                </w:p>
              </w:tc>
              <w:tc>
                <w:tcPr/>
                <w:p>
                  <w:pPr>
                    <w:pStyle w:val="Compact"/>
                    <w:jc w:val="right"/>
                    <w:jc w:val="center"/>
                  </w:pPr>
                  <w:r>
                    <w:t xml:space="preserve">1.982</w:t>
                  </w:r>
                </w:p>
              </w:tc>
              <w:tc>
                <w:tcPr/>
                <w:p>
                  <w:pPr>
                    <w:pStyle w:val="Compact"/>
                    <w:jc w:val="right"/>
                    <w:jc w:val="center"/>
                  </w:pPr>
                  <w:r>
                    <w:t xml:space="preserve">0.002</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154.156</w:t>
                  </w:r>
                </w:p>
              </w:tc>
              <w:tc>
                <w:tcPr/>
                <w:p>
                  <w:pPr>
                    <w:pStyle w:val="Compact"/>
                    <w:jc w:val="right"/>
                    <w:jc w:val="center"/>
                  </w:pPr>
                  <w:r>
                    <w:t xml:space="preserve">5.929</w:t>
                  </w:r>
                </w:p>
              </w:tc>
              <w:tc>
                <w:tcPr/>
                <w:p>
                  <w:pPr>
                    <w:pStyle w:val="Compact"/>
                    <w:jc w:val="right"/>
                    <w:jc w:val="center"/>
                  </w:pPr>
                  <w:r>
                    <w:t xml:space="preserve">108.997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402.731</w:t>
                  </w:r>
                </w:p>
              </w:tc>
              <w:tc>
                <w:tcPr/>
                <w:p>
                  <w:pPr>
                    <w:pStyle w:val="Compact"/>
                    <w:jc w:val="right"/>
                    <w:jc w:val="center"/>
                  </w:pPr>
                  <w:r>
                    <w:t xml:space="preserve">7.745</w:t>
                  </w:r>
                </w:p>
              </w:tc>
              <w:tc>
                <w:tcPr/>
                <w:p>
                  <w:pPr>
                    <w:pStyle w:val="Compact"/>
                    <w:jc w:val="right"/>
                    <w:jc w:val="center"/>
                  </w:pPr>
                  <w:r>
                    <w:t xml:space="preserve">142.378</w:t>
                  </w:r>
                </w:p>
              </w:tc>
              <w:tc>
                <w:tcPr/>
                <w:p>
                  <w:pPr>
                    <w:pStyle w:val="Compact"/>
                    <w:jc w:val="right"/>
                    <w:jc w:val="center"/>
                  </w:pPr>
                  <w:r>
                    <w:t xml:space="preserve">0.000</w:t>
                  </w:r>
                </w:p>
              </w:tc>
            </w:tr>
          </w:tbl>
          <w:bookmarkEnd w:id="18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4" w:name="tbl-anova2"/>
          <w:p>
            <w:pPr>
              <w:jc w:val="center"/>
            </w:pPr>
            <w:pPr>
              <w:jc w:val="left"/>
              <w:spacing w:before="200"/>
              <w:pStyle w:val="ImageCaption"/>
            </w:pPr>
            <w:r>
              <w:t xml:space="preserve">Table 9: Analysis of variance for terms in models for percentage of arena capacity.</w:t>
            </w:r>
          </w:p>
          <w:tbl>
            <w:tblPr>
              <w:tblStyle w:val="Table"/>
              <w:tblW w:type="pct" w:w="5000"/>
              <w:tblLayout w:type="fixed"/>
              <w:tblLook w:firstRow="1" w:lastRow="0" w:firstColumn="0" w:lastColumn="0" w:noHBand="0" w:noVBand="0" w:val="0020"/>
            </w:tblPr>
            <w:tblGrid>
              <w:gridCol w:w="489"/>
              <w:gridCol w:w="3347"/>
              <w:gridCol w:w="244"/>
              <w:gridCol w:w="734"/>
              <w:gridCol w:w="979"/>
              <w:gridCol w:w="1469"/>
              <w:gridCol w:w="653"/>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NA</w:t>
                  </w:r>
                </w:p>
              </w:tc>
            </w:tr>
            <w:tr>
              <w:tc>
                <w:tcPr/>
                <w:p>
                  <w:pPr>
                    <w:pStyle w:val="Compact"/>
                    <w:jc w:val="left"/>
                    <w:jc w:val="center"/>
                  </w:pPr>
                  <w:r>
                    <w:t xml:space="preserve">f1</w:t>
                  </w:r>
                </w:p>
              </w:tc>
              <w:tc>
                <w:tcPr/>
                <w:p>
                  <w:pPr>
                    <w:pStyle w:val="Compact"/>
                    <w:jc w:val="left"/>
                    <w:jc w:val="center"/>
                  </w:pPr>
                  <w:r>
                    <w:t xml:space="preserve">I(z_loss_aversion)</w:t>
                  </w:r>
                </w:p>
              </w:tc>
              <w:tc>
                <w:tcPr/>
                <w:p>
                  <w:pPr>
                    <w:pStyle w:val="Compact"/>
                    <w:jc w:val="right"/>
                    <w:jc w:val="center"/>
                  </w:pPr>
                  <w:r>
                    <w:t xml:space="preserve">1</w:t>
                  </w:r>
                </w:p>
              </w:tc>
              <w:tc>
                <w:tcPr/>
                <w:p>
                  <w:pPr>
                    <w:pStyle w:val="Compact"/>
                    <w:jc w:val="right"/>
                    <w:jc w:val="center"/>
                  </w:pPr>
                  <w:r>
                    <w:t xml:space="preserve">2.816</w:t>
                  </w:r>
                </w:p>
              </w:tc>
              <w:tc>
                <w:tcPr/>
                <w:p>
                  <w:pPr>
                    <w:pStyle w:val="Compact"/>
                    <w:jc w:val="right"/>
                    <w:jc w:val="center"/>
                  </w:pPr>
                  <w:r>
                    <w:t xml:space="preserve">5052</w:t>
                  </w:r>
                </w:p>
              </w:tc>
              <w:tc>
                <w:tcPr/>
                <w:p>
                  <w:pPr>
                    <w:pStyle w:val="Compact"/>
                    <w:jc w:val="right"/>
                    <w:jc w:val="center"/>
                  </w:pPr>
                  <w:r>
                    <w:t xml:space="preserve">852.070</w:t>
                  </w:r>
                </w:p>
              </w:tc>
              <w:tc>
                <w:tcPr/>
                <w:p>
                  <w:pPr>
                    <w:pStyle w:val="Compact"/>
                    <w:jc w:val="right"/>
                    <w:jc w:val="center"/>
                  </w:pPr>
                  <w:r>
                    <w:t xml:space="preserve">0.093</w:t>
                  </w:r>
                </w:p>
              </w:tc>
            </w:tr>
            <w:tr>
              <w:tc>
                <w:tcPr/>
                <w:p>
                  <w:pPr>
                    <w:pStyle w:val="Compact"/>
                    <w:jc w:val="left"/>
                    <w:jc w:val="center"/>
                  </w:pPr>
                  <w:r>
                    <w:t xml:space="preserve">f1</w:t>
                  </w:r>
                </w:p>
              </w:tc>
              <w:tc>
                <w:tcPr/>
                <w:p>
                  <w:pPr>
                    <w:pStyle w:val="Compact"/>
                    <w:jc w:val="left"/>
                    <w:jc w:val="center"/>
                  </w:pPr>
                  <w:r>
                    <w:t xml:space="preserve">I(z_quality_of_play)</w:t>
                  </w:r>
                </w:p>
              </w:tc>
              <w:tc>
                <w:tcPr/>
                <w:p>
                  <w:pPr>
                    <w:pStyle w:val="Compact"/>
                    <w:jc w:val="right"/>
                    <w:jc w:val="center"/>
                  </w:pPr>
                  <w:r>
                    <w:t xml:space="preserve">1</w:t>
                  </w:r>
                </w:p>
              </w:tc>
              <w:tc>
                <w:tcPr/>
                <w:p>
                  <w:pPr>
                    <w:pStyle w:val="Compact"/>
                    <w:jc w:val="right"/>
                    <w:jc w:val="center"/>
                  </w:pPr>
                  <w:r>
                    <w:t xml:space="preserve">5.353</w:t>
                  </w:r>
                </w:p>
              </w:tc>
              <w:tc>
                <w:tcPr/>
                <w:p>
                  <w:pPr>
                    <w:pStyle w:val="Compact"/>
                    <w:jc w:val="right"/>
                    <w:jc w:val="center"/>
                  </w:pPr>
                  <w:r>
                    <w:t xml:space="preserve">5054</w:t>
                  </w:r>
                </w:p>
              </w:tc>
              <w:tc>
                <w:tcPr/>
                <w:p>
                  <w:pPr>
                    <w:pStyle w:val="Compact"/>
                    <w:jc w:val="right"/>
                    <w:jc w:val="center"/>
                  </w:pPr>
                  <w:r>
                    <w:t xml:space="preserve">854.904</w:t>
                  </w:r>
                </w:p>
              </w:tc>
              <w:tc>
                <w:tcPr/>
                <w:p>
                  <w:pPr>
                    <w:pStyle w:val="Compact"/>
                    <w:jc w:val="right"/>
                    <w:jc w:val="center"/>
                  </w:pPr>
                  <w:r>
                    <w:t xml:space="preserve">0.021</w:t>
                  </w:r>
                </w:p>
              </w:tc>
            </w:tr>
            <w:tr>
              <w:tc>
                <w:tcPr/>
                <w:p>
                  <w:pPr>
                    <w:pStyle w:val="Compact"/>
                    <w:jc w:val="left"/>
                    <w:jc w:val="center"/>
                  </w:pPr>
                  <w:r>
                    <w:t xml:space="preserve">f1</w:t>
                  </w:r>
                </w:p>
              </w:tc>
              <w:tc>
                <w:tcPr/>
                <w:p>
                  <w:pPr>
                    <w:pStyle w:val="Compact"/>
                    <w:jc w:val="left"/>
                    <w:jc w:val="center"/>
                  </w:pPr>
                  <w:r>
                    <w:t xml:space="preserve">I(z_uncertain_outcome)</w:t>
                  </w:r>
                </w:p>
              </w:tc>
              <w:tc>
                <w:tcPr/>
                <w:p>
                  <w:pPr>
                    <w:pStyle w:val="Compact"/>
                    <w:jc w:val="right"/>
                    <w:jc w:val="center"/>
                  </w:pPr>
                  <w:r>
                    <w:t xml:space="preserve">1</w:t>
                  </w:r>
                </w:p>
              </w:tc>
              <w:tc>
                <w:tcPr/>
                <w:p>
                  <w:pPr>
                    <w:pStyle w:val="Compact"/>
                    <w:jc w:val="right"/>
                    <w:jc w:val="center"/>
                  </w:pPr>
                  <w:r>
                    <w:t xml:space="preserve">0.017</w:t>
                  </w:r>
                </w:p>
              </w:tc>
              <w:tc>
                <w:tcPr/>
                <w:p>
                  <w:pPr>
                    <w:pStyle w:val="Compact"/>
                    <w:jc w:val="right"/>
                    <w:jc w:val="center"/>
                  </w:pPr>
                  <w:r>
                    <w:t xml:space="preserve">5053</w:t>
                  </w:r>
                </w:p>
              </w:tc>
              <w:tc>
                <w:tcPr/>
                <w:p>
                  <w:pPr>
                    <w:pStyle w:val="Compact"/>
                    <w:jc w:val="right"/>
                    <w:jc w:val="center"/>
                  </w:pPr>
                  <w:r>
                    <w:t xml:space="preserve">854.887</w:t>
                  </w:r>
                </w:p>
              </w:tc>
              <w:tc>
                <w:tcPr/>
                <w:p>
                  <w:pPr>
                    <w:pStyle w:val="Compact"/>
                    <w:jc w:val="right"/>
                    <w:jc w:val="center"/>
                  </w:pPr>
                  <w:r>
                    <w:t xml:space="preserve">0.895</w:t>
                  </w:r>
                </w:p>
              </w:tc>
            </w:tr>
            <w:tr>
              <w:tc>
                <w:tcPr/>
                <w:p>
                  <w:pPr>
                    <w:pStyle w:val="Compact"/>
                    <w:jc w:val="left"/>
                    <w:jc w:val="center"/>
                  </w:pPr>
                  <w:r>
                    <w:t xml:space="preserve">f1</w:t>
                  </w:r>
                </w:p>
              </w:tc>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0.835</w:t>
                  </w:r>
                </w:p>
              </w:tc>
              <w:tc>
                <w:tcPr/>
                <w:p>
                  <w:pPr>
                    <w:pStyle w:val="Compact"/>
                    <w:jc w:val="right"/>
                    <w:jc w:val="center"/>
                  </w:pPr>
                  <w:r>
                    <w:t xml:space="preserve">4962</w:t>
                  </w:r>
                </w:p>
              </w:tc>
              <w:tc>
                <w:tcPr/>
                <w:p>
                  <w:pPr>
                    <w:pStyle w:val="Compact"/>
                    <w:jc w:val="right"/>
                    <w:jc w:val="center"/>
                  </w:pPr>
                  <w:r>
                    <w:t xml:space="preserve">317.728</w:t>
                  </w:r>
                </w:p>
              </w:tc>
              <w:tc>
                <w:tcPr/>
                <w:p>
                  <w:pPr>
                    <w:pStyle w:val="Compact"/>
                    <w:jc w:val="right"/>
                    <w:jc w:val="center"/>
                  </w:pPr>
                  <w:r>
                    <w:t xml:space="preserve">0.361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22.492</w:t>
                  </w:r>
                </w:p>
              </w:tc>
              <w:tc>
                <w:tcPr/>
                <w:p>
                  <w:pPr>
                    <w:pStyle w:val="Compact"/>
                    <w:jc w:val="right"/>
                    <w:jc w:val="center"/>
                  </w:pPr>
                  <w:r>
                    <w:t xml:space="preserve">4963</w:t>
                  </w:r>
                </w:p>
              </w:tc>
              <w:tc>
                <w:tcPr/>
                <w:p>
                  <w:pPr>
                    <w:pStyle w:val="Compact"/>
                    <w:jc w:val="right"/>
                    <w:jc w:val="center"/>
                  </w:pPr>
                  <w:r>
                    <w:t xml:space="preserve">318.563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is_sellout</w:t>
                  </w:r>
                </w:p>
              </w:tc>
              <w:tc>
                <w:tcPr/>
                <w:p>
                  <w:pPr>
                    <w:pStyle w:val="Compact"/>
                    <w:jc w:val="right"/>
                    <w:jc w:val="center"/>
                  </w:pPr>
                  <w:r>
                    <w:t xml:space="preserve">1</w:t>
                  </w:r>
                </w:p>
              </w:tc>
              <w:tc>
                <w:tcPr/>
                <w:p>
                  <w:pPr>
                    <w:pStyle w:val="Compact"/>
                    <w:jc w:val="right"/>
                    <w:jc w:val="center"/>
                  </w:pPr>
                  <w:r>
                    <w:t xml:space="preserve">41.696</w:t>
                  </w:r>
                </w:p>
              </w:tc>
              <w:tc>
                <w:tcPr/>
                <w:p>
                  <w:pPr>
                    <w:pStyle w:val="Compact"/>
                    <w:jc w:val="right"/>
                    <w:jc w:val="center"/>
                  </w:pPr>
                  <w:r>
                    <w:t xml:space="preserve">4961</w:t>
                  </w:r>
                </w:p>
              </w:tc>
              <w:tc>
                <w:tcPr/>
                <w:p>
                  <w:pPr>
                    <w:pStyle w:val="Compact"/>
                    <w:jc w:val="right"/>
                    <w:jc w:val="center"/>
                  </w:pPr>
                  <w:r>
                    <w:t xml:space="preserve">276.032</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11.663</w:t>
                  </w:r>
                </w:p>
              </w:tc>
              <w:tc>
                <w:tcPr/>
                <w:p>
                  <w:pPr>
                    <w:pStyle w:val="Compact"/>
                    <w:jc w:val="right"/>
                    <w:jc w:val="center"/>
                  </w:pPr>
                  <w:r>
                    <w:t xml:space="preserve">5016</w:t>
                  </w:r>
                </w:p>
              </w:tc>
              <w:tc>
                <w:tcPr/>
                <w:p>
                  <w:pPr>
                    <w:pStyle w:val="Compact"/>
                    <w:jc w:val="right"/>
                    <w:jc w:val="center"/>
                  </w:pPr>
                  <w:r>
                    <w:t xml:space="preserve">611.101</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15.055</w:t>
                  </w:r>
                </w:p>
              </w:tc>
              <w:tc>
                <w:tcPr/>
                <w:p>
                  <w:pPr>
                    <w:pStyle w:val="Compact"/>
                    <w:jc w:val="right"/>
                    <w:jc w:val="center"/>
                  </w:pPr>
                  <w:r>
                    <w:t xml:space="preserve">5020</w:t>
                  </w:r>
                </w:p>
              </w:tc>
              <w:tc>
                <w:tcPr/>
                <w:p>
                  <w:pPr>
                    <w:pStyle w:val="Compact"/>
                    <w:jc w:val="right"/>
                    <w:jc w:val="center"/>
                  </w:pPr>
                  <w:r>
                    <w:t xml:space="preserve">622.764</w:t>
                  </w:r>
                </w:p>
              </w:tc>
              <w:tc>
                <w:tcPr/>
                <w:p>
                  <w:pPr>
                    <w:pStyle w:val="Compact"/>
                    <w:jc w:val="right"/>
                    <w:jc w:val="center"/>
                  </w:pPr>
                  <w:r>
                    <w:t xml:space="preserve">0.020</w:t>
                  </w:r>
                </w:p>
              </w:tc>
            </w:tr>
            <w:tr>
              <w:tc>
                <w:tcPr/>
                <w:p>
                  <w:pPr>
                    <w:pStyle w:val="Compact"/>
                    <w:jc w:val="left"/>
                    <w:jc w:val="center"/>
                  </w:pPr>
                  <w:r>
                    <w:t xml:space="preserve">f1</w:t>
                  </w:r>
                </w:p>
              </w:tc>
              <w:tc>
                <w:tcPr/>
                <w:p>
                  <w:pPr>
                    <w:pStyle w:val="Compact"/>
                    <w:jc w:val="left"/>
                    <w:jc w:val="center"/>
                  </w:pPr>
                  <w:r>
                    <w:t xml:space="preserve">I(z_loss_aversion):factor(season_id)</w:t>
                  </w:r>
                </w:p>
              </w:tc>
              <w:tc>
                <w:tcPr/>
                <w:p>
                  <w:pPr>
                    <w:pStyle w:val="Compact"/>
                    <w:jc w:val="right"/>
                    <w:jc w:val="center"/>
                  </w:pPr>
                  <w:r>
                    <w:t xml:space="preserve">26</w:t>
                  </w:r>
                </w:p>
              </w:tc>
              <w:tc>
                <w:tcPr/>
                <w:p>
                  <w:pPr>
                    <w:pStyle w:val="Compact"/>
                    <w:jc w:val="right"/>
                    <w:jc w:val="center"/>
                  </w:pPr>
                  <w:r>
                    <w:t xml:space="preserve">4.302</w:t>
                  </w:r>
                </w:p>
              </w:tc>
              <w:tc>
                <w:tcPr/>
                <w:p>
                  <w:pPr>
                    <w:pStyle w:val="Compact"/>
                    <w:jc w:val="right"/>
                    <w:jc w:val="center"/>
                  </w:pPr>
                  <w:r>
                    <w:t xml:space="preserve">4883</w:t>
                  </w:r>
                </w:p>
              </w:tc>
              <w:tc>
                <w:tcPr/>
                <w:p>
                  <w:pPr>
                    <w:pStyle w:val="Compact"/>
                    <w:jc w:val="right"/>
                    <w:jc w:val="center"/>
                  </w:pPr>
                  <w:r>
                    <w:t xml:space="preserve">266.542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I(z_quality_of_play):factor(season_id)</w:t>
                  </w:r>
                </w:p>
              </w:tc>
              <w:tc>
                <w:tcPr/>
                <w:p>
                  <w:pPr>
                    <w:pStyle w:val="Compact"/>
                    <w:jc w:val="right"/>
                    <w:jc w:val="center"/>
                  </w:pPr>
                  <w:r>
                    <w:t xml:space="preserve">26</w:t>
                  </w:r>
                </w:p>
              </w:tc>
              <w:tc>
                <w:tcPr/>
                <w:p>
                  <w:pPr>
                    <w:pStyle w:val="Compact"/>
                    <w:jc w:val="right"/>
                    <w:jc w:val="center"/>
                  </w:pPr>
                  <w:r>
                    <w:t xml:space="preserve">2.500</w:t>
                  </w:r>
                </w:p>
              </w:tc>
              <w:tc>
                <w:tcPr/>
                <w:p>
                  <w:pPr>
                    <w:pStyle w:val="Compact"/>
                    <w:jc w:val="right"/>
                    <w:jc w:val="center"/>
                  </w:pPr>
                  <w:r>
                    <w:t xml:space="preserve">4935</w:t>
                  </w:r>
                </w:p>
              </w:tc>
              <w:tc>
                <w:tcPr/>
                <w:p>
                  <w:pPr>
                    <w:pStyle w:val="Compact"/>
                    <w:jc w:val="right"/>
                    <w:jc w:val="center"/>
                  </w:pPr>
                  <w:r>
                    <w:t xml:space="preserve">273.532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I(z_uncertain_outcome):factor(season_id)</w:t>
                  </w:r>
                </w:p>
              </w:tc>
              <w:tc>
                <w:tcPr/>
                <w:p>
                  <w:pPr>
                    <w:pStyle w:val="Compact"/>
                    <w:jc w:val="right"/>
                    <w:jc w:val="center"/>
                  </w:pPr>
                  <w:r>
                    <w:t xml:space="preserve">26</w:t>
                  </w:r>
                </w:p>
              </w:tc>
              <w:tc>
                <w:tcPr/>
                <w:p>
                  <w:pPr>
                    <w:pStyle w:val="Compact"/>
                    <w:jc w:val="right"/>
                    <w:jc w:val="center"/>
                  </w:pPr>
                  <w:r>
                    <w:t xml:space="preserve">2.688</w:t>
                  </w:r>
                </w:p>
              </w:tc>
              <w:tc>
                <w:tcPr/>
                <w:p>
                  <w:pPr>
                    <w:pStyle w:val="Compact"/>
                    <w:jc w:val="right"/>
                    <w:jc w:val="center"/>
                  </w:pPr>
                  <w:r>
                    <w:t xml:space="preserve">4909</w:t>
                  </w:r>
                </w:p>
              </w:tc>
              <w:tc>
                <w:tcPr/>
                <w:p>
                  <w:pPr>
                    <w:pStyle w:val="Compact"/>
                    <w:jc w:val="right"/>
                    <w:jc w:val="center"/>
                  </w:pPr>
                  <w:r>
                    <w:t xml:space="preserve">270.844</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214.251</w:t>
                  </w:r>
                </w:p>
              </w:tc>
              <w:tc>
                <w:tcPr/>
                <w:p>
                  <w:pPr>
                    <w:pStyle w:val="Compact"/>
                    <w:jc w:val="right"/>
                    <w:jc w:val="center"/>
                  </w:pPr>
                  <w:r>
                    <w:t xml:space="preserve">5026</w:t>
                  </w:r>
                </w:p>
              </w:tc>
              <w:tc>
                <w:tcPr/>
                <w:p>
                  <w:pPr>
                    <w:pStyle w:val="Compact"/>
                    <w:jc w:val="right"/>
                    <w:jc w:val="center"/>
                  </w:pPr>
                  <w:r>
                    <w:t xml:space="preserve">637.819</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factor(arena)</w:t>
                  </w:r>
                </w:p>
              </w:tc>
              <w:tc>
                <w:tcPr/>
                <w:p>
                  <w:pPr>
                    <w:pStyle w:val="Compact"/>
                    <w:jc w:val="right"/>
                    <w:jc w:val="center"/>
                  </w:pPr>
                  <w:r>
                    <w:t xml:space="preserve">52</w:t>
                  </w:r>
                </w:p>
              </w:tc>
              <w:tc>
                <w:tcPr/>
                <w:p>
                  <w:pPr>
                    <w:pStyle w:val="Compact"/>
                    <w:jc w:val="right"/>
                    <w:jc w:val="center"/>
                  </w:pPr>
                  <w:r>
                    <w:t xml:space="preserve">270.047</w:t>
                  </w:r>
                </w:p>
              </w:tc>
              <w:tc>
                <w:tcPr/>
                <w:p>
                  <w:pPr>
                    <w:pStyle w:val="Compact"/>
                    <w:jc w:val="right"/>
                    <w:jc w:val="center"/>
                  </w:pPr>
                  <w:r>
                    <w:t xml:space="preserve">4964</w:t>
                  </w:r>
                </w:p>
              </w:tc>
              <w:tc>
                <w:tcPr/>
                <w:p>
                  <w:pPr>
                    <w:pStyle w:val="Compact"/>
                    <w:jc w:val="right"/>
                    <w:jc w:val="center"/>
                  </w:pPr>
                  <w:r>
                    <w:t xml:space="preserve">341.054</w:t>
                  </w:r>
                </w:p>
              </w:tc>
              <w:tc>
                <w:tcPr/>
                <w:p>
                  <w:pPr>
                    <w:pStyle w:val="Compact"/>
                    <w:jc w:val="right"/>
                    <w:jc w:val="center"/>
                  </w:pPr>
                  <w:r>
                    <w:t xml:space="preserve">0.000</w:t>
                  </w:r>
                </w:p>
              </w:tc>
            </w:tr>
          </w:tbl>
          <w:bookmarkEnd w:id="18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5"/>
    <w:bookmarkStart w:id="203" w:name="sec-resid-attend"/>
    <w:p>
      <w:pPr>
        <w:pStyle w:val="Heading3"/>
      </w:pPr>
      <w:r>
        <w:t xml:space="preserve">6.2 Residual analysis of attendance models</w:t>
      </w:r>
    </w:p>
    <w:bookmarkStart w:id="202"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89" w:name="fig-resids-1"/>
                <w:p>
                  <w:pPr>
                    <w:pStyle w:val="Compact"/>
                    <w:jc w:val="center"/>
                    <w:jc w:val="left"/>
                  </w:pPr>
                  <w:r>
                    <w:drawing>
                      <wp:inline>
                        <wp:extent cx="4620126" cy="3696101"/>
                        <wp:effectExtent b="0" l="0" r="0" t="0"/>
                        <wp:docPr descr="" title="" id="187" name="Picture"/>
                        <a:graphic>
                          <a:graphicData uri="http://schemas.openxmlformats.org/drawingml/2006/picture">
                            <pic:pic>
                              <pic:nvPicPr>
                                <pic:cNvPr descr="index_files/figure-docx/fig-resids-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8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3" w:name="fig-resids-2"/>
                <w:p>
                  <w:pPr>
                    <w:pStyle w:val="Compact"/>
                    <w:jc w:val="center"/>
                    <w:jc w:val="left"/>
                  </w:pPr>
                  <w:r>
                    <w:drawing>
                      <wp:inline>
                        <wp:extent cx="4620126" cy="3696101"/>
                        <wp:effectExtent b="0" l="0" r="0" t="0"/>
                        <wp:docPr descr="" title="" id="191" name="Picture"/>
                        <a:graphic>
                          <a:graphicData uri="http://schemas.openxmlformats.org/drawingml/2006/picture">
                            <pic:pic>
                              <pic:nvPicPr>
                                <pic:cNvPr descr="index_files/figure-docx/fig-resids-2.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93"/>
              </w:tc>
            </w:tr>
          </w:tbl>
          <w:p/>
        </w:tc>
        <w:tc>
          <w:tcPr/>
          <w:tbl>
            <w:tblPr>
              <w:tblStyle w:val="Table"/>
              <w:tblW w:type="pct" w:w="5000"/>
              <w:tblLayout w:type="fixed"/>
              <w:tblLook w:firstRow="0" w:lastRow="0" w:firstColumn="0" w:lastColumn="0" w:noHBand="0" w:noVBand="0" w:val="0000"/>
            </w:tblPr>
            <w:tblGrid>
              <w:gridCol w:w="7920"/>
            </w:tblGrid>
            <w:tr>
              <w:tc>
                <w:tcPr/>
                <w:bookmarkStart w:id="197" w:name="fig-resids-3"/>
                <w:p>
                  <w:pPr>
                    <w:pStyle w:val="Compact"/>
                    <w:jc w:val="center"/>
                    <w:jc w:val="left"/>
                  </w:pPr>
                  <w:r>
                    <w:drawing>
                      <wp:inline>
                        <wp:extent cx="4620126" cy="3696101"/>
                        <wp:effectExtent b="0" l="0" r="0" t="0"/>
                        <wp:docPr descr="" title="" id="195" name="Picture"/>
                        <a:graphic>
                          <a:graphicData uri="http://schemas.openxmlformats.org/drawingml/2006/picture">
                            <pic:pic>
                              <pic:nvPicPr>
                                <pic:cNvPr descr="index_files/figure-docx/fig-resids-3.png" id="196" name="Picture"/>
                                <pic:cNvPicPr>
                                  <a:picLocks noChangeArrowheads="1" noChangeAspect="1"/>
                                </pic:cNvPicPr>
                              </pic:nvPicPr>
                              <pic:blipFill>
                                <a:blip r:embed="rId19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9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201" w:name="fig-resids-4"/>
                <w:p>
                  <w:pPr>
                    <w:pStyle w:val="Compact"/>
                    <w:jc w:val="center"/>
                    <w:jc w:val="left"/>
                  </w:pPr>
                  <w:r>
                    <w:drawing>
                      <wp:inline>
                        <wp:extent cx="4620126" cy="3696101"/>
                        <wp:effectExtent b="0" l="0" r="0" t="0"/>
                        <wp:docPr descr="" title="" id="199" name="Picture"/>
                        <a:graphic>
                          <a:graphicData uri="http://schemas.openxmlformats.org/drawingml/2006/picture">
                            <pic:pic>
                              <pic:nvPicPr>
                                <pic:cNvPr descr="index_files/figure-docx/fig-resids-4.png" id="200" name="Picture"/>
                                <pic:cNvPicPr>
                                  <a:picLocks noChangeArrowheads="1" noChangeAspect="1"/>
                                </pic:cNvPicPr>
                              </pic:nvPicPr>
                              <pic:blipFill>
                                <a:blip r:embed="rId19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201"/>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202"/>
    <w:bookmarkEnd w:id="203"/>
    <w:bookmarkStart w:id="204" w:name="tobit-modeling"/>
    <w:p>
      <w:pPr>
        <w:pStyle w:val="Heading3"/>
      </w:pPr>
      <w:r>
        <w:t xml:space="preserve">6.3 Tobit modeling</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20">
    <w:p>
      <w:pPr>
        <w:pStyle w:val="FootnoteText"/>
      </w:pPr>
      <w:r>
        <w:rPr>
          <w:rStyle w:val="FootnoteReference"/>
        </w:rPr>
        <w:footnoteRef/>
      </w:r>
      <w:r>
        <w:t xml:space="preserve"> </w:t>
      </w:r>
      <w:r>
        <w:t xml:space="preserve">These modifications reduced the number of 1’s in the sample, which was useful mathematically during modeling.</w:t>
      </w:r>
    </w:p>
  </w:footnote>
  <w:footnote w:id="81">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 Target="media/rId91.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111" Target="media/rId111.png" /><Relationship Type="http://schemas.openxmlformats.org/officeDocument/2006/relationships/image" Id="rId67" Target="media/rId67.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98" Target="media/rId98.png" /><Relationship Type="http://schemas.openxmlformats.org/officeDocument/2006/relationships/image" Id="rId118" Target="media/rId118.png" /><Relationship Type="http://schemas.openxmlformats.org/officeDocument/2006/relationships/image" Id="rId103" Target="media/rId103.png" /><Relationship Type="http://schemas.openxmlformats.org/officeDocument/2006/relationships/image" Id="rId123" Target="media/rId123.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7" Target="media/rId87.png" /><Relationship Type="http://schemas.openxmlformats.org/officeDocument/2006/relationships/hyperlink" Id="rId176" Target="https://accessecon.com/pubs/eb/2003/volume1/eb-03a10003a.pdf" TargetMode="External" /><Relationship Type="http://schemas.openxmlformats.org/officeDocument/2006/relationships/hyperlink" Id="rId167" Target="https://doi.org/10.1002/(SICI)1099-1255(199611)11:6&lt;619::AID-JAE418&gt;3.0.CO;2-1" TargetMode="External" /><Relationship Type="http://schemas.openxmlformats.org/officeDocument/2006/relationships/hyperlink" Id="rId154" Target="https://doi.org/10.1002/mde.1308" TargetMode="External" /><Relationship Type="http://schemas.openxmlformats.org/officeDocument/2006/relationships/hyperlink" Id="rId162" Target="https://doi.org/10.1016/0304-4076(85)90158-7" TargetMode="External" /><Relationship Type="http://schemas.openxmlformats.org/officeDocument/2006/relationships/hyperlink" Id="rId172" Target="https://doi.org/10.1080/00031305.2016.1154108" TargetMode="External" /><Relationship Type="http://schemas.openxmlformats.org/officeDocument/2006/relationships/hyperlink" Id="rId174" Target="https://doi.org/10.1080/00031305.2019.1583913" TargetMode="External" /><Relationship Type="http://schemas.openxmlformats.org/officeDocument/2006/relationships/hyperlink" Id="rId160" Target="https://doi.org/10.1080/14660970.2022.2037218" TargetMode="External" /><Relationship Type="http://schemas.openxmlformats.org/officeDocument/2006/relationships/hyperlink" Id="rId152" Target="https://doi.org/10.1080/17430437.2017.1346620" TargetMode="External" /><Relationship Type="http://schemas.openxmlformats.org/officeDocument/2006/relationships/hyperlink" Id="rId137" Target="https://doi.org/10.1111/ecin.12061" TargetMode="External" /><Relationship Type="http://schemas.openxmlformats.org/officeDocument/2006/relationships/hyperlink" Id="rId145" Target="https://doi.org/10.1123/jsm.16.4.311" TargetMode="External" /><Relationship Type="http://schemas.openxmlformats.org/officeDocument/2006/relationships/hyperlink" Id="rId143" Target="https://doi.org/10.1123/jsm.2019-0404" TargetMode="External" /><Relationship Type="http://schemas.openxmlformats.org/officeDocument/2006/relationships/hyperlink" Id="rId141" Target="https://doi.org/10.1177/1527002508327387" TargetMode="External" /><Relationship Type="http://schemas.openxmlformats.org/officeDocument/2006/relationships/hyperlink" Id="rId158" Target="https://doi.org/10.1177/1527002509337212" TargetMode="External" /><Relationship Type="http://schemas.openxmlformats.org/officeDocument/2006/relationships/hyperlink" Id="rId139" Target="https://doi.org/10.1177/155862350800300105" TargetMode="External" /><Relationship Type="http://schemas.openxmlformats.org/officeDocument/2006/relationships/hyperlink" Id="rId150" Target="https://doi.org/10.32614/cran.package.wehoop" TargetMode="External" /><Relationship Type="http://schemas.openxmlformats.org/officeDocument/2006/relationships/hyperlink" Id="rId169" Target="https://doi.org/10.3390/ijfs7010012" TargetMode="External" /><Relationship Type="http://schemas.openxmlformats.org/officeDocument/2006/relationships/hyperlink" Id="rId156"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8" Target="https://polecom.org/index.php/polecom/article/view/119" TargetMode="External" /><Relationship Type="http://schemas.openxmlformats.org/officeDocument/2006/relationships/hyperlink" Id="rId135" Target="https://www.acrossthetimeline.com/wnba/attendance.html" TargetMode="External" /><Relationship Type="http://schemas.openxmlformats.org/officeDocument/2006/relationships/hyperlink" Id="rId164" Target="https://www.jstor.org/stable/1924766" TargetMode="External" /><Relationship Type="http://schemas.openxmlformats.org/officeDocument/2006/relationships/hyperlink" Id="rId178"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76" Target="https://accessecon.com/pubs/eb/2003/volume1/eb-03a10003a.pdf" TargetMode="External" /><Relationship Type="http://schemas.openxmlformats.org/officeDocument/2006/relationships/hyperlink" Id="rId167" Target="https://doi.org/10.1002/(SICI)1099-1255(199611)11:6&lt;619::AID-JAE418&gt;3.0.CO;2-1" TargetMode="External" /><Relationship Type="http://schemas.openxmlformats.org/officeDocument/2006/relationships/hyperlink" Id="rId154" Target="https://doi.org/10.1002/mde.1308" TargetMode="External" /><Relationship Type="http://schemas.openxmlformats.org/officeDocument/2006/relationships/hyperlink" Id="rId162" Target="https://doi.org/10.1016/0304-4076(85)90158-7" TargetMode="External" /><Relationship Type="http://schemas.openxmlformats.org/officeDocument/2006/relationships/hyperlink" Id="rId172" Target="https://doi.org/10.1080/00031305.2016.1154108" TargetMode="External" /><Relationship Type="http://schemas.openxmlformats.org/officeDocument/2006/relationships/hyperlink" Id="rId174" Target="https://doi.org/10.1080/00031305.2019.1583913" TargetMode="External" /><Relationship Type="http://schemas.openxmlformats.org/officeDocument/2006/relationships/hyperlink" Id="rId160" Target="https://doi.org/10.1080/14660970.2022.2037218" TargetMode="External" /><Relationship Type="http://schemas.openxmlformats.org/officeDocument/2006/relationships/hyperlink" Id="rId152" Target="https://doi.org/10.1080/17430437.2017.1346620" TargetMode="External" /><Relationship Type="http://schemas.openxmlformats.org/officeDocument/2006/relationships/hyperlink" Id="rId137" Target="https://doi.org/10.1111/ecin.12061" TargetMode="External" /><Relationship Type="http://schemas.openxmlformats.org/officeDocument/2006/relationships/hyperlink" Id="rId145" Target="https://doi.org/10.1123/jsm.16.4.311" TargetMode="External" /><Relationship Type="http://schemas.openxmlformats.org/officeDocument/2006/relationships/hyperlink" Id="rId143" Target="https://doi.org/10.1123/jsm.2019-0404" TargetMode="External" /><Relationship Type="http://schemas.openxmlformats.org/officeDocument/2006/relationships/hyperlink" Id="rId141" Target="https://doi.org/10.1177/1527002508327387" TargetMode="External" /><Relationship Type="http://schemas.openxmlformats.org/officeDocument/2006/relationships/hyperlink" Id="rId158" Target="https://doi.org/10.1177/1527002509337212" TargetMode="External" /><Relationship Type="http://schemas.openxmlformats.org/officeDocument/2006/relationships/hyperlink" Id="rId139" Target="https://doi.org/10.1177/155862350800300105" TargetMode="External" /><Relationship Type="http://schemas.openxmlformats.org/officeDocument/2006/relationships/hyperlink" Id="rId150" Target="https://doi.org/10.32614/cran.package.wehoop" TargetMode="External" /><Relationship Type="http://schemas.openxmlformats.org/officeDocument/2006/relationships/hyperlink" Id="rId169" Target="https://doi.org/10.3390/ijfs7010012" TargetMode="External" /><Relationship Type="http://schemas.openxmlformats.org/officeDocument/2006/relationships/hyperlink" Id="rId156"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8" Target="https://polecom.org/index.php/polecom/article/view/119" TargetMode="External" /><Relationship Type="http://schemas.openxmlformats.org/officeDocument/2006/relationships/hyperlink" Id="rId135" Target="https://www.acrossthetimeline.com/wnba/attendance.html" TargetMode="External" /><Relationship Type="http://schemas.openxmlformats.org/officeDocument/2006/relationships/hyperlink" Id="rId164" Target="https://www.jstor.org/stable/1924766" TargetMode="External" /><Relationship Type="http://schemas.openxmlformats.org/officeDocument/2006/relationships/hyperlink" Id="rId178"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2026-06-27T20:02:06Z</dcterms:created>
  <dcterms:modified xsi:type="dcterms:W3CDTF">2026-06-27T20:02:06Z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2026-06-27</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