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7.png" ContentType="image/png"/>
  <Override PartName="/word/media/rId37.png" ContentType="image/png"/>
  <Override PartName="/word/media/rId23.png" ContentType="image/png"/>
  <Override PartName="/word/media/rId138.png" ContentType="image/png"/>
  <Override PartName="/word/media/rId174.png" ContentType="image/png"/>
  <Override PartName="/word/media/rId178.png" ContentType="image/png"/>
  <Override PartName="/word/media/rId182.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53.png" ContentType="image/png"/>
  <Override PartName="/word/media/rId67.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2026-06-03</w:t>
      </w:r>
    </w:p>
    <w:p>
      <w:pPr>
        <w:pStyle w:val="AbstractTitle"/>
      </w:pPr>
      <w:r>
        <w:t xml:space="preserve">Abstract</w:t>
      </w:r>
    </w:p>
    <w:p>
      <w:pPr>
        <w:pStyle w:val="Abstract"/>
      </w:pPr>
      <w:r>
        <w:t xml:space="preserve">A central question in the intersection between sports economics and sports analytics is how to quantify the effects of what happens on the court or field on a team’s revenue. In general, the literature expects that stronger teams will see higher live game attendance, but previous research has not found a statistically significant relationship between winning percentage and attendance in the WNBA</w:t>
      </w:r>
      <w:r>
        <w:t xml:space="preserve"> </w:t>
      </w:r>
      <w:r>
        <w:t xml:space="preserve">(Agha and Berri 2023)</w:t>
      </w:r>
      <w:r>
        <w:t xml:space="preserve">. Our study improves upon theirs by using a rolling win count from the past 44 games played rather than a seasonal winning-percentage to predict per game attendance. This avoids look-ahead bias, as fans cannot be expected to know a team’s future performance when deciding to attend a game. Using game-level data for all WNBA regular-season games from 2018–2024, we estimated an ordinary least squares model of per-game attendance with team and season fixed effects and a dummy variable for whether Caitlin Clark played. We then translated player win shares into expected attendance impacts by mapping individual contributions to team wins onto the estimated attendance–winning relationship. We chose to focus on attendance as a proxy for revenue following the research framework from Scully (1974), due to concerns about revenue data availability. We used attendance data from the “Across the Timeline: WNBA League Attendance Dashboard”, which records game-level attendance data for all WNBA games. We find a significant relationship between rolling win count and game attendance, with game attendance expected to increase by 112 people for each additional win in the 44 game window. This means that a player like Allisha Gray, for example, who we estimate contributed 10 wins to the Atlanta Dream in 2024, boosted attendance by approximately 1,100 attendees per game. These results highlight the importance of short-run performance in shaping fan demand and provide a framework for linking individual player performance to team-level revenue outcomes in women’s professional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sec-intro"/>
    <w:p>
      <w:pPr>
        <w:pStyle w:val="Heading2"/>
      </w:pPr>
      <w:r>
        <w:t xml:space="preserve">1 Introduction</w:t>
      </w:r>
    </w:p>
    <w:bookmarkStart w:id="10" w:name="gabriela-introduction"/>
    <w:p>
      <w:pPr>
        <w:pStyle w:val="Heading3"/>
      </w:pPr>
      <w:r>
        <w:t xml:space="preserve">1.1 Gabriela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w:t>
      </w:r>
    </w:p>
    <w:p>
      <w:pPr>
        <w:pStyle w:val="BodyText"/>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gains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In these studies, a debate emerged about the direction of causality: did strong team performance engender higher attendance or vice versa</w:t>
      </w:r>
      <w:r>
        <w:t xml:space="preserve"> </w:t>
      </w:r>
      <w:r>
        <w:t xml:space="preserve">(Baade and Tiehen 1990; Clapp and Hakes 2005; Davis 2008, 2009; Horowitz 2007; Lemke et al. 2010)</w:t>
      </w:r>
      <w:r>
        <w:t xml:space="preserve">?</w:t>
      </w:r>
      <w:r>
        <w:t xml:space="preserve"> </w:t>
      </w:r>
      <w:r>
        <w:t xml:space="preserve">While no Granger causality tests were run, the predominant view has been causality running from team performance to attendance</w:t>
      </w:r>
      <w:r>
        <w:t xml:space="preserve"> </w:t>
      </w:r>
      <w:r>
        <w:t xml:space="preserve">(Hall et al. 2002)</w:t>
      </w:r>
      <w:r>
        <w:t xml:space="preserve">.</w:t>
      </w:r>
    </w:p>
    <w:p>
      <w:pPr>
        <w:pStyle w:val="BodyText"/>
      </w:pPr>
      <w:r>
        <w:t xml:space="preserve">Finally, situating these revenue models within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 conference</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p>
      <w:pPr>
        <w:pStyle w:val="BodyText"/>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w:t>
      </w:r>
    </w:p>
    <w:p>
      <w:pPr>
        <w:pStyle w:val="BodyText"/>
      </w:pPr>
      <w:r>
        <w:t xml:space="preserve">Of course, all of this differential cannot be attributed to the age of the league.</w:t>
      </w:r>
      <w:r>
        <w:t xml:space="preserve"> </w:t>
      </w:r>
      <w:r>
        <w:t xml:space="preserve">Additional important factors include: the WNBA plays during the summer months in order to promote arena use outside of the NBA season; there is less money spent on promotion, reduced media coverage, historical prejudice, arena amenities and age, and ticket prices, among others.</w:t>
      </w:r>
      <w:r>
        <w:t xml:space="preserve"> </w:t>
      </w:r>
      <w:r>
        <w:t xml:space="preserve">To be sure, the sports management literature also includes several studies that find a major motivation behind fandom for women’s sports leagues to be an area’s overall support for feminist issues</w:t>
      </w:r>
      <w:r>
        <w:t xml:space="preserve"> </w:t>
      </w:r>
      <w:r>
        <w:t xml:space="preserve">(Delia 2020; Guest and Luijten 2018; Leslie-Walker and Mulvenna 2022)</w:t>
      </w:r>
      <w:r>
        <w:t xml:space="preserve">. Nonetheless, to the extent that the league’s age is a factor, it is interesting to inquire into the patterns of fan behavior and whether they might change as the league matures.</w:t>
      </w:r>
      <w:r>
        <w:t xml:space="preserve"> </w:t>
      </w:r>
      <w:r>
        <w:t xml:space="preserve">Agha and Berri (2023)</w:t>
      </w:r>
      <w:r>
        <w:t xml:space="preserve"> </w:t>
      </w:r>
      <w:r>
        <w:t xml:space="preserve">found that their variable on team performance was not statistically significant as an explainer of team attendance.</w:t>
      </w:r>
      <w:r>
        <w:t xml:space="preserve"> </w:t>
      </w:r>
      <w:r>
        <w:t xml:space="preserve">As noted above, this is contrary to heretofore virtually unanimous finding in the existing scholarship for men’s leagues.</w:t>
      </w:r>
      <w:r>
        <w:t xml:space="preserve"> </w:t>
      </w:r>
      <w:r>
        <w:t xml:space="preserve">Note, however, that</w:t>
      </w:r>
      <w:r>
        <w:t xml:space="preserve"> </w:t>
      </w:r>
      <w:r>
        <w:t xml:space="preserve">Agha and Berri (2023)</w:t>
      </w:r>
      <w:r>
        <w:t xml:space="preserve"> </w:t>
      </w:r>
      <w:r>
        <w:t xml:space="preserve">employed data only from 2004 through 2017 and that its performance variable was team win percentage during the previous year.</w:t>
      </w:r>
    </w:p>
    <w:p>
      <w:pPr>
        <w:pStyle w:val="BodyText"/>
      </w:pPr>
      <w:r>
        <w:t xml:space="preserve">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team strength on game attendance has increased, paralleling documented trends in men’s leagues.</w:t>
      </w:r>
    </w:p>
    <w:p>
      <w:pPr>
        <w:pStyle w:val="BodyText"/>
      </w:pPr>
      <w:r>
        <w:t xml:space="preserve">In this paper we build upon the literature on team performance and game attendance in the context of the WNBA and introduce a period-based model that allows us to more accurately capture the current state of league growth.</w:t>
      </w:r>
    </w:p>
    <w:bookmarkEnd w:id="10"/>
    <w:bookmarkStart w:id="12" w:name="still-to-be-incorporated-in-intro"/>
    <w:p>
      <w:pPr>
        <w:pStyle w:val="Heading3"/>
      </w:pPr>
      <w:r>
        <w:t xml:space="preserve">1.2 still to be incorporated in intro:</w:t>
      </w:r>
    </w:p>
    <w:p>
      <w:pPr>
        <w:pStyle w:val="FirstParagraph"/>
      </w:pP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use of only last year’s win percentage to measure team performance is problematic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consistently diminish.</w:t>
      </w:r>
    </w:p>
    <w:p>
      <w:pPr>
        <w:pStyle w:val="BodyText"/>
      </w:pPr>
      <w:r>
        <w:t xml:space="preserve">Professional men’s team sport leagues have demonstrated a clear relationship between team quality and attendance.</w:t>
      </w:r>
      <w:r>
        <w:t xml:space="preserve"> </w:t>
      </w: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will become more responsive to team quality.</w:t>
      </w:r>
      <w:r>
        <w:t xml:space="preserve"> </w:t>
      </w:r>
      <w:r>
        <w:t xml:space="preserve">Using game attendance</w:t>
      </w:r>
      <w:r>
        <w:rPr>
          <w:rStyle w:val="FootnoteReference"/>
        </w:rPr>
        <w:footnoteReference w:id="11"/>
      </w:r>
      <w:r>
        <w:t xml:space="preserve"> </w:t>
      </w:r>
      <w:r>
        <w:t xml:space="preserve">and team performance data from 1997 through 2025, we test these hypotheses.</w:t>
      </w:r>
    </w:p>
    <w:bookmarkEnd w:id="12"/>
    <w:bookmarkStart w:id="13" w:name="andrew-other-passage"/>
    <w:p>
      <w:pPr>
        <w:pStyle w:val="Heading3"/>
      </w:pPr>
      <w:r>
        <w:t xml:space="preserve">1.3 Andrew other passage</w:t>
      </w:r>
    </w:p>
    <w:p>
      <w:pPr>
        <w:pStyle w:val="FirstParagraph"/>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The present study controls for payroll and stadium capacity as both have been shown to affect attendance.</w:t>
      </w:r>
      <w:r>
        <w:t xml:space="preserve"> </w:t>
      </w:r>
      <w:r>
        <w:t xml:space="preserve">Wiseman and Chatterjee (2003)</w:t>
      </w:r>
      <w:r>
        <w:t xml:space="preserve"> </w:t>
      </w:r>
      <w:r>
        <w:t xml:space="preserve">found team payroll was positively correlated to team winning percentage (9).</w:t>
      </w:r>
      <w:r>
        <w:t xml:space="preserve"> </w:t>
      </w:r>
      <w:r>
        <w:t xml:space="preserve">Additionally, they found that this relationship has grown stronger since the late 1990’s.</w:t>
      </w:r>
      <w:r>
        <w:t xml:space="preserve"> </w:t>
      </w:r>
      <w:r>
        <w:t xml:space="preserve">Hall et al. (2002)</w:t>
      </w:r>
      <w:r>
        <w:t xml:space="preserve"> </w:t>
      </w:r>
      <w:r>
        <w:t xml:space="preserve">did not find causality evidence from payroll to team winning percentage in their entire dataset, but they did note an increased correlation in the 1990’s.</w:t>
      </w:r>
      <w:r>
        <w:t xml:space="preserve"> </w:t>
      </w:r>
      <w:r>
        <w:t xml:space="preserve">Additionally, they stated that an MLB team with a payroll of at least 150% of the league average could expect a winning percentage of at least .550.</w:t>
      </w:r>
      <w:r>
        <w:t xml:space="preserve"> </w:t>
      </w:r>
      <w:r>
        <w:t xml:space="preserve">This is an important finding, because</w:t>
      </w:r>
      <w:r>
        <w:t xml:space="preserve"> </w:t>
      </w:r>
      <w:r>
        <w:t xml:space="preserve">Vrooman (2012)</w:t>
      </w:r>
      <w:r>
        <w:t xml:space="preserve"> </w:t>
      </w:r>
      <w:r>
        <w:t xml:space="preserve">identified .550 as a benchmark winning percentage for qualifying as a playoff team.</w:t>
      </w:r>
    </w:p>
    <w:bookmarkEnd w:id="13"/>
    <w:bookmarkEnd w:id="14"/>
    <w:bookmarkStart w:id="31" w:name="sec-data"/>
    <w:p>
      <w:pPr>
        <w:pStyle w:val="Heading2"/>
      </w:pPr>
      <w:r>
        <w:t xml:space="preserve">2 Data</w:t>
      </w:r>
    </w:p>
    <w:bookmarkStart w:id="22"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w:t>
      </w:r>
      <w:r>
        <w:t xml:space="preserve"> </w:t>
      </w:r>
      <w:r>
        <w:t xml:space="preserve">We supplemented these data with arena capacities that we collected manually</w:t>
      </w:r>
      <w:r>
        <w:rPr>
          <w:rStyle w:val="FootnoteReference"/>
        </w:rPr>
        <w:footnoteReference w:id="15"/>
      </w:r>
      <w:r>
        <w:t xml:space="preserve">.</w:t>
      </w:r>
      <w:r>
        <w:t xml:space="preserve"> </w:t>
      </w:r>
      <w:r>
        <w:t xml:space="preserve">Attendance data was unavailable for only 152 games, while (due to the COVID-19 pandemic) 2 games (accurately) recorded attendance of 0.</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6"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2004-06-15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Warner Cable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Barclays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2016-06-24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2025-09-03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Wintrust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2023-07-12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Gainbridge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2021-08-17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Footprint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2019-07-05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Alaska 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1999-07-08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ARCO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21" w:name="cell-fig-boxplots"/>
    <w:tbl>
      <w:tblPr>
        <w:tblStyle w:val="Table"/>
        <w:tblW w:type="pct" w:w="5000"/>
        <w:tblLayout w:type="fixed"/>
        <w:tblLook w:firstRow="0" w:lastRow="0" w:firstColumn="0" w:lastColumn="0" w:noHBand="0" w:noVBand="0" w:val="0000"/>
      </w:tblPr>
      <w:tblGrid>
        <w:gridCol w:w="7920"/>
      </w:tblGrid>
      <w:tr>
        <w:tc>
          <w:tcPr/>
          <w:bookmarkStart w:id="20" w:name="fig-boxplots"/>
          <w:p>
            <w:pPr>
              <w:pStyle w:val="Compact"/>
              <w:jc w:val="center"/>
            </w:pPr>
            <w:r>
              <w:drawing>
                <wp:inline>
                  <wp:extent cx="4620126" cy="3696101"/>
                  <wp:effectExtent b="0" l="0" r="0" t="0"/>
                  <wp:docPr descr="" title="" id="18" name="Picture"/>
                  <a:graphic>
                    <a:graphicData uri="http://schemas.openxmlformats.org/drawingml/2006/picture">
                      <pic:pic>
                        <pic:nvPicPr>
                          <pic:cNvPr descr="index_files/figure-docx/fig-boxplots-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2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
    <w:bookmarkEnd w:id="22"/>
    <w:bookmarkStart w:id="28"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 are typically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r>
            <m:t>I</m:t>
          </m:r>
          <m:r>
            <m:rPr>
              <m:sty m:val="p"/>
            </m:rPr>
            <m:t>(</m:t>
          </m:r>
          <m:r>
            <m:t>i</m:t>
          </m:r>
          <m:r>
            <m:rPr>
              <m:nor/>
              <m:sty m:val="p"/>
            </m:rPr>
            <m:t> beats </m:t>
          </m:r>
          <m:r>
            <m:t>j</m:t>
          </m:r>
          <m:r>
            <m:rPr>
              <m:sty m:val="p"/>
            </m:rPr>
            <m:t>)</m:t>
          </m:r>
          <m:r>
            <m:t> </m:t>
          </m:r>
          <m:r>
            <m:rPr>
              <m:sty m:val="p"/>
            </m:rPr>
            <m:t>,</m:t>
          </m:r>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7" w:name="cell-fig-elo"/>
    <w:tbl>
      <w:tblPr>
        <w:tblStyle w:val="Table"/>
        <w:tblW w:type="pct" w:w="5000"/>
        <w:tblLayout w:type="fixed"/>
        <w:tblLook w:firstRow="0" w:lastRow="0" w:firstColumn="0" w:lastColumn="0" w:noHBand="0" w:noVBand="0" w:val="0000"/>
      </w:tblPr>
      <w:tblGrid>
        <w:gridCol w:w="7920"/>
      </w:tblGrid>
      <w:tr>
        <w:tc>
          <w:tcPr/>
          <w:bookmarkStart w:id="26" w:name="fig-elo"/>
          <w:p>
            <w:pPr>
              <w:pStyle w:val="Compact"/>
              <w:jc w:val="center"/>
            </w:pPr>
            <w:r>
              <w:drawing>
                <wp:inline>
                  <wp:extent cx="4620126" cy="3696101"/>
                  <wp:effectExtent b="0" l="0" r="0" t="0"/>
                  <wp:docPr descr="" title="" id="24" name="Picture"/>
                  <a:graphic>
                    <a:graphicData uri="http://schemas.openxmlformats.org/drawingml/2006/picture">
                      <pic:pic>
                        <pic:nvPicPr>
                          <pic:cNvPr descr="index_files/figure-docx/fig-elo-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30" w:name="estimating-home-win-probability"/>
    <w:p>
      <w:pPr>
        <w:pStyle w:val="Heading3"/>
      </w:pPr>
      <w:r>
        <w:t xml:space="preserve">2.3 Estimating home win probability</w:t>
      </w:r>
    </w:p>
    <w:p>
      <w:pPr>
        <w:pStyle w:val="FirstParagraph"/>
      </w:pPr>
      <w:r>
        <w:t xml:space="preserve">The Elo ratings estimated above can then be plugged back into the win probability formula to estimate the home teams’s chances of winning.</w:t>
      </w:r>
      <w:r>
        <w:t xml:space="preserve"> </w:t>
      </w:r>
      <w:r>
        <w:t xml:space="preserve">We also added a 12-point home court advantage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12</m:t>
                          </m:r>
                        </m:e>
                      </m:d>
                    </m:num>
                    <m:den>
                      <m:r>
                        <m:t>400</m:t>
                      </m:r>
                    </m:den>
                  </m:f>
                </m:sup>
              </m:sSup>
            </m:den>
          </m:f>
          <m:r>
            <m:t> </m:t>
          </m:r>
          <m:r>
            <m:rPr>
              <m:sty m:val="p"/>
            </m:rPr>
            <m:t>.</m:t>
          </m:r>
        </m:oMath>
      </m:oMathPara>
    </w:p>
    <w:p>
      <w:pPr>
        <w:pStyle w:val="FirstParagraph"/>
      </w:pPr>
      <w:r>
        <w:t xml:space="preserve">We arrived at 12 points by manually calibrating the win probabilities to match the observed frequencies.</w:t>
      </w:r>
      <w:r>
        <w:t xml:space="preserve"> </w:t>
      </w:r>
      <w:r>
        <w:t xml:space="preserve">While the model was less accurate at the extremes (it was consistently reluctant to predict nearly certain home wins and losses),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(0.153,0.233]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(0.233,0.311]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(0.311,0.39]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(0.468,0.547]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(0.547,0.625]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(0.625,0.704]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(0.782,0.861]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(0.861,0.94]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r>
          </w:tbl>
          <w:bookmarkEnd w:id="2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End w:id="31"/>
    <w:bookmarkStart w:id="49"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We also know the arena in which the game took place and the capacity of that arena.</w:t>
      </w:r>
      <w:r>
        <w:t xml:space="preserve"> </w:t>
      </w:r>
      <w:r>
        <w:t xml:space="preserve">Thus, and alternative response variable is percentage of arena capacity filled (</w:t>
      </w:r>
      <m:oMath>
        <m:r>
          <m:t>γ</m:t>
        </m:r>
      </m:oMath>
      <w:r>
        <w:t xml:space="preserve">).</w:t>
      </w:r>
    </w:p>
    <w:bookmarkStart w:id="42"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6" w:name="cell-fig-attendance-year"/>
    <w:tbl>
      <w:tblPr>
        <w:tblStyle w:val="Table"/>
        <w:tblW w:type="pct" w:w="5000"/>
        <w:tblLayout w:type="fixed"/>
        <w:tblLook w:firstRow="0" w:lastRow="0" w:firstColumn="0" w:lastColumn="0" w:noHBand="0" w:noVBand="0" w:val="0000"/>
      </w:tblPr>
      <w:tblGrid>
        <w:gridCol w:w="7920"/>
      </w:tblGrid>
      <w:tr>
        <w:tc>
          <w:tcPr/>
          <w:bookmarkStart w:id="35" w:name="fig-attendance-year"/>
          <w:p>
            <w:pPr>
              <w:pStyle w:val="Compact"/>
              <w:jc w:val="center"/>
            </w:pPr>
            <w:r>
              <w:drawing>
                <wp:inline>
                  <wp:extent cx="4620126" cy="3696101"/>
                  <wp:effectExtent b="0" l="0" r="0" t="0"/>
                  <wp:docPr descr="" title="" id="33" name="Picture"/>
                  <a:graphic>
                    <a:graphicData uri="http://schemas.openxmlformats.org/drawingml/2006/picture">
                      <pic:pic>
                        <pic:nvPicPr>
                          <pic:cNvPr descr="index_files/figure-docx/fig-attendance-year-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6"/>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41" w:name="cell-fig-capacity-year"/>
    <w:tbl>
      <w:tblPr>
        <w:tblStyle w:val="Table"/>
        <w:tblW w:type="pct" w:w="5000"/>
        <w:tblLayout w:type="fixed"/>
        <w:tblLook w:firstRow="0" w:lastRow="0" w:firstColumn="0" w:lastColumn="0" w:noHBand="0" w:noVBand="0" w:val="0000"/>
      </w:tblPr>
      <w:tblGrid>
        <w:gridCol w:w="7920"/>
      </w:tblGrid>
      <w:tr>
        <w:tc>
          <w:tcPr/>
          <w:bookmarkStart w:id="40" w:name="fig-capacity-year"/>
          <w:p>
            <w:pPr>
              <w:pStyle w:val="Compact"/>
              <w:jc w:val="center"/>
            </w:pPr>
            <w:r>
              <w:drawing>
                <wp:inline>
                  <wp:extent cx="4620126" cy="3696101"/>
                  <wp:effectExtent b="0" l="0" r="0" t="0"/>
                  <wp:docPr descr="" title="" id="38" name="Picture"/>
                  <a:graphic>
                    <a:graphicData uri="http://schemas.openxmlformats.org/drawingml/2006/picture">
                      <pic:pic>
                        <pic:nvPicPr>
                          <pic:cNvPr descr="index_files/figure-docx/fig-capacity-year-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4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1"/>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2"/>
    <w:bookmarkStart w:id="43"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p>
    <w:p>
      <w:pPr>
        <w:pStyle w:val="Compact"/>
        <w:numPr>
          <w:ilvl w:val="0"/>
          <w:numId w:val="1001"/>
        </w:numPr>
      </w:pPr>
      <w:r>
        <w:t xml:space="preserve">Quality of play: fans may wish to attend a game in person if the quality of play is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Compact"/>
        <w:numPr>
          <w:ilvl w:val="0"/>
          <w:numId w:val="1001"/>
        </w:numPr>
      </w:pPr>
      <w:r>
        <w:t xml:space="preserve">Uncertainty outcome hypothesis: fans may wish to attend a game for which the outcome is unclear. We model this as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bookmarkEnd w:id="43"/>
    <w:bookmarkStart w:id="45"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44"/>
      </w:r>
      <w:r>
        <w:t xml:space="preserve">.</w:t>
      </w:r>
      <w:r>
        <w:t xml:space="preserve"> </w:t>
      </w:r>
      <w:r>
        <w:t xml:space="preserve">Finally, we include an indicator based on whether Caitlin Clark played more than 0 minutes in the game (</w:t>
      </w:r>
      <m:oMath>
        <m:r>
          <m:t>χ</m:t>
        </m:r>
      </m:oMath>
      <w:r>
        <w:t xml:space="preserve">).</w:t>
      </w:r>
    </w:p>
    <w:bookmarkEnd w:id="45"/>
    <w:bookmarkStart w:id="46"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this, we include an interaction term between our measures of fan engagement (</w:t>
      </w:r>
      <m:oMath>
        <m:sSub>
          <m:e>
            <m:r>
              <m:t>f</m:t>
            </m:r>
          </m:e>
          <m:sub>
            <m:r>
              <m:t>k</m:t>
            </m:r>
          </m:sub>
        </m:sSub>
      </m:oMath>
      <w:r>
        <w:t xml:space="preserve">) and season (</w:t>
      </w:r>
      <m:oMath>
        <m:sSub>
          <m:e>
            <m:r>
              <m:t>τ</m:t>
            </m:r>
          </m:e>
          <m:sub>
            <m:r>
              <m:t>1</m:t>
            </m:r>
          </m:sub>
        </m:sSub>
      </m:oMath>
      <w:r>
        <w:t xml:space="preserve">).</w:t>
      </w:r>
    </w:p>
    <w:bookmarkEnd w:id="46"/>
    <w:bookmarkStart w:id="47"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p>
    <w:p>
      <w:pPr>
        <w:pStyle w:val="BodyText"/>
      </w:pPr>
      <m:oMathPara>
        <m:oMathParaPr>
          <m:jc m:val="center"/>
        </m:oMathParaPr>
        <m:oMath>
          <m:r>
            <m:rPr>
              <m:sty m:val="p"/>
            </m:rPr>
            <m:t>ln</m:t>
          </m:r>
          <m:r>
            <m:t>y</m:t>
          </m:r>
          <m:r>
            <m:rPr>
              <m:sty m:val="p"/>
            </m:rPr>
            <m:t>=</m:t>
          </m:r>
          <m:sSubSup>
            <m:e>
              <m:r>
                <m:t>β</m:t>
              </m:r>
            </m:e>
            <m:sub>
              <m:r>
                <m:t>0</m:t>
              </m:r>
            </m:sub>
            <m:sup>
              <m:r>
                <m:rPr>
                  <m:sty m:val="p"/>
                </m:rPr>
                <m:t>(</m:t>
              </m:r>
              <m:r>
                <m:t>k</m:t>
              </m:r>
              <m:r>
                <m:rPr>
                  <m:sty m:val="p"/>
                </m:rPr>
                <m:t>)</m:t>
              </m:r>
            </m:sup>
          </m:sSubSup>
          <m:r>
            <m:rPr>
              <m:sty m:val="p"/>
            </m:rPr>
            <m:t>+</m:t>
          </m:r>
          <m:sSubSup>
            <m:e>
              <m:r>
                <m:t>β</m:t>
              </m:r>
            </m:e>
            <m:sub>
              <m:r>
                <m:t>1</m:t>
              </m:r>
            </m:sub>
            <m:sup>
              <m:r>
                <m:rPr>
                  <m:sty m:val="p"/>
                </m:rPr>
                <m:t>(</m:t>
              </m:r>
              <m:r>
                <m:t>k</m:t>
              </m:r>
              <m:r>
                <m:rPr>
                  <m:sty m:val="p"/>
                </m:rPr>
                <m:t>)</m:t>
              </m:r>
            </m:sup>
          </m:sSubSup>
          <m:sSub>
            <m:e>
              <m:r>
                <m:t>f</m:t>
              </m:r>
            </m:e>
            <m:sub>
              <m:r>
                <m:t>k</m:t>
              </m:r>
            </m:sub>
          </m:sSub>
          <m:r>
            <m:rPr>
              <m:sty m:val="p"/>
            </m:rPr>
            <m:t>+</m:t>
          </m:r>
          <m:limLow>
            <m:e>
              <m:limLow>
                <m:e>
                  <m:sSubSup>
                    <m:e>
                      <m:r>
                        <m:t>β</m:t>
                      </m:r>
                    </m:e>
                    <m:sub>
                      <m:r>
                        <m:t>2</m:t>
                      </m:r>
                    </m:sub>
                    <m:sup>
                      <m:r>
                        <m:rPr>
                          <m:sty m:val="p"/>
                        </m:rPr>
                        <m:t>(</m:t>
                      </m:r>
                      <m:r>
                        <m:t>k</m:t>
                      </m:r>
                      <m:r>
                        <m:rPr>
                          <m:sty m:val="p"/>
                        </m:rPr>
                        <m:t>)</m:t>
                      </m:r>
                    </m:sup>
                  </m:sSubSup>
                  <m:sSub>
                    <m:e>
                      <m:r>
                        <m:t>τ</m:t>
                      </m:r>
                    </m:e>
                    <m:sub>
                      <m:r>
                        <m:t>1</m:t>
                      </m:r>
                    </m:sub>
                  </m:sSub>
                  <m:r>
                    <m:rPr>
                      <m:sty m:val="p"/>
                    </m:rPr>
                    <m:t>+</m:t>
                  </m:r>
                  <m:sSubSup>
                    <m:e>
                      <m:r>
                        <m:t>β</m:t>
                      </m:r>
                    </m:e>
                    <m:sub>
                      <m:r>
                        <m:t>3</m:t>
                      </m:r>
                    </m:sub>
                    <m:sup>
                      <m:r>
                        <m:rPr>
                          <m:sty m:val="p"/>
                        </m:rPr>
                        <m:t>(</m:t>
                      </m:r>
                      <m:r>
                        <m:t>k</m:t>
                      </m:r>
                      <m:r>
                        <m:rPr>
                          <m:sty m:val="p"/>
                        </m:rPr>
                        <m:t>)</m:t>
                      </m:r>
                    </m:sup>
                  </m:sSubSup>
                  <m:sSub>
                    <m:e>
                      <m:r>
                        <m:t>τ</m:t>
                      </m:r>
                    </m:e>
                    <m:sub>
                      <m:r>
                        <m:t>2</m:t>
                      </m:r>
                    </m:sub>
                  </m:sSub>
                  <m:r>
                    <m:rPr>
                      <m:sty m:val="p"/>
                    </m:rPr>
                    <m:t>+</m:t>
                  </m:r>
                  <m:sSubSup>
                    <m:e>
                      <m:r>
                        <m:t>β</m:t>
                      </m:r>
                    </m:e>
                    <m:sub>
                      <m:r>
                        <m:t>4</m:t>
                      </m:r>
                    </m:sub>
                    <m:sup>
                      <m:r>
                        <m:rPr>
                          <m:sty m:val="p"/>
                        </m:rPr>
                        <m:t>(</m:t>
                      </m:r>
                      <m:r>
                        <m:t>k</m:t>
                      </m:r>
                      <m:r>
                        <m:rPr>
                          <m:sty m:val="p"/>
                        </m:rPr>
                        <m:t>)</m:t>
                      </m:r>
                    </m:sup>
                  </m:sSubSup>
                  <m:sSub>
                    <m:e>
                      <m:r>
                        <m:t>τ</m:t>
                      </m:r>
                    </m:e>
                    <m:sub>
                      <m:r>
                        <m:t>3</m:t>
                      </m:r>
                    </m:sub>
                  </m:sSub>
                </m:e>
                <m:lim>
                  <m:r>
                    <m:rPr>
                      <m:sty m:val="p"/>
                    </m:rPr>
                    <m:t>⏟</m:t>
                  </m:r>
                </m:lim>
              </m:limLow>
            </m:e>
            <m:lim>
              <m:r>
                <m:rPr>
                  <m:nor/>
                  <m:sty m:val="p"/>
                </m:rPr>
                <m:t>time-related</m:t>
              </m:r>
            </m:lim>
          </m:limLow>
          <m:r>
            <m:rPr>
              <m:sty m:val="p"/>
            </m:rPr>
            <m:t>+</m:t>
          </m:r>
          <m:limLow>
            <m:e>
              <m:limLow>
                <m:e>
                  <m:sSubSup>
                    <m:e>
                      <m:r>
                        <m:t>β</m:t>
                      </m:r>
                    </m:e>
                    <m:sub>
                      <m:r>
                        <m:t>5</m:t>
                      </m:r>
                    </m:sub>
                    <m:sup>
                      <m:r>
                        <m:rPr>
                          <m:sty m:val="p"/>
                        </m:rPr>
                        <m:t>(</m:t>
                      </m:r>
                      <m:r>
                        <m:t>k</m:t>
                      </m:r>
                      <m:r>
                        <m:rPr>
                          <m:sty m:val="p"/>
                        </m:rPr>
                        <m:t>)</m:t>
                      </m:r>
                    </m:sup>
                  </m:sSubSup>
                  <m:sSub>
                    <m:e>
                      <m:r>
                        <m:t>ϕ</m:t>
                      </m:r>
                    </m:e>
                    <m:sub>
                      <m:r>
                        <m:t>1</m:t>
                      </m:r>
                    </m:sub>
                  </m:sSub>
                  <m:r>
                    <m:rPr>
                      <m:sty m:val="p"/>
                    </m:rPr>
                    <m:t>+</m:t>
                  </m:r>
                  <m:sSubSup>
                    <m:e>
                      <m:r>
                        <m:t>β</m:t>
                      </m:r>
                    </m:e>
                    <m:sub>
                      <m:r>
                        <m:t>6</m:t>
                      </m:r>
                    </m:sub>
                    <m:sup>
                      <m:r>
                        <m:rPr>
                          <m:sty m:val="p"/>
                        </m:rPr>
                        <m:t>(</m:t>
                      </m:r>
                      <m:r>
                        <m:t>k</m:t>
                      </m:r>
                      <m:r>
                        <m:rPr>
                          <m:sty m:val="p"/>
                        </m:rPr>
                        <m:t>)</m:t>
                      </m:r>
                    </m:sup>
                  </m:sSubSup>
                  <m:sSub>
                    <m:e>
                      <m:r>
                        <m:t>ϕ</m:t>
                      </m:r>
                    </m:e>
                    <m:sub>
                      <m:r>
                        <m:t>2</m:t>
                      </m:r>
                    </m:sub>
                  </m:sSub>
                  <m:r>
                    <m:rPr>
                      <m:sty m:val="p"/>
                    </m:rPr>
                    <m:t>+</m:t>
                  </m:r>
                  <m:sSubSup>
                    <m:e>
                      <m:r>
                        <m:t>β</m:t>
                      </m:r>
                    </m:e>
                    <m:sub>
                      <m:r>
                        <m:t>7</m:t>
                      </m:r>
                    </m:sub>
                    <m:sup>
                      <m:r>
                        <m:rPr>
                          <m:sty m:val="p"/>
                        </m:rPr>
                        <m:t>(</m:t>
                      </m:r>
                      <m:r>
                        <m:t>k</m:t>
                      </m:r>
                      <m:r>
                        <m:rPr>
                          <m:sty m:val="p"/>
                        </m:rPr>
                        <m:t>)</m:t>
                      </m:r>
                    </m:sup>
                  </m:sSubSup>
                  <m:sSub>
                    <m:e>
                      <m:r>
                        <m:t>ϕ</m:t>
                      </m:r>
                    </m:e>
                    <m:sub>
                      <m:r>
                        <m:t>3</m:t>
                      </m:r>
                    </m:sub>
                  </m:sSub>
                </m:e>
                <m:lim>
                  <m:r>
                    <m:rPr>
                      <m:sty m:val="p"/>
                    </m:rPr>
                    <m:t>⏟</m:t>
                  </m:r>
                </m:lim>
              </m:limLow>
            </m:e>
            <m:lim>
              <m:r>
                <m:rPr>
                  <m:nor/>
                  <m:sty m:val="p"/>
                </m:rPr>
                <m:t> city-related </m:t>
              </m:r>
            </m:lim>
          </m:limLow>
          <m:r>
            <m:rPr>
              <m:sty m:val="p"/>
            </m:rPr>
            <m:t>+</m:t>
          </m:r>
          <m:sSubSup>
            <m:e>
              <m:r>
                <m:t>β</m:t>
              </m:r>
            </m:e>
            <m:sub>
              <m:r>
                <m:t>8</m:t>
              </m:r>
            </m:sub>
            <m:sup>
              <m:r>
                <m:rPr>
                  <m:sty m:val="p"/>
                </m:rPr>
                <m:t>(</m:t>
              </m:r>
              <m:r>
                <m:t>k</m:t>
              </m:r>
              <m:r>
                <m:rPr>
                  <m:sty m:val="p"/>
                </m:rPr>
                <m:t>)</m:t>
              </m:r>
            </m:sup>
          </m:sSubSup>
          <m:r>
            <m:t>χ</m:t>
          </m:r>
          <m:r>
            <m:rPr>
              <m:sty m:val="p"/>
            </m:rPr>
            <m:t>+</m:t>
          </m:r>
          <m:limLow>
            <m:e>
              <m:limLow>
                <m:e>
                  <m:sSubSup>
                    <m:e>
                      <m:r>
                        <m:t>β</m:t>
                      </m:r>
                    </m:e>
                    <m:sub>
                      <m:r>
                        <m:t>9</m:t>
                      </m:r>
                    </m:sub>
                    <m:sup>
                      <m:r>
                        <m:rPr>
                          <m:sty m:val="p"/>
                        </m:rPr>
                        <m:t>(</m:t>
                      </m:r>
                      <m:r>
                        <m:t>k</m:t>
                      </m:r>
                      <m:r>
                        <m:rPr>
                          <m:sty m:val="p"/>
                        </m:rPr>
                        <m:t>)</m:t>
                      </m:r>
                    </m:sup>
                  </m:sSubSup>
                  <m:sSub>
                    <m:e>
                      <m:r>
                        <m:t>f</m:t>
                      </m:r>
                    </m:e>
                    <m:sub>
                      <m:r>
                        <m:t>k</m:t>
                      </m:r>
                    </m:sub>
                  </m:sSub>
                  <m:sSub>
                    <m:e>
                      <m:r>
                        <m:t>τ</m:t>
                      </m:r>
                    </m:e>
                    <m:sub>
                      <m:r>
                        <m:t>1</m:t>
                      </m:r>
                    </m:sub>
                  </m:sSub>
                </m:e>
                <m:lim>
                  <m:r>
                    <m:rPr>
                      <m:sty m:val="p"/>
                    </m:rPr>
                    <m:t>⏟</m:t>
                  </m:r>
                </m:lim>
              </m:limLow>
            </m:e>
            <m:lim>
              <m:r>
                <m:rPr>
                  <m:nor/>
                  <m:sty m:val="p"/>
                </m:rPr>
                <m:t>interaction</m:t>
              </m:r>
            </m:lim>
          </m:limLow>
          <m:r>
            <m:rPr>
              <m:sty m:val="p"/>
            </m:rPr>
            <m:t>+</m:t>
          </m:r>
          <m:r>
            <m:t>ϵ</m:t>
          </m:r>
          <m:r>
            <m:t> </m:t>
          </m:r>
          <m:r>
            <m:rPr>
              <m:sty m:val="p"/>
            </m:rPr>
            <m:t>,</m:t>
          </m:r>
        </m:oMath>
      </m:oMathPara>
    </w:p>
    <w:p>
      <w:pPr>
        <w:pStyle w:val="FirstParagraph"/>
      </w:pP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47"/>
    <w:bookmarkStart w:id="48"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the in Tobit framework.</w:t>
      </w:r>
    </w:p>
    <w:bookmarkEnd w:id="48"/>
    <w:bookmarkEnd w:id="49"/>
    <w:bookmarkStart w:id="78"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3"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4</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coefs"/>
          <w:p>
            <w:pPr>
              <w:jc w:val="center"/>
            </w:pPr>
            <w:pPr>
              <w:jc w:val="left"/>
              <w:spacing w:before="200"/>
              <w:pStyle w:val="ImageCaption"/>
            </w:pPr>
            <w:r>
              <w:t xml:space="preserve">Table 3: Fitted coefficients for scalar terms in models for the natural logarithm of attendance.</w:t>
            </w:r>
          </w:p>
          <w:tbl>
            <w:tblPr>
              <w:tblStyle w:val="Table"/>
              <w:tblW w:type="pct" w:w="5000"/>
              <w:tblLayout w:type="fixed"/>
              <w:tblLook w:firstRow="1" w:lastRow="0" w:firstColumn="0" w:lastColumn="0" w:noHBand="0" w:noVBand="0" w:val="0020"/>
            </w:tblPr>
            <w:tblGrid>
              <w:gridCol w:w="709"/>
              <w:gridCol w:w="2837"/>
              <w:gridCol w:w="1063"/>
              <w:gridCol w:w="1182"/>
              <w:gridCol w:w="1182"/>
              <w:gridCol w:w="945"/>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9.027</w:t>
                  </w:r>
                </w:p>
              </w:tc>
              <w:tc>
                <w:tcPr/>
                <w:p>
                  <w:pPr>
                    <w:pStyle w:val="Compact"/>
                    <w:jc w:val="right"/>
                    <w:jc w:val="center"/>
                  </w:pPr>
                  <w:r>
                    <w:t xml:space="preserve">0.129</w:t>
                  </w:r>
                </w:p>
              </w:tc>
              <w:tc>
                <w:tcPr/>
                <w:p>
                  <w:pPr>
                    <w:pStyle w:val="Compact"/>
                    <w:jc w:val="right"/>
                    <w:jc w:val="center"/>
                  </w:pPr>
                  <w:r>
                    <w:t xml:space="preserve">69.908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8.968</w:t>
                  </w:r>
                </w:p>
              </w:tc>
              <w:tc>
                <w:tcPr/>
                <w:p>
                  <w:pPr>
                    <w:pStyle w:val="Compact"/>
                    <w:jc w:val="right"/>
                    <w:jc w:val="center"/>
                  </w:pPr>
                  <w:r>
                    <w:t xml:space="preserve">0.155</w:t>
                  </w:r>
                </w:p>
              </w:tc>
              <w:tc>
                <w:tcPr/>
                <w:p>
                  <w:pPr>
                    <w:pStyle w:val="Compact"/>
                    <w:jc w:val="right"/>
                    <w:jc w:val="center"/>
                  </w:pPr>
                  <w:r>
                    <w:t xml:space="preserve">58.003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9.078</w:t>
                  </w:r>
                </w:p>
              </w:tc>
              <w:tc>
                <w:tcPr/>
                <w:p>
                  <w:pPr>
                    <w:pStyle w:val="Compact"/>
                    <w:jc w:val="right"/>
                    <w:jc w:val="center"/>
                  </w:pPr>
                  <w:r>
                    <w:t xml:space="preserve">0.132</w:t>
                  </w:r>
                </w:p>
              </w:tc>
              <w:tc>
                <w:tcPr/>
                <w:p>
                  <w:pPr>
                    <w:pStyle w:val="Compact"/>
                    <w:jc w:val="right"/>
                    <w:jc w:val="center"/>
                  </w:pPr>
                  <w:r>
                    <w:t xml:space="preserve">68.750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0.524</w:t>
                  </w:r>
                </w:p>
              </w:tc>
              <w:tc>
                <w:tcPr/>
                <w:p>
                  <w:pPr>
                    <w:pStyle w:val="Compact"/>
                    <w:jc w:val="right"/>
                    <w:jc w:val="center"/>
                  </w:pPr>
                  <w:r>
                    <w:t xml:space="preserve">0.600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3.320</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0.422</w:t>
                  </w:r>
                </w:p>
              </w:tc>
              <w:tc>
                <w:tcPr/>
                <w:p>
                  <w:pPr>
                    <w:pStyle w:val="Compact"/>
                    <w:jc w:val="right"/>
                    <w:jc w:val="center"/>
                  </w:pPr>
                  <w:r>
                    <w:t xml:space="preserve">0.402</w:t>
                  </w:r>
                </w:p>
              </w:tc>
              <w:tc>
                <w:tcPr/>
                <w:p>
                  <w:pPr>
                    <w:pStyle w:val="Compact"/>
                    <w:jc w:val="right"/>
                    <w:jc w:val="center"/>
                  </w:pPr>
                  <w:r>
                    <w:t xml:space="preserve">1.050</w:t>
                  </w:r>
                </w:p>
              </w:tc>
              <w:tc>
                <w:tcPr/>
                <w:p>
                  <w:pPr>
                    <w:pStyle w:val="Compact"/>
                    <w:jc w:val="right"/>
                    <w:jc w:val="center"/>
                  </w:pPr>
                  <w:r>
                    <w:t xml:space="preserve">0.294</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0.705</w:t>
                  </w:r>
                </w:p>
              </w:tc>
              <w:tc>
                <w:tcPr/>
                <w:p>
                  <w:pPr>
                    <w:pStyle w:val="Compact"/>
                    <w:jc w:val="right"/>
                    <w:jc w:val="center"/>
                  </w:pPr>
                  <w:r>
                    <w:t xml:space="preserve">0.049</w:t>
                  </w:r>
                </w:p>
              </w:tc>
              <w:tc>
                <w:tcPr/>
                <w:p>
                  <w:pPr>
                    <w:pStyle w:val="Compact"/>
                    <w:jc w:val="right"/>
                    <w:jc w:val="center"/>
                  </w:pPr>
                  <w:r>
                    <w:t xml:space="preserve">14.514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0.699</w:t>
                  </w:r>
                </w:p>
              </w:tc>
              <w:tc>
                <w:tcPr/>
                <w:p>
                  <w:pPr>
                    <w:pStyle w:val="Compact"/>
                    <w:jc w:val="right"/>
                    <w:jc w:val="center"/>
                  </w:pPr>
                  <w:r>
                    <w:t xml:space="preserve">0.050</w:t>
                  </w:r>
                </w:p>
              </w:tc>
              <w:tc>
                <w:tcPr/>
                <w:p>
                  <w:pPr>
                    <w:pStyle w:val="Compact"/>
                    <w:jc w:val="right"/>
                    <w:jc w:val="center"/>
                  </w:pPr>
                  <w:r>
                    <w:t xml:space="preserve">14.089</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0.653</w:t>
                  </w:r>
                </w:p>
              </w:tc>
              <w:tc>
                <w:tcPr/>
                <w:p>
                  <w:pPr>
                    <w:pStyle w:val="Compact"/>
                    <w:jc w:val="right"/>
                    <w:jc w:val="center"/>
                  </w:pPr>
                  <w:r>
                    <w:t xml:space="preserve">0.048</w:t>
                  </w:r>
                </w:p>
              </w:tc>
              <w:tc>
                <w:tcPr/>
                <w:p>
                  <w:pPr>
                    <w:pStyle w:val="Compact"/>
                    <w:jc w:val="right"/>
                    <w:jc w:val="center"/>
                  </w:pPr>
                  <w:r>
                    <w:t xml:space="preserve">13.627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-3.144</w:t>
                  </w:r>
                </w:p>
              </w:tc>
              <w:tc>
                <w:tcPr/>
                <w:p>
                  <w:pPr>
                    <w:pStyle w:val="Compact"/>
                    <w:jc w:val="right"/>
                    <w:jc w:val="center"/>
                  </w:pPr>
                  <w:r>
                    <w:t xml:space="preserve">0.002</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0.021</w:t>
                  </w:r>
                </w:p>
              </w:tc>
              <w:tc>
                <w:tcPr/>
                <w:p>
                  <w:pPr>
                    <w:pStyle w:val="Compact"/>
                    <w:jc w:val="right"/>
                    <w:jc w:val="center"/>
                  </w:pPr>
                  <w:r>
                    <w:t xml:space="preserve">0.007</w:t>
                  </w:r>
                </w:p>
              </w:tc>
              <w:tc>
                <w:tcPr/>
                <w:p>
                  <w:pPr>
                    <w:pStyle w:val="Compact"/>
                    <w:jc w:val="right"/>
                    <w:jc w:val="center"/>
                  </w:pPr>
                  <w:r>
                    <w:t xml:space="preserve">2.967</w:t>
                  </w:r>
                </w:p>
              </w:tc>
              <w:tc>
                <w:tcPr/>
                <w:p>
                  <w:pPr>
                    <w:pStyle w:val="Compact"/>
                    <w:jc w:val="right"/>
                    <w:jc w:val="center"/>
                  </w:pPr>
                  <w:r>
                    <w:t xml:space="preserve">0.003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0.014</w:t>
                  </w:r>
                </w:p>
              </w:tc>
              <w:tc>
                <w:tcPr/>
                <w:p>
                  <w:pPr>
                    <w:pStyle w:val="Compact"/>
                    <w:jc w:val="right"/>
                    <w:jc w:val="center"/>
                  </w:pPr>
                  <w:r>
                    <w:t xml:space="preserve">0.007</w:t>
                  </w:r>
                </w:p>
              </w:tc>
              <w:tc>
                <w:tcPr/>
                <w:p>
                  <w:pPr>
                    <w:pStyle w:val="Compact"/>
                    <w:jc w:val="right"/>
                    <w:jc w:val="center"/>
                  </w:pPr>
                  <w:r>
                    <w:t xml:space="preserve">1.888</w:t>
                  </w:r>
                </w:p>
              </w:tc>
              <w:tc>
                <w:tcPr/>
                <w:p>
                  <w:pPr>
                    <w:pStyle w:val="Compact"/>
                    <w:jc w:val="right"/>
                    <w:jc w:val="center"/>
                  </w:pPr>
                  <w:r>
                    <w:t xml:space="preserve">0.059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0.017</w:t>
                  </w:r>
                </w:p>
              </w:tc>
              <w:tc>
                <w:tcPr/>
                <w:p>
                  <w:pPr>
                    <w:pStyle w:val="Compact"/>
                    <w:jc w:val="right"/>
                    <w:jc w:val="center"/>
                  </w:pPr>
                  <w:r>
                    <w:t xml:space="preserve">0.007</w:t>
                  </w:r>
                </w:p>
              </w:tc>
              <w:tc>
                <w:tcPr/>
                <w:p>
                  <w:pPr>
                    <w:pStyle w:val="Compact"/>
                    <w:jc w:val="right"/>
                    <w:jc w:val="center"/>
                  </w:pPr>
                  <w:r>
                    <w:t xml:space="preserve">2.382</w:t>
                  </w:r>
                </w:p>
              </w:tc>
              <w:tc>
                <w:tcPr/>
                <w:p>
                  <w:pPr>
                    <w:pStyle w:val="Compact"/>
                    <w:jc w:val="right"/>
                    <w:jc w:val="center"/>
                  </w:pPr>
                  <w:r>
                    <w:t xml:space="preserve">0.017</w:t>
                  </w:r>
                </w:p>
              </w:tc>
            </w:tr>
          </w:tbl>
          <w:bookmarkEnd w:id="5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1.92)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and uncertainty of outcome hypotheses is weak, with those coefficients barely moving the needle.</w:t>
      </w:r>
      <w:r>
        <w:t xml:space="preserve"> </w:t>
      </w:r>
      <w:r>
        <w:t xml:space="preserve">A 10 percentage point increase in the probability of the home team winning is associated with a modest 4.31% increase in the expected attendance, after controlling for our other factors.</w:t>
      </w:r>
    </w:p>
    <w:tbl>
      <w:tblPr>
        <w:tblStyle w:val="Table"/>
        <w:tblW w:type="pct" w:w="5000"/>
        <w:tblLayout w:type="fixed"/>
        <w:tblLook w:firstRow="0" w:lastRow="0" w:firstColumn="0" w:lastColumn="0" w:noHBand="0" w:noVBand="0" w:val="0000"/>
      </w:tblPr>
      <w:tblGrid>
        <w:gridCol w:w="7920"/>
      </w:tblGrid>
      <w:tr>
        <w:tc>
          <w:tcPr/>
          <w:bookmarkStart w:id="51" w:name="tbl-anova"/>
          <w:p>
            <w:pPr>
              <w:jc w:val="center"/>
            </w:pPr>
            <w:pPr>
              <w:jc w:val="left"/>
              <w:spacing w:before="200"/>
              <w:pStyle w:val="ImageCaption"/>
            </w:pPr>
            <w:r>
              <w:t xml:space="preserve">Table 4: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65"/>
              <w:gridCol w:w="3960"/>
              <w:gridCol w:w="282"/>
              <w:gridCol w:w="754"/>
              <w:gridCol w:w="660"/>
              <w:gridCol w:w="942"/>
              <w:gridCol w:w="754"/>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10.851</w:t>
                  </w:r>
                </w:p>
              </w:tc>
              <w:tc>
                <w:tcPr/>
                <w:p>
                  <w:pPr>
                    <w:pStyle w:val="Compact"/>
                    <w:jc w:val="right"/>
                    <w:jc w:val="center"/>
                  </w:pPr>
                  <w:r>
                    <w:t xml:space="preserve">10.851</w:t>
                  </w:r>
                </w:p>
              </w:tc>
              <w:tc>
                <w:tcPr/>
                <w:p>
                  <w:pPr>
                    <w:pStyle w:val="Compact"/>
                    <w:jc w:val="right"/>
                    <w:jc w:val="center"/>
                  </w:pPr>
                  <w:r>
                    <w:t xml:space="preserve">99.987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40.473</w:t>
                  </w:r>
                </w:p>
              </w:tc>
              <w:tc>
                <w:tcPr/>
                <w:p>
                  <w:pPr>
                    <w:pStyle w:val="Compact"/>
                    <w:jc w:val="right"/>
                    <w:jc w:val="center"/>
                  </w:pPr>
                  <w:r>
                    <w:t xml:space="preserve">40.473</w:t>
                  </w:r>
                </w:p>
              </w:tc>
              <w:tc>
                <w:tcPr/>
                <w:p>
                  <w:pPr>
                    <w:pStyle w:val="Compact"/>
                    <w:jc w:val="right"/>
                    <w:jc w:val="center"/>
                  </w:pPr>
                  <w:r>
                    <w:t xml:space="preserve">401.255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39.923</w:t>
                  </w:r>
                </w:p>
              </w:tc>
              <w:tc>
                <w:tcPr/>
                <w:p>
                  <w:pPr>
                    <w:pStyle w:val="Compact"/>
                    <w:jc w:val="right"/>
                    <w:jc w:val="center"/>
                  </w:pPr>
                  <w:r>
                    <w:t xml:space="preserve">39.923</w:t>
                  </w:r>
                </w:p>
              </w:tc>
              <w:tc>
                <w:tcPr/>
                <w:p>
                  <w:pPr>
                    <w:pStyle w:val="Compact"/>
                    <w:jc w:val="right"/>
                    <w:jc w:val="center"/>
                  </w:pPr>
                  <w:r>
                    <w:t xml:space="preserve">395.845</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22.763</w:t>
                  </w:r>
                </w:p>
              </w:tc>
              <w:tc>
                <w:tcPr/>
                <w:p>
                  <w:pPr>
                    <w:pStyle w:val="Compact"/>
                    <w:jc w:val="right"/>
                    <w:jc w:val="center"/>
                  </w:pPr>
                  <w:r>
                    <w:t xml:space="preserve">22.763</w:t>
                  </w:r>
                </w:p>
              </w:tc>
              <w:tc>
                <w:tcPr/>
                <w:p>
                  <w:pPr>
                    <w:pStyle w:val="Compact"/>
                    <w:jc w:val="right"/>
                    <w:jc w:val="center"/>
                  </w:pPr>
                  <w:r>
                    <w:t xml:space="preserve">225.675</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21.472</w:t>
                  </w:r>
                </w:p>
              </w:tc>
              <w:tc>
                <w:tcPr/>
                <w:p>
                  <w:pPr>
                    <w:pStyle w:val="Compact"/>
                    <w:jc w:val="right"/>
                    <w:jc w:val="center"/>
                  </w:pPr>
                  <w:r>
                    <w:t xml:space="preserve">21.472</w:t>
                  </w:r>
                </w:p>
              </w:tc>
              <w:tc>
                <w:tcPr/>
                <w:p>
                  <w:pPr>
                    <w:pStyle w:val="Compact"/>
                    <w:jc w:val="right"/>
                    <w:jc w:val="center"/>
                  </w:pPr>
                  <w:r>
                    <w:t xml:space="preserve">197.854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19.936</w:t>
                  </w:r>
                </w:p>
              </w:tc>
              <w:tc>
                <w:tcPr/>
                <w:p>
                  <w:pPr>
                    <w:pStyle w:val="Compact"/>
                    <w:jc w:val="right"/>
                    <w:jc w:val="center"/>
                  </w:pPr>
                  <w:r>
                    <w:t xml:space="preserve">19.936</w:t>
                  </w:r>
                </w:p>
              </w:tc>
              <w:tc>
                <w:tcPr/>
                <w:p>
                  <w:pPr>
                    <w:pStyle w:val="Compact"/>
                    <w:jc w:val="right"/>
                    <w:jc w:val="center"/>
                  </w:pPr>
                  <w:r>
                    <w:t xml:space="preserve">197.668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1.502</w:t>
                  </w:r>
                </w:p>
              </w:tc>
              <w:tc>
                <w:tcPr/>
                <w:p>
                  <w:pPr>
                    <w:pStyle w:val="Compact"/>
                    <w:jc w:val="right"/>
                    <w:jc w:val="center"/>
                  </w:pPr>
                  <w:r>
                    <w:t xml:space="preserve">1.502</w:t>
                  </w:r>
                </w:p>
              </w:tc>
              <w:tc>
                <w:tcPr/>
                <w:p>
                  <w:pPr>
                    <w:pStyle w:val="Compact"/>
                    <w:jc w:val="right"/>
                    <w:jc w:val="center"/>
                  </w:pPr>
                  <w:r>
                    <w:t xml:space="preserve">14.890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1.307</w:t>
                  </w:r>
                </w:p>
              </w:tc>
              <w:tc>
                <w:tcPr/>
                <w:p>
                  <w:pPr>
                    <w:pStyle w:val="Compact"/>
                    <w:jc w:val="right"/>
                    <w:jc w:val="center"/>
                  </w:pPr>
                  <w:r>
                    <w:t xml:space="preserve">1.307</w:t>
                  </w:r>
                </w:p>
              </w:tc>
              <w:tc>
                <w:tcPr/>
                <w:p>
                  <w:pPr>
                    <w:pStyle w:val="Compact"/>
                    <w:jc w:val="right"/>
                    <w:jc w:val="center"/>
                  </w:pPr>
                  <w:r>
                    <w:t xml:space="preserve">12.039</w:t>
                  </w:r>
                </w:p>
              </w:tc>
              <w:tc>
                <w:tcPr/>
                <w:p>
                  <w:pPr>
                    <w:pStyle w:val="Compact"/>
                    <w:jc w:val="right"/>
                    <w:jc w:val="center"/>
                  </w:pPr>
                  <w:r>
                    <w:t xml:space="preserve">0.001</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1.629</w:t>
                  </w:r>
                </w:p>
              </w:tc>
              <w:tc>
                <w:tcPr/>
                <w:p>
                  <w:pPr>
                    <w:pStyle w:val="Compact"/>
                    <w:jc w:val="right"/>
                    <w:jc w:val="center"/>
                  </w:pPr>
                  <w:r>
                    <w:t xml:space="preserve">1.629</w:t>
                  </w:r>
                </w:p>
              </w:tc>
              <w:tc>
                <w:tcPr/>
                <w:p>
                  <w:pPr>
                    <w:pStyle w:val="Compact"/>
                    <w:jc w:val="right"/>
                    <w:jc w:val="center"/>
                  </w:pPr>
                  <w:r>
                    <w:t xml:space="preserve">16.153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0.278</w:t>
                  </w:r>
                </w:p>
              </w:tc>
              <w:tc>
                <w:tcPr/>
                <w:p>
                  <w:pPr>
                    <w:pStyle w:val="Compact"/>
                    <w:jc w:val="right"/>
                    <w:jc w:val="center"/>
                  </w:pPr>
                  <w:r>
                    <w:t xml:space="preserve">0.278</w:t>
                  </w:r>
                </w:p>
              </w:tc>
              <w:tc>
                <w:tcPr/>
                <w:p>
                  <w:pPr>
                    <w:pStyle w:val="Compact"/>
                    <w:jc w:val="right"/>
                    <w:jc w:val="center"/>
                  </w:pPr>
                  <w:r>
                    <w:t xml:space="preserve">2.759</w:t>
                  </w:r>
                </w:p>
              </w:tc>
              <w:tc>
                <w:tcPr/>
                <w:p>
                  <w:pPr>
                    <w:pStyle w:val="Compact"/>
                    <w:jc w:val="right"/>
                    <w:jc w:val="center"/>
                  </w:pPr>
                  <w:r>
                    <w:t xml:space="preserve">0.097</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0.322</w:t>
                  </w:r>
                </w:p>
              </w:tc>
              <w:tc>
                <w:tcPr/>
                <w:p>
                  <w:pPr>
                    <w:pStyle w:val="Compact"/>
                    <w:jc w:val="right"/>
                    <w:jc w:val="center"/>
                  </w:pPr>
                  <w:r>
                    <w:t xml:space="preserve">2.964</w:t>
                  </w:r>
                </w:p>
              </w:tc>
              <w:tc>
                <w:tcPr/>
                <w:p>
                  <w:pPr>
                    <w:pStyle w:val="Compact"/>
                    <w:jc w:val="right"/>
                    <w:jc w:val="center"/>
                  </w:pPr>
                  <w:r>
                    <w:t xml:space="preserve">0.085</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0.154</w:t>
                  </w:r>
                </w:p>
              </w:tc>
              <w:tc>
                <w:tcPr/>
                <w:p>
                  <w:pPr>
                    <w:pStyle w:val="Compact"/>
                    <w:jc w:val="right"/>
                    <w:jc w:val="center"/>
                  </w:pPr>
                  <w:r>
                    <w:t xml:space="preserve">0.154</w:t>
                  </w:r>
                </w:p>
              </w:tc>
              <w:tc>
                <w:tcPr/>
                <w:p>
                  <w:pPr>
                    <w:pStyle w:val="Compact"/>
                    <w:jc w:val="right"/>
                    <w:jc w:val="center"/>
                  </w:pPr>
                  <w:r>
                    <w:t xml:space="preserve">1.528</w:t>
                  </w:r>
                </w:p>
              </w:tc>
              <w:tc>
                <w:tcPr/>
                <w:p>
                  <w:pPr>
                    <w:pStyle w:val="Compact"/>
                    <w:jc w:val="right"/>
                    <w:jc w:val="center"/>
                  </w:pPr>
                  <w:r>
                    <w:t xml:space="preserve">0.216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12.644</w:t>
                  </w:r>
                </w:p>
              </w:tc>
              <w:tc>
                <w:tcPr/>
                <w:p>
                  <w:pPr>
                    <w:pStyle w:val="Compact"/>
                    <w:jc w:val="right"/>
                    <w:jc w:val="center"/>
                  </w:pPr>
                  <w:r>
                    <w:t xml:space="preserve">3.161</w:t>
                  </w:r>
                </w:p>
              </w:tc>
              <w:tc>
                <w:tcPr/>
                <w:p>
                  <w:pPr>
                    <w:pStyle w:val="Compact"/>
                    <w:jc w:val="right"/>
                    <w:jc w:val="center"/>
                  </w:pPr>
                  <w:r>
                    <w:t xml:space="preserve">31.339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12.434</w:t>
                  </w:r>
                </w:p>
              </w:tc>
              <w:tc>
                <w:tcPr/>
                <w:p>
                  <w:pPr>
                    <w:pStyle w:val="Compact"/>
                    <w:jc w:val="right"/>
                    <w:jc w:val="center"/>
                  </w:pPr>
                  <w:r>
                    <w:t xml:space="preserve">3.109</w:t>
                  </w:r>
                </w:p>
              </w:tc>
              <w:tc>
                <w:tcPr/>
                <w:p>
                  <w:pPr>
                    <w:pStyle w:val="Compact"/>
                    <w:jc w:val="right"/>
                    <w:jc w:val="center"/>
                  </w:pPr>
                  <w:r>
                    <w:t xml:space="preserve">28.645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11.842</w:t>
                  </w:r>
                </w:p>
              </w:tc>
              <w:tc>
                <w:tcPr/>
                <w:p>
                  <w:pPr>
                    <w:pStyle w:val="Compact"/>
                    <w:jc w:val="right"/>
                    <w:jc w:val="center"/>
                  </w:pPr>
                  <w:r>
                    <w:t xml:space="preserve">2.960</w:t>
                  </w:r>
                </w:p>
              </w:tc>
              <w:tc>
                <w:tcPr/>
                <w:p>
                  <w:pPr>
                    <w:pStyle w:val="Compact"/>
                    <w:jc w:val="right"/>
                    <w:jc w:val="center"/>
                  </w:pPr>
                  <w:r>
                    <w:t xml:space="preserve">29.354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14.323</w:t>
                  </w:r>
                </w:p>
              </w:tc>
              <w:tc>
                <w:tcPr/>
                <w:p>
                  <w:pPr>
                    <w:pStyle w:val="Compact"/>
                    <w:jc w:val="right"/>
                    <w:jc w:val="center"/>
                  </w:pPr>
                  <w:r>
                    <w:t xml:space="preserve">2.387</w:t>
                  </w:r>
                </w:p>
              </w:tc>
              <w:tc>
                <w:tcPr/>
                <w:p>
                  <w:pPr>
                    <w:pStyle w:val="Compact"/>
                    <w:jc w:val="right"/>
                    <w:jc w:val="center"/>
                  </w:pPr>
                  <w:r>
                    <w:t xml:space="preserve">23.667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15.293</w:t>
                  </w:r>
                </w:p>
              </w:tc>
              <w:tc>
                <w:tcPr/>
                <w:p>
                  <w:pPr>
                    <w:pStyle w:val="Compact"/>
                    <w:jc w:val="right"/>
                    <w:jc w:val="center"/>
                  </w:pPr>
                  <w:r>
                    <w:t xml:space="preserve">2.549</w:t>
                  </w:r>
                </w:p>
              </w:tc>
              <w:tc>
                <w:tcPr/>
                <w:p>
                  <w:pPr>
                    <w:pStyle w:val="Compact"/>
                    <w:jc w:val="right"/>
                    <w:jc w:val="center"/>
                  </w:pPr>
                  <w:r>
                    <w:t xml:space="preserve">23.487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14.704</w:t>
                  </w:r>
                </w:p>
              </w:tc>
              <w:tc>
                <w:tcPr/>
                <w:p>
                  <w:pPr>
                    <w:pStyle w:val="Compact"/>
                    <w:jc w:val="right"/>
                    <w:jc w:val="center"/>
                  </w:pPr>
                  <w:r>
                    <w:t xml:space="preserve">2.451</w:t>
                  </w:r>
                </w:p>
              </w:tc>
              <w:tc>
                <w:tcPr/>
                <w:p>
                  <w:pPr>
                    <w:pStyle w:val="Compact"/>
                    <w:jc w:val="right"/>
                    <w:jc w:val="center"/>
                  </w:pPr>
                  <w:r>
                    <w:t xml:space="preserve">24.300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117.498</w:t>
                  </w:r>
                </w:p>
              </w:tc>
              <w:tc>
                <w:tcPr/>
                <w:p>
                  <w:pPr>
                    <w:pStyle w:val="Compact"/>
                    <w:jc w:val="right"/>
                    <w:jc w:val="center"/>
                  </w:pPr>
                  <w:r>
                    <w:t xml:space="preserve">9.791</w:t>
                  </w:r>
                </w:p>
              </w:tc>
              <w:tc>
                <w:tcPr/>
                <w:p>
                  <w:pPr>
                    <w:pStyle w:val="Compact"/>
                    <w:jc w:val="right"/>
                    <w:jc w:val="center"/>
                  </w:pPr>
                  <w:r>
                    <w:t xml:space="preserve">97.074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132.317</w:t>
                  </w:r>
                </w:p>
              </w:tc>
              <w:tc>
                <w:tcPr/>
                <w:p>
                  <w:pPr>
                    <w:pStyle w:val="Compact"/>
                    <w:jc w:val="right"/>
                    <w:jc w:val="center"/>
                  </w:pPr>
                  <w:r>
                    <w:t xml:space="preserve">11.026</w:t>
                  </w:r>
                </w:p>
              </w:tc>
              <w:tc>
                <w:tcPr/>
                <w:p>
                  <w:pPr>
                    <w:pStyle w:val="Compact"/>
                    <w:jc w:val="right"/>
                    <w:jc w:val="center"/>
                  </w:pPr>
                  <w:r>
                    <w:t xml:space="preserve">101.605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122.443</w:t>
                  </w:r>
                </w:p>
              </w:tc>
              <w:tc>
                <w:tcPr/>
                <w:p>
                  <w:pPr>
                    <w:pStyle w:val="Compact"/>
                    <w:jc w:val="right"/>
                    <w:jc w:val="center"/>
                  </w:pPr>
                  <w:r>
                    <w:t xml:space="preserve">10.204</w:t>
                  </w:r>
                </w:p>
              </w:tc>
              <w:tc>
                <w:tcPr/>
                <w:p>
                  <w:pPr>
                    <w:pStyle w:val="Compact"/>
                    <w:jc w:val="right"/>
                    <w:jc w:val="center"/>
                  </w:pPr>
                  <w:r>
                    <w:t xml:space="preserve">101.171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6.526</w:t>
                  </w:r>
                </w:p>
              </w:tc>
              <w:tc>
                <w:tcPr/>
                <w:p>
                  <w:pPr>
                    <w:pStyle w:val="Compact"/>
                    <w:jc w:val="right"/>
                    <w:jc w:val="center"/>
                  </w:pPr>
                  <w:r>
                    <w:t xml:space="preserve">0.251</w:t>
                  </w:r>
                </w:p>
              </w:tc>
              <w:tc>
                <w:tcPr/>
                <w:p>
                  <w:pPr>
                    <w:pStyle w:val="Compact"/>
                    <w:jc w:val="right"/>
                    <w:jc w:val="center"/>
                  </w:pPr>
                  <w:r>
                    <w:t xml:space="preserve">2.313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27.457</w:t>
                  </w:r>
                </w:p>
              </w:tc>
              <w:tc>
                <w:tcPr/>
                <w:p>
                  <w:pPr>
                    <w:pStyle w:val="Compact"/>
                    <w:jc w:val="right"/>
                    <w:jc w:val="center"/>
                  </w:pPr>
                  <w:r>
                    <w:t xml:space="preserve">1.056</w:t>
                  </w:r>
                </w:p>
              </w:tc>
              <w:tc>
                <w:tcPr/>
                <w:p>
                  <w:pPr>
                    <w:pStyle w:val="Compact"/>
                    <w:jc w:val="right"/>
                    <w:jc w:val="center"/>
                  </w:pPr>
                  <w:r>
                    <w:t xml:space="preserve">10.470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31.440</w:t>
                  </w:r>
                </w:p>
              </w:tc>
              <w:tc>
                <w:tcPr/>
                <w:p>
                  <w:pPr>
                    <w:pStyle w:val="Compact"/>
                    <w:jc w:val="right"/>
                    <w:jc w:val="center"/>
                  </w:pPr>
                  <w:r>
                    <w:t xml:space="preserve">1.209</w:t>
                  </w:r>
                </w:p>
              </w:tc>
              <w:tc>
                <w:tcPr/>
                <w:p>
                  <w:pPr>
                    <w:pStyle w:val="Compact"/>
                    <w:jc w:val="right"/>
                    <w:jc w:val="center"/>
                  </w:pPr>
                  <w:r>
                    <w:t xml:space="preserve">11.990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152.181</w:t>
                  </w:r>
                </w:p>
              </w:tc>
              <w:tc>
                <w:tcPr/>
                <w:p>
                  <w:pPr>
                    <w:pStyle w:val="Compact"/>
                    <w:jc w:val="right"/>
                    <w:jc w:val="center"/>
                  </w:pPr>
                  <w:r>
                    <w:t xml:space="preserve">5.853</w:t>
                  </w:r>
                </w:p>
              </w:tc>
              <w:tc>
                <w:tcPr/>
                <w:p>
                  <w:pPr>
                    <w:pStyle w:val="Compact"/>
                    <w:jc w:val="right"/>
                    <w:jc w:val="center"/>
                  </w:pPr>
                  <w:r>
                    <w:t xml:space="preserve">58.029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150.433</w:t>
                  </w:r>
                </w:p>
              </w:tc>
              <w:tc>
                <w:tcPr/>
                <w:p>
                  <w:pPr>
                    <w:pStyle w:val="Compact"/>
                    <w:jc w:val="right"/>
                    <w:jc w:val="center"/>
                  </w:pPr>
                  <w:r>
                    <w:t xml:space="preserve">5.786</w:t>
                  </w:r>
                </w:p>
              </w:tc>
              <w:tc>
                <w:tcPr/>
                <w:p>
                  <w:pPr>
                    <w:pStyle w:val="Compact"/>
                    <w:jc w:val="right"/>
                    <w:jc w:val="center"/>
                  </w:pPr>
                  <w:r>
                    <w:t xml:space="preserve">53.315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147.101</w:t>
                  </w:r>
                </w:p>
              </w:tc>
              <w:tc>
                <w:tcPr/>
                <w:p>
                  <w:pPr>
                    <w:pStyle w:val="Compact"/>
                    <w:jc w:val="right"/>
                    <w:jc w:val="center"/>
                  </w:pPr>
                  <w:r>
                    <w:t xml:space="preserve">5.658</w:t>
                  </w:r>
                </w:p>
              </w:tc>
              <w:tc>
                <w:tcPr/>
                <w:p>
                  <w:pPr>
                    <w:pStyle w:val="Compact"/>
                    <w:jc w:val="right"/>
                    <w:jc w:val="center"/>
                  </w:pPr>
                  <w:r>
                    <w:t xml:space="preserve">56.098</w:t>
                  </w:r>
                </w:p>
              </w:tc>
              <w:tc>
                <w:tcPr/>
                <w:p>
                  <w:pPr>
                    <w:pStyle w:val="Compact"/>
                    <w:jc w:val="right"/>
                    <w:jc w:val="center"/>
                  </w:pPr>
                  <w:r>
                    <w:t xml:space="preserve">0.000</w:t>
                  </w:r>
                </w:p>
              </w:tc>
            </w:tr>
          </w:tbl>
          <w:bookmarkEnd w:id="5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5</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52" w:name="tbl-glance"/>
          <w:p>
            <w:pPr>
              <w:jc w:val="center"/>
            </w:pPr>
            <w:pPr>
              <w:jc w:val="left"/>
              <w:spacing w:before="200"/>
              <w:pStyle w:val="ImageCaption"/>
            </w:pPr>
            <w:r>
              <w:t xml:space="preserve">Table 5: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0.436</w:t>
                  </w:r>
                </w:p>
              </w:tc>
              <w:tc>
                <w:tcPr/>
                <w:p>
                  <w:pPr>
                    <w:pStyle w:val="Compact"/>
                    <w:jc w:val="right"/>
                    <w:jc w:val="center"/>
                  </w:pPr>
                  <w:r>
                    <w:t xml:space="preserve">0.427</w:t>
                  </w:r>
                </w:p>
              </w:tc>
              <w:tc>
                <w:tcPr/>
                <w:p>
                  <w:pPr>
                    <w:pStyle w:val="Compact"/>
                    <w:jc w:val="right"/>
                    <w:jc w:val="center"/>
                  </w:pPr>
                  <w:r>
                    <w:t xml:space="preserve">0.318</w:t>
                  </w:r>
                </w:p>
              </w:tc>
              <w:tc>
                <w:tcPr/>
                <w:p>
                  <w:pPr>
                    <w:pStyle w:val="Compact"/>
                    <w:jc w:val="right"/>
                    <w:jc w:val="center"/>
                  </w:pPr>
                  <w:r>
                    <w:t xml:space="preserve">49.459</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-1337.102</w:t>
                  </w:r>
                </w:p>
              </w:tc>
              <w:tc>
                <w:tcPr/>
                <w:p>
                  <w:pPr>
                    <w:pStyle w:val="Compact"/>
                    <w:jc w:val="right"/>
                    <w:jc w:val="center"/>
                  </w:pPr>
                  <w:r>
                    <w:t xml:space="preserve">2834.204</w:t>
                  </w:r>
                </w:p>
              </w:tc>
              <w:tc>
                <w:tcPr/>
                <w:p>
                  <w:pPr>
                    <w:pStyle w:val="Compact"/>
                    <w:jc w:val="right"/>
                    <w:jc w:val="center"/>
                  </w:pPr>
                  <w:r>
                    <w:t xml:space="preserve">3356.582</w:t>
                  </w:r>
                </w:p>
              </w:tc>
              <w:tc>
                <w:tcPr/>
                <w:p>
                  <w:pPr>
                    <w:pStyle w:val="Compact"/>
                    <w:jc w:val="right"/>
                    <w:jc w:val="center"/>
                  </w:pPr>
                  <w:r>
                    <w:t xml:space="preserve">502.715</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0.394</w:t>
                  </w:r>
                </w:p>
              </w:tc>
              <w:tc>
                <w:tcPr/>
                <w:p>
                  <w:pPr>
                    <w:pStyle w:val="Compact"/>
                    <w:jc w:val="right"/>
                    <w:jc w:val="center"/>
                  </w:pPr>
                  <w:r>
                    <w:t xml:space="preserve">0.384</w:t>
                  </w:r>
                </w:p>
              </w:tc>
              <w:tc>
                <w:tcPr/>
                <w:p>
                  <w:pPr>
                    <w:pStyle w:val="Compact"/>
                    <w:jc w:val="right"/>
                    <w:jc w:val="center"/>
                  </w:pPr>
                  <w:r>
                    <w:t xml:space="preserve">0.329</w:t>
                  </w:r>
                </w:p>
              </w:tc>
              <w:tc>
                <w:tcPr/>
                <w:p>
                  <w:pPr>
                    <w:pStyle w:val="Compact"/>
                    <w:jc w:val="right"/>
                    <w:jc w:val="center"/>
                  </w:pPr>
                  <w:r>
                    <w:t xml:space="preserve">41.460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-1522.340</w:t>
                  </w:r>
                </w:p>
              </w:tc>
              <w:tc>
                <w:tcPr/>
                <w:p>
                  <w:pPr>
                    <w:pStyle w:val="Compact"/>
                    <w:jc w:val="right"/>
                    <w:jc w:val="center"/>
                  </w:pPr>
                  <w:r>
                    <w:t xml:space="preserve">3204.680</w:t>
                  </w:r>
                </w:p>
              </w:tc>
              <w:tc>
                <w:tcPr/>
                <w:p>
                  <w:pPr>
                    <w:pStyle w:val="Compact"/>
                    <w:jc w:val="right"/>
                    <w:jc w:val="center"/>
                  </w:pPr>
                  <w:r>
                    <w:t xml:space="preserve">3727.057</w:t>
                  </w:r>
                </w:p>
              </w:tc>
              <w:tc>
                <w:tcPr/>
                <w:p>
                  <w:pPr>
                    <w:pStyle w:val="Compact"/>
                    <w:jc w:val="right"/>
                    <w:jc w:val="center"/>
                  </w:pPr>
                  <w:r>
                    <w:t xml:space="preserve">540.879</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0.436</w:t>
                  </w:r>
                </w:p>
              </w:tc>
              <w:tc>
                <w:tcPr/>
                <w:p>
                  <w:pPr>
                    <w:pStyle w:val="Compact"/>
                    <w:jc w:val="right"/>
                    <w:jc w:val="center"/>
                  </w:pPr>
                  <w:r>
                    <w:t xml:space="preserve">0.428</w:t>
                  </w:r>
                </w:p>
              </w:tc>
              <w:tc>
                <w:tcPr/>
                <w:p>
                  <w:pPr>
                    <w:pStyle w:val="Compact"/>
                    <w:jc w:val="right"/>
                    <w:jc w:val="center"/>
                  </w:pPr>
                  <w:r>
                    <w:t xml:space="preserve">0.318</w:t>
                  </w:r>
                </w:p>
              </w:tc>
              <w:tc>
                <w:tcPr/>
                <w:p>
                  <w:pPr>
                    <w:pStyle w:val="Compact"/>
                    <w:jc w:val="right"/>
                    <w:jc w:val="center"/>
                  </w:pPr>
                  <w:r>
                    <w:t xml:space="preserve">49.471</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-1336.828</w:t>
                  </w:r>
                </w:p>
              </w:tc>
              <w:tc>
                <w:tcPr/>
                <w:p>
                  <w:pPr>
                    <w:pStyle w:val="Compact"/>
                    <w:jc w:val="right"/>
                    <w:jc w:val="center"/>
                  </w:pPr>
                  <w:r>
                    <w:t xml:space="preserve">2833.656</w:t>
                  </w:r>
                </w:p>
              </w:tc>
              <w:tc>
                <w:tcPr/>
                <w:p>
                  <w:pPr>
                    <w:pStyle w:val="Compact"/>
                    <w:jc w:val="right"/>
                    <w:jc w:val="center"/>
                  </w:pPr>
                  <w:r>
                    <w:t xml:space="preserve">3356.033</w:t>
                  </w:r>
                </w:p>
              </w:tc>
              <w:tc>
                <w:tcPr/>
                <w:p>
                  <w:pPr>
                    <w:pStyle w:val="Compact"/>
                    <w:jc w:val="right"/>
                    <w:jc w:val="center"/>
                  </w:pPr>
                  <w:r>
                    <w:t xml:space="preserve">502.660</w:t>
                  </w:r>
                </w:p>
              </w:tc>
              <w:tc>
                <w:tcPr/>
                <w:p>
                  <w:pPr>
                    <w:pStyle w:val="Compact"/>
                    <w:jc w:val="right"/>
                    <w:jc w:val="center"/>
                  </w:pPr>
                  <w:r>
                    <w:t xml:space="preserve">4984</w:t>
                  </w:r>
                </w:p>
              </w:tc>
              <w:tc>
                <w:tcPr/>
                <w:p>
                  <w:pPr>
                    <w:pStyle w:val="Compact"/>
                    <w:jc w:val="right"/>
                    <w:jc w:val="center"/>
                  </w:pPr>
                  <w:r>
                    <w:t xml:space="preserve">5063</w:t>
                  </w:r>
                </w:p>
              </w:tc>
            </w:tr>
          </w:tbl>
          <w:bookmarkEnd w:id="5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5</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57" w:name="cell-fig-season-coefs"/>
    <w:tbl>
      <w:tblPr>
        <w:tblStyle w:val="Table"/>
        <w:tblW w:type="pct" w:w="5000"/>
        <w:tblLayout w:type="fixed"/>
        <w:tblLook w:firstRow="0" w:lastRow="0" w:firstColumn="0" w:lastColumn="0" w:noHBand="0" w:noVBand="0" w:val="0000"/>
      </w:tblPr>
      <w:tblGrid>
        <w:gridCol w:w="7920"/>
      </w:tblGrid>
      <w:tr>
        <w:tc>
          <w:tcPr/>
          <w:bookmarkStart w:id="56" w:name="fig-season-coefs"/>
          <w:p>
            <w:pPr>
              <w:pStyle w:val="Compact"/>
              <w:jc w:val="center"/>
            </w:pPr>
            <w:r>
              <w:drawing>
                <wp:inline>
                  <wp:extent cx="4620126" cy="3696101"/>
                  <wp:effectExtent b="0" l="0" r="0" t="0"/>
                  <wp:docPr descr="" title="" id="54" name="Picture"/>
                  <a:graphic>
                    <a:graphicData uri="http://schemas.openxmlformats.org/drawingml/2006/picture">
                      <pic:pic>
                        <pic:nvPicPr>
                          <pic:cNvPr descr="index_files/figure-docx/fig-season-coef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season-level fixed effects for natural logarithm of attendance models.</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p>
      <w:pPr>
        <w:pStyle w:val="BodyText"/>
      </w:pPr>
      <w:hyperlink w:anchor="fig-season-slopes">
        <w:r>
          <w:rPr>
            <w:rStyle w:val="Hyperlink"/>
          </w:rPr>
          <w:t xml:space="preserve">Figure 6</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62" w:name="cell-fig-season-slopes"/>
    <w:tbl>
      <w:tblPr>
        <w:tblStyle w:val="Table"/>
        <w:tblW w:type="pct" w:w="5000"/>
        <w:tblLayout w:type="fixed"/>
        <w:tblLook w:firstRow="0" w:lastRow="0" w:firstColumn="0" w:lastColumn="0" w:noHBand="0" w:noVBand="0" w:val="0000"/>
      </w:tblPr>
      <w:tblGrid>
        <w:gridCol w:w="7920"/>
      </w:tblGrid>
      <w:tr>
        <w:tc>
          <w:tcPr/>
          <w:bookmarkStart w:id="61" w:name="fig-season-slopes"/>
          <w:p>
            <w:pPr>
              <w:pStyle w:val="Compact"/>
              <w:jc w:val="center"/>
            </w:pPr>
            <w:r>
              <w:drawing>
                <wp:inline>
                  <wp:extent cx="4620126" cy="3696101"/>
                  <wp:effectExtent b="0" l="0" r="0" t="0"/>
                  <wp:docPr descr="" title="" id="59" name="Picture"/>
                  <a:graphic>
                    <a:graphicData uri="http://schemas.openxmlformats.org/drawingml/2006/picture">
                      <pic:pic>
                        <pic:nvPicPr>
                          <pic:cNvPr descr="index_files/figure-docx/fig-season-slop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Estimated season-level changes in slopes for natural logarithm of attendance models.</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Start w:id="77"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6</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4" w:name="tbl-coefs2"/>
          <w:p>
            <w:pPr>
              <w:jc w:val="center"/>
            </w:pPr>
            <w:pPr>
              <w:jc w:val="left"/>
              <w:spacing w:before="200"/>
              <w:pStyle w:val="ImageCaption"/>
            </w:pPr>
            <w:r>
              <w:t xml:space="preserve">Table 6: Table of coefficients from percentage of arena capacity models.</w:t>
            </w:r>
          </w:p>
          <w:tbl>
            <w:tblPr>
              <w:tblStyle w:val="Table"/>
              <w:tblW w:type="pct" w:w="5000"/>
              <w:tblLayout w:type="fixed"/>
              <w:tblLook w:firstRow="1" w:lastRow="0" w:firstColumn="0" w:lastColumn="0" w:noHBand="0" w:noVBand="0" w:val="0020"/>
            </w:tblPr>
            <w:tblGrid>
              <w:gridCol w:w="660"/>
              <w:gridCol w:w="2640"/>
              <w:gridCol w:w="1210"/>
              <w:gridCol w:w="1100"/>
              <w:gridCol w:w="1210"/>
              <w:gridCol w:w="110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0.0420351</w:t>
                  </w:r>
                </w:p>
              </w:tc>
              <w:tc>
                <w:tcPr/>
                <w:p>
                  <w:pPr>
                    <w:pStyle w:val="Compact"/>
                    <w:jc w:val="right"/>
                    <w:jc w:val="center"/>
                  </w:pPr>
                  <w:r>
                    <w:t xml:space="preserve">0.3060837</w:t>
                  </w:r>
                </w:p>
              </w:tc>
              <w:tc>
                <w:tcPr/>
                <w:p>
                  <w:pPr>
                    <w:pStyle w:val="Compact"/>
                    <w:jc w:val="right"/>
                    <w:jc w:val="center"/>
                  </w:pPr>
                  <w:r>
                    <w:t xml:space="preserve">0.1373320</w:t>
                  </w:r>
                </w:p>
              </w:tc>
              <w:tc>
                <w:tcPr/>
                <w:p>
                  <w:pPr>
                    <w:pStyle w:val="Compact"/>
                    <w:jc w:val="right"/>
                    <w:jc w:val="center"/>
                  </w:pPr>
                  <w:r>
                    <w:t xml:space="preserve">0.8907684</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0.0053038</w:t>
                  </w:r>
                </w:p>
              </w:tc>
              <w:tc>
                <w:tcPr/>
                <w:p>
                  <w:pPr>
                    <w:pStyle w:val="Compact"/>
                    <w:jc w:val="right"/>
                    <w:jc w:val="center"/>
                  </w:pPr>
                  <w:r>
                    <w:t xml:space="preserve">0.0012483</w:t>
                  </w:r>
                </w:p>
              </w:tc>
              <w:tc>
                <w:tcPr/>
                <w:p>
                  <w:pPr>
                    <w:pStyle w:val="Compact"/>
                    <w:jc w:val="right"/>
                    <w:jc w:val="center"/>
                  </w:pPr>
                  <w:r>
                    <w:t xml:space="preserve">4.2489239</w:t>
                  </w:r>
                </w:p>
              </w:tc>
              <w:tc>
                <w:tcPr/>
                <w:p>
                  <w:pPr>
                    <w:pStyle w:val="Compact"/>
                    <w:jc w:val="right"/>
                    <w:jc w:val="center"/>
                  </w:pPr>
                  <w:r>
                    <w:t xml:space="preserve">0.0000215</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0.0192855</w:t>
                  </w:r>
                </w:p>
              </w:tc>
              <w:tc>
                <w:tcPr/>
                <w:p>
                  <w:pPr>
                    <w:pStyle w:val="Compact"/>
                    <w:jc w:val="right"/>
                    <w:jc w:val="center"/>
                  </w:pPr>
                  <w:r>
                    <w:t xml:space="preserve">0.0046684</w:t>
                  </w:r>
                </w:p>
              </w:tc>
              <w:tc>
                <w:tcPr/>
                <w:p>
                  <w:pPr>
                    <w:pStyle w:val="Compact"/>
                    <w:jc w:val="right"/>
                    <w:jc w:val="center"/>
                  </w:pPr>
                  <w:r>
                    <w:t xml:space="preserve">4.1310605</w:t>
                  </w:r>
                </w:p>
              </w:tc>
              <w:tc>
                <w:tcPr/>
                <w:p>
                  <w:pPr>
                    <w:pStyle w:val="Compact"/>
                    <w:jc w:val="right"/>
                    <w:jc w:val="center"/>
                  </w:pPr>
                  <w:r>
                    <w:t xml:space="preserve">0.0000361</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-0.0975090</w:t>
                  </w:r>
                </w:p>
              </w:tc>
              <w:tc>
                <w:tcPr/>
                <w:p>
                  <w:pPr>
                    <w:pStyle w:val="Compact"/>
                    <w:jc w:val="right"/>
                    <w:jc w:val="center"/>
                  </w:pPr>
                  <w:r>
                    <w:t xml:space="preserve">0.0147117</w:t>
                  </w:r>
                </w:p>
              </w:tc>
              <w:tc>
                <w:tcPr/>
                <w:p>
                  <w:pPr>
                    <w:pStyle w:val="Compact"/>
                    <w:jc w:val="right"/>
                    <w:jc w:val="center"/>
                  </w:pPr>
                  <w:r>
                    <w:t xml:space="preserve">-6.6279729</w:t>
                  </w:r>
                </w:p>
              </w:tc>
              <w:tc>
                <w:tcPr/>
                <w:p>
                  <w:pPr>
                    <w:pStyle w:val="Compact"/>
                    <w:jc w:val="right"/>
                    <w:jc w:val="center"/>
                  </w:pPr>
                  <w:r>
                    <w:t xml:space="preserve">0.0000000</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2.8268291</w:t>
                  </w:r>
                </w:p>
              </w:tc>
              <w:tc>
                <w:tcPr/>
                <w:p>
                  <w:pPr>
                    <w:pStyle w:val="Compact"/>
                    <w:jc w:val="right"/>
                    <w:jc w:val="center"/>
                  </w:pPr>
                  <w:r>
                    <w:t xml:space="preserve">0.2623045</w:t>
                  </w:r>
                </w:p>
              </w:tc>
              <w:tc>
                <w:tcPr/>
                <w:p>
                  <w:pPr>
                    <w:pStyle w:val="Compact"/>
                    <w:jc w:val="right"/>
                    <w:jc w:val="center"/>
                  </w:pPr>
                  <w:r>
                    <w:t xml:space="preserve">10.7768979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0.3066991</w:t>
                  </w:r>
                </w:p>
              </w:tc>
              <w:tc>
                <w:tcPr/>
                <w:p>
                  <w:pPr>
                    <w:pStyle w:val="Compact"/>
                    <w:jc w:val="right"/>
                    <w:jc w:val="center"/>
                  </w:pPr>
                  <w:r>
                    <w:t xml:space="preserve">0.3737256</w:t>
                  </w:r>
                </w:p>
              </w:tc>
              <w:tc>
                <w:tcPr/>
                <w:p>
                  <w:pPr>
                    <w:pStyle w:val="Compact"/>
                    <w:jc w:val="right"/>
                    <w:jc w:val="center"/>
                  </w:pPr>
                  <w:r>
                    <w:t xml:space="preserve">0.8206531</w:t>
                  </w:r>
                </w:p>
              </w:tc>
              <w:tc>
                <w:tcPr/>
                <w:p>
                  <w:pPr>
                    <w:pStyle w:val="Compact"/>
                    <w:jc w:val="right"/>
                    <w:jc w:val="center"/>
                  </w:pPr>
                  <w:r>
                    <w:t xml:space="preserve">0.4118439</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-0.0012487</w:t>
                  </w:r>
                </w:p>
              </w:tc>
              <w:tc>
                <w:tcPr/>
                <w:p>
                  <w:pPr>
                    <w:pStyle w:val="Compact"/>
                    <w:jc w:val="right"/>
                    <w:jc w:val="center"/>
                  </w:pPr>
                  <w:r>
                    <w:t xml:space="preserve">0.0029263</w:t>
                  </w:r>
                </w:p>
              </w:tc>
              <w:tc>
                <w:tcPr/>
                <w:p>
                  <w:pPr>
                    <w:pStyle w:val="Compact"/>
                    <w:jc w:val="right"/>
                    <w:jc w:val="center"/>
                  </w:pPr>
                  <w:r>
                    <w:t xml:space="preserve">-0.4267265</w:t>
                  </w:r>
                </w:p>
              </w:tc>
              <w:tc>
                <w:tcPr/>
                <w:p>
                  <w:pPr>
                    <w:pStyle w:val="Compact"/>
                    <w:jc w:val="right"/>
                    <w:jc w:val="center"/>
                  </w:pPr>
                  <w:r>
                    <w:t xml:space="preserve">0.6695786</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0.0164644</w:t>
                  </w:r>
                </w:p>
              </w:tc>
              <w:tc>
                <w:tcPr/>
                <w:p>
                  <w:pPr>
                    <w:pStyle w:val="Compact"/>
                    <w:jc w:val="right"/>
                    <w:jc w:val="center"/>
                  </w:pPr>
                  <w:r>
                    <w:t xml:space="preserve">0.0046623</w:t>
                  </w:r>
                </w:p>
              </w:tc>
              <w:tc>
                <w:tcPr/>
                <w:p>
                  <w:pPr>
                    <w:pStyle w:val="Compact"/>
                    <w:jc w:val="right"/>
                    <w:jc w:val="center"/>
                  </w:pPr>
                  <w:r>
                    <w:t xml:space="preserve">3.5314191</w:t>
                  </w:r>
                </w:p>
              </w:tc>
              <w:tc>
                <w:tcPr/>
                <w:p>
                  <w:pPr>
                    <w:pStyle w:val="Compact"/>
                    <w:jc w:val="right"/>
                    <w:jc w:val="center"/>
                  </w:pPr>
                  <w:r>
                    <w:t xml:space="preserve">0.0004133</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-0.0948250</w:t>
                  </w:r>
                </w:p>
              </w:tc>
              <w:tc>
                <w:tcPr/>
                <w:p>
                  <w:pPr>
                    <w:pStyle w:val="Compact"/>
                    <w:jc w:val="right"/>
                    <w:jc w:val="center"/>
                  </w:pPr>
                  <w:r>
                    <w:t xml:space="preserve">0.0144747</w:t>
                  </w:r>
                </w:p>
              </w:tc>
              <w:tc>
                <w:tcPr/>
                <w:p>
                  <w:pPr>
                    <w:pStyle w:val="Compact"/>
                    <w:jc w:val="right"/>
                    <w:jc w:val="center"/>
                  </w:pPr>
                  <w:r>
                    <w:t xml:space="preserve">-6.5511069</w:t>
                  </w:r>
                </w:p>
              </w:tc>
              <w:tc>
                <w:tcPr/>
                <w:p>
                  <w:pPr>
                    <w:pStyle w:val="Compact"/>
                    <w:jc w:val="right"/>
                    <w:jc w:val="center"/>
                  </w:pPr>
                  <w:r>
                    <w:t xml:space="preserve">0.0000000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2.9022797</w:t>
                  </w:r>
                </w:p>
              </w:tc>
              <w:tc>
                <w:tcPr/>
                <w:p>
                  <w:pPr>
                    <w:pStyle w:val="Compact"/>
                    <w:jc w:val="right"/>
                    <w:jc w:val="center"/>
                  </w:pPr>
                  <w:r>
                    <w:t xml:space="preserve">0.2595776</w:t>
                  </w:r>
                </w:p>
              </w:tc>
              <w:tc>
                <w:tcPr/>
                <w:p>
                  <w:pPr>
                    <w:pStyle w:val="Compact"/>
                    <w:jc w:val="right"/>
                    <w:jc w:val="center"/>
                  </w:pPr>
                  <w:r>
                    <w:t xml:space="preserve">11.1807804</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0.0502670</w:t>
                  </w:r>
                </w:p>
              </w:tc>
              <w:tc>
                <w:tcPr/>
                <w:p>
                  <w:pPr>
                    <w:pStyle w:val="Compact"/>
                    <w:jc w:val="right"/>
                    <w:jc w:val="center"/>
                  </w:pPr>
                  <w:r>
                    <w:t xml:space="preserve">0.3202932</w:t>
                  </w:r>
                </w:p>
              </w:tc>
              <w:tc>
                <w:tcPr/>
                <w:p>
                  <w:pPr>
                    <w:pStyle w:val="Compact"/>
                    <w:jc w:val="right"/>
                    <w:jc w:val="center"/>
                  </w:pPr>
                  <w:r>
                    <w:t xml:space="preserve">0.1569407</w:t>
                  </w:r>
                </w:p>
              </w:tc>
              <w:tc>
                <w:tcPr/>
                <w:p>
                  <w:pPr>
                    <w:pStyle w:val="Compact"/>
                    <w:jc w:val="right"/>
                    <w:jc w:val="center"/>
                  </w:pPr>
                  <w:r>
                    <w:t xml:space="preserve">0.8752916</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2.3584200</w:t>
                  </w:r>
                </w:p>
              </w:tc>
              <w:tc>
                <w:tcPr/>
                <w:p>
                  <w:pPr>
                    <w:pStyle w:val="Compact"/>
                    <w:jc w:val="right"/>
                    <w:jc w:val="center"/>
                  </w:pPr>
                  <w:r>
                    <w:t xml:space="preserve">0.8986874</w:t>
                  </w:r>
                </w:p>
              </w:tc>
              <w:tc>
                <w:tcPr/>
                <w:p>
                  <w:pPr>
                    <w:pStyle w:val="Compact"/>
                    <w:jc w:val="right"/>
                    <w:jc w:val="center"/>
                  </w:pPr>
                  <w:r>
                    <w:t xml:space="preserve">2.6242941</w:t>
                  </w:r>
                </w:p>
              </w:tc>
              <w:tc>
                <w:tcPr/>
                <w:p>
                  <w:pPr>
                    <w:pStyle w:val="Compact"/>
                    <w:jc w:val="right"/>
                    <w:jc w:val="center"/>
                  </w:pPr>
                  <w:r>
                    <w:t xml:space="preserve">0.0086829</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0.0179402</w:t>
                  </w:r>
                </w:p>
              </w:tc>
              <w:tc>
                <w:tcPr/>
                <w:p>
                  <w:pPr>
                    <w:pStyle w:val="Compact"/>
                    <w:jc w:val="right"/>
                    <w:jc w:val="center"/>
                  </w:pPr>
                  <w:r>
                    <w:t xml:space="preserve">0.0047330</w:t>
                  </w:r>
                </w:p>
              </w:tc>
              <w:tc>
                <w:tcPr/>
                <w:p>
                  <w:pPr>
                    <w:pStyle w:val="Compact"/>
                    <w:jc w:val="right"/>
                    <w:jc w:val="center"/>
                  </w:pPr>
                  <w:r>
                    <w:t xml:space="preserve">3.7904230</w:t>
                  </w:r>
                </w:p>
              </w:tc>
              <w:tc>
                <w:tcPr/>
                <w:p>
                  <w:pPr>
                    <w:pStyle w:val="Compact"/>
                    <w:jc w:val="right"/>
                    <w:jc w:val="center"/>
                  </w:pPr>
                  <w:r>
                    <w:t xml:space="preserve">0.0001504</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-0.1017634</w:t>
                  </w:r>
                </w:p>
              </w:tc>
              <w:tc>
                <w:tcPr/>
                <w:p>
                  <w:pPr>
                    <w:pStyle w:val="Compact"/>
                    <w:jc w:val="right"/>
                    <w:jc w:val="center"/>
                  </w:pPr>
                  <w:r>
                    <w:t xml:space="preserve">0.0149716</w:t>
                  </w:r>
                </w:p>
              </w:tc>
              <w:tc>
                <w:tcPr/>
                <w:p>
                  <w:pPr>
                    <w:pStyle w:val="Compact"/>
                    <w:jc w:val="right"/>
                    <w:jc w:val="center"/>
                  </w:pPr>
                  <w:r>
                    <w:t xml:space="preserve">-6.7970886</w:t>
                  </w:r>
                </w:p>
              </w:tc>
              <w:tc>
                <w:tcPr/>
                <w:p>
                  <w:pPr>
                    <w:pStyle w:val="Compact"/>
                    <w:jc w:val="right"/>
                    <w:jc w:val="center"/>
                  </w:pPr>
                  <w:r>
                    <w:t xml:space="preserve">0.0000000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2.8717453</w:t>
                  </w:r>
                </w:p>
              </w:tc>
              <w:tc>
                <w:tcPr/>
                <w:p>
                  <w:pPr>
                    <w:pStyle w:val="Compact"/>
                    <w:jc w:val="right"/>
                    <w:jc w:val="center"/>
                  </w:pPr>
                  <w:r>
                    <w:t xml:space="preserve">0.2611669</w:t>
                  </w:r>
                </w:p>
              </w:tc>
              <w:tc>
                <w:tcPr/>
                <w:p>
                  <w:pPr>
                    <w:pStyle w:val="Compact"/>
                    <w:jc w:val="right"/>
                    <w:jc w:val="center"/>
                  </w:pPr>
                  <w:r>
                    <w:t xml:space="preserve">10.9958230</w:t>
                  </w:r>
                </w:p>
              </w:tc>
              <w:tc>
                <w:tcPr/>
                <w:p>
                  <w:pPr>
                    <w:pStyle w:val="Compact"/>
                    <w:jc w:val="right"/>
                    <w:jc w:val="center"/>
                  </w:pPr>
                  <w:r>
                    <w:t xml:space="preserve">0.0000000</w:t>
                  </w:r>
                </w:p>
              </w:tc>
            </w:tr>
          </w:tbl>
          <w:bookmarkEnd w:id="64"/>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7</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5" w:name="tbl-glance2"/>
          <w:p>
            <w:pPr>
              <w:jc w:val="center"/>
            </w:pPr>
            <w:pPr>
              <w:jc w:val="left"/>
              <w:spacing w:before="200"/>
              <w:pStyle w:val="ImageCaption"/>
            </w:pPr>
            <w:r>
              <w:t xml:space="preserve">Table 7: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-2973.023</w:t>
                  </w:r>
                </w:p>
              </w:tc>
              <w:tc>
                <w:tcPr/>
                <w:p>
                  <w:pPr>
                    <w:pStyle w:val="Compact"/>
                    <w:jc w:val="right"/>
                    <w:jc w:val="center"/>
                  </w:pPr>
                  <w:r>
                    <w:t xml:space="preserve">6104.046</w:t>
                  </w:r>
                </w:p>
              </w:tc>
              <w:tc>
                <w:tcPr/>
                <w:p>
                  <w:pPr>
                    <w:pStyle w:val="Compact"/>
                    <w:jc w:val="right"/>
                    <w:jc w:val="center"/>
                  </w:pPr>
                  <w:r>
                    <w:t xml:space="preserve">6619.894</w:t>
                  </w:r>
                </w:p>
              </w:tc>
              <w:tc>
                <w:tcPr/>
                <w:p>
                  <w:pPr>
                    <w:pStyle w:val="Compact"/>
                    <w:jc w:val="right"/>
                    <w:jc w:val="center"/>
                  </w:pPr>
                  <w:r>
                    <w:t xml:space="preserve">559.5177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-2999.275</w:t>
                  </w:r>
                </w:p>
              </w:tc>
              <w:tc>
                <w:tcPr/>
                <w:p>
                  <w:pPr>
                    <w:pStyle w:val="Compact"/>
                    <w:jc w:val="right"/>
                    <w:jc w:val="center"/>
                  </w:pPr>
                  <w:r>
                    <w:t xml:space="preserve">6156.550</w:t>
                  </w:r>
                </w:p>
              </w:tc>
              <w:tc>
                <w:tcPr/>
                <w:p>
                  <w:pPr>
                    <w:pStyle w:val="Compact"/>
                    <w:jc w:val="right"/>
                    <w:jc w:val="center"/>
                  </w:pPr>
                  <w:r>
                    <w:t xml:space="preserve">6672.398</w:t>
                  </w:r>
                </w:p>
              </w:tc>
              <w:tc>
                <w:tcPr/>
                <w:p>
                  <w:pPr>
                    <w:pStyle w:val="Compact"/>
                    <w:jc w:val="right"/>
                    <w:jc w:val="center"/>
                  </w:pPr>
                  <w:r>
                    <w:t xml:space="preserve">574.1421</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-2986.255</w:t>
                  </w:r>
                </w:p>
              </w:tc>
              <w:tc>
                <w:tcPr/>
                <w:p>
                  <w:pPr>
                    <w:pStyle w:val="Compact"/>
                    <w:jc w:val="right"/>
                    <w:jc w:val="center"/>
                  </w:pPr>
                  <w:r>
                    <w:t xml:space="preserve">6130.510</w:t>
                  </w:r>
                </w:p>
              </w:tc>
              <w:tc>
                <w:tcPr/>
                <w:p>
                  <w:pPr>
                    <w:pStyle w:val="Compact"/>
                    <w:jc w:val="right"/>
                    <w:jc w:val="center"/>
                  </w:pPr>
                  <w:r>
                    <w:t xml:space="preserve">6646.358</w:t>
                  </w:r>
                </w:p>
              </w:tc>
              <w:tc>
                <w:tcPr/>
                <w:p>
                  <w:pPr>
                    <w:pStyle w:val="Compact"/>
                    <w:jc w:val="right"/>
                    <w:jc w:val="center"/>
                  </w:pPr>
                  <w:r>
                    <w:t xml:space="preserve">564.3610</w:t>
                  </w:r>
                </w:p>
              </w:tc>
              <w:tc>
                <w:tcPr/>
                <w:p>
                  <w:pPr>
                    <w:pStyle w:val="Compact"/>
                    <w:jc w:val="right"/>
                    <w:jc w:val="center"/>
                  </w:pPr>
                  <w:r>
                    <w:t xml:space="preserve">4984</w:t>
                  </w:r>
                </w:p>
              </w:tc>
              <w:tc>
                <w:tcPr/>
                <w:p>
                  <w:pPr>
                    <w:pStyle w:val="Compact"/>
                    <w:jc w:val="right"/>
                    <w:jc w:val="center"/>
                  </w:pPr>
                  <w:r>
                    <w:t xml:space="preserve">5063</w:t>
                  </w:r>
                </w:p>
              </w:tc>
            </w:tr>
          </w:tbl>
          <w:bookmarkEnd w:id="6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66"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484"/>
              <w:gridCol w:w="3394"/>
              <w:gridCol w:w="242"/>
              <w:gridCol w:w="727"/>
              <w:gridCol w:w="969"/>
              <w:gridCol w:w="1454"/>
              <w:gridCol w:w="64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f2</w:t>
                  </w:r>
                </w:p>
              </w:tc>
              <w:tc>
                <w:tcPr/>
                <w:p>
                  <w:pPr>
                    <w:pStyle w:val="Compact"/>
                    <w:jc w:val="left"/>
                    <w:jc w:val="center"/>
                  </w:pPr>
                  <w:r>
                    <w:t xml:space="preserve">I(abs(elo.A - elo.B))</w:t>
                  </w:r>
                </w:p>
              </w:tc>
              <w:tc>
                <w:tcPr/>
                <w:p>
                  <w:pPr>
                    <w:pStyle w:val="Compact"/>
                    <w:jc w:val="right"/>
                    <w:jc w:val="center"/>
                  </w:pPr>
                  <w:r>
                    <w:t xml:space="preserve">1</w:t>
                  </w:r>
                </w:p>
              </w:tc>
              <w:tc>
                <w:tcPr/>
                <w:p>
                  <w:pPr>
                    <w:pStyle w:val="Compact"/>
                    <w:jc w:val="right"/>
                    <w:jc w:val="center"/>
                  </w:pPr>
                  <w:r>
                    <w:t xml:space="preserve">0.032</w:t>
                  </w:r>
                </w:p>
              </w:tc>
              <w:tc>
                <w:tcPr/>
                <w:p>
                  <w:pPr>
                    <w:pStyle w:val="Compact"/>
                    <w:jc w:val="right"/>
                    <w:jc w:val="center"/>
                  </w:pPr>
                  <w:r>
                    <w:t xml:space="preserve">5061</w:t>
                  </w:r>
                </w:p>
              </w:tc>
              <w:tc>
                <w:tcPr/>
                <w:p>
                  <w:pPr>
                    <w:pStyle w:val="Compact"/>
                    <w:jc w:val="right"/>
                    <w:jc w:val="center"/>
                  </w:pPr>
                  <w:r>
                    <w:t xml:space="preserve">916.634</w:t>
                  </w:r>
                </w:p>
              </w:tc>
              <w:tc>
                <w:tcPr/>
                <w:p>
                  <w:pPr>
                    <w:pStyle w:val="Compact"/>
                    <w:jc w:val="right"/>
                    <w:jc w:val="center"/>
                  </w:pPr>
                  <w:r>
                    <w:t xml:space="preserve">0.858</w:t>
                  </w:r>
                </w:p>
              </w:tc>
            </w:tr>
            <w:tr>
              <w:tc>
                <w:tcPr/>
                <w:p>
                  <w:pPr>
                    <w:pStyle w:val="Compact"/>
                    <w:jc w:val="left"/>
                    <w:jc w:val="center"/>
                  </w:pPr>
                  <w:r>
                    <w:t xml:space="preserve">f1</w:t>
                  </w:r>
                </w:p>
              </w:tc>
              <w:tc>
                <w:tcPr/>
                <w:p>
                  <w:pPr>
                    <w:pStyle w:val="Compact"/>
                    <w:jc w:val="left"/>
                    <w:jc w:val="center"/>
                  </w:pPr>
                  <w:r>
                    <w:t xml:space="preserve">I(elo.A + elo.B - 3000)</w:t>
                  </w:r>
                </w:p>
              </w:tc>
              <w:tc>
                <w:tcPr/>
                <w:p>
                  <w:pPr>
                    <w:pStyle w:val="Compact"/>
                    <w:jc w:val="right"/>
                    <w:jc w:val="center"/>
                  </w:pPr>
                  <w:r>
                    <w:t xml:space="preserve">1</w:t>
                  </w:r>
                </w:p>
              </w:tc>
              <w:tc>
                <w:tcPr/>
                <w:p>
                  <w:pPr>
                    <w:pStyle w:val="Compact"/>
                    <w:jc w:val="right"/>
                    <w:jc w:val="center"/>
                  </w:pPr>
                  <w:r>
                    <w:t xml:space="preserve">8.035</w:t>
                  </w:r>
                </w:p>
              </w:tc>
              <w:tc>
                <w:tcPr/>
                <w:p>
                  <w:pPr>
                    <w:pStyle w:val="Compact"/>
                    <w:jc w:val="right"/>
                    <w:jc w:val="center"/>
                  </w:pPr>
                  <w:r>
                    <w:t xml:space="preserve">5061</w:t>
                  </w:r>
                </w:p>
              </w:tc>
              <w:tc>
                <w:tcPr/>
                <w:p>
                  <w:pPr>
                    <w:pStyle w:val="Compact"/>
                    <w:jc w:val="right"/>
                    <w:jc w:val="center"/>
                  </w:pPr>
                  <w:r>
                    <w:t xml:space="preserve">908.631</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I(home_win_prob - 0.5)</w:t>
                  </w:r>
                </w:p>
              </w:tc>
              <w:tc>
                <w:tcPr/>
                <w:p>
                  <w:pPr>
                    <w:pStyle w:val="Compact"/>
                    <w:jc w:val="right"/>
                    <w:jc w:val="center"/>
                  </w:pPr>
                  <w:r>
                    <w:t xml:space="preserve">1</w:t>
                  </w:r>
                </w:p>
              </w:tc>
              <w:tc>
                <w:tcPr/>
                <w:p>
                  <w:pPr>
                    <w:pStyle w:val="Compact"/>
                    <w:jc w:val="right"/>
                    <w:jc w:val="center"/>
                  </w:pPr>
                  <w:r>
                    <w:t xml:space="preserve">0.906</w:t>
                  </w:r>
                </w:p>
              </w:tc>
              <w:tc>
                <w:tcPr/>
                <w:p>
                  <w:pPr>
                    <w:pStyle w:val="Compact"/>
                    <w:jc w:val="right"/>
                    <w:jc w:val="center"/>
                  </w:pPr>
                  <w:r>
                    <w:t xml:space="preserve">5061</w:t>
                  </w:r>
                </w:p>
              </w:tc>
              <w:tc>
                <w:tcPr/>
                <w:p>
                  <w:pPr>
                    <w:pStyle w:val="Compact"/>
                    <w:jc w:val="right"/>
                    <w:jc w:val="center"/>
                  </w:pPr>
                  <w:r>
                    <w:t xml:space="preserve">915.760</w:t>
                  </w:r>
                </w:p>
              </w:tc>
              <w:tc>
                <w:tcPr/>
                <w:p>
                  <w:pPr>
                    <w:pStyle w:val="Compact"/>
                    <w:jc w:val="right"/>
                    <w:jc w:val="center"/>
                  </w:pPr>
                  <w:r>
                    <w:t xml:space="preserve">0.341</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24.002</w:t>
                  </w:r>
                </w:p>
              </w:tc>
              <w:tc>
                <w:tcPr/>
                <w:p>
                  <w:pPr>
                    <w:pStyle w:val="Compact"/>
                    <w:jc w:val="right"/>
                    <w:jc w:val="center"/>
                  </w:pPr>
                  <w:r>
                    <w:t xml:space="preserve">5010</w:t>
                  </w:r>
                </w:p>
              </w:tc>
              <w:tc>
                <w:tcPr/>
                <w:p>
                  <w:pPr>
                    <w:pStyle w:val="Compact"/>
                    <w:jc w:val="right"/>
                    <w:jc w:val="center"/>
                  </w:pPr>
                  <w:r>
                    <w:t xml:space="preserve">573.411</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23.389</w:t>
                  </w:r>
                </w:p>
              </w:tc>
              <w:tc>
                <w:tcPr/>
                <w:p>
                  <w:pPr>
                    <w:pStyle w:val="Compact"/>
                    <w:jc w:val="right"/>
                    <w:jc w:val="center"/>
                  </w:pPr>
                  <w:r>
                    <w:t xml:space="preserve">5010</w:t>
                  </w:r>
                </w:p>
              </w:tc>
              <w:tc>
                <w:tcPr/>
                <w:p>
                  <w:pPr>
                    <w:pStyle w:val="Compact"/>
                    <w:jc w:val="right"/>
                    <w:jc w:val="center"/>
                  </w:pPr>
                  <w:r>
                    <w:t xml:space="preserve">581.441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22.520</w:t>
                  </w:r>
                </w:p>
              </w:tc>
              <w:tc>
                <w:tcPr/>
                <w:p>
                  <w:pPr>
                    <w:pStyle w:val="Compact"/>
                    <w:jc w:val="right"/>
                    <w:jc w:val="center"/>
                  </w:pPr>
                  <w:r>
                    <w:t xml:space="preserve">5010</w:t>
                  </w:r>
                </w:p>
              </w:tc>
              <w:tc>
                <w:tcPr/>
                <w:p>
                  <w:pPr>
                    <w:pStyle w:val="Compact"/>
                    <w:jc w:val="right"/>
                    <w:jc w:val="center"/>
                  </w:pPr>
                  <w:r>
                    <w:t xml:space="preserve">579.403</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0.977</w:t>
                  </w:r>
                </w:p>
              </w:tc>
              <w:tc>
                <w:tcPr/>
                <w:p>
                  <w:pPr>
                    <w:pStyle w:val="Compact"/>
                    <w:jc w:val="right"/>
                    <w:jc w:val="center"/>
                  </w:pPr>
                  <w:r>
                    <w:t xml:space="preserve">5012</w:t>
                  </w:r>
                </w:p>
              </w:tc>
              <w:tc>
                <w:tcPr/>
                <w:p>
                  <w:pPr>
                    <w:pStyle w:val="Compact"/>
                    <w:jc w:val="right"/>
                    <w:jc w:val="center"/>
                  </w:pPr>
                  <w:r>
                    <w:t xml:space="preserve">601.451</w:t>
                  </w:r>
                </w:p>
              </w:tc>
              <w:tc>
                <w:tcPr/>
                <w:p>
                  <w:pPr>
                    <w:pStyle w:val="Compact"/>
                    <w:jc w:val="right"/>
                    <w:jc w:val="center"/>
                  </w:pPr>
                  <w:r>
                    <w:t xml:space="preserve">0.323</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1.038</w:t>
                  </w:r>
                </w:p>
              </w:tc>
              <w:tc>
                <w:tcPr/>
                <w:p>
                  <w:pPr>
                    <w:pStyle w:val="Compact"/>
                    <w:jc w:val="right"/>
                    <w:jc w:val="center"/>
                  </w:pPr>
                  <w:r>
                    <w:t xml:space="preserve">5012</w:t>
                  </w:r>
                </w:p>
              </w:tc>
              <w:tc>
                <w:tcPr/>
                <w:p>
                  <w:pPr>
                    <w:pStyle w:val="Compact"/>
                    <w:jc w:val="right"/>
                    <w:jc w:val="center"/>
                  </w:pPr>
                  <w:r>
                    <w:t xml:space="preserve">608.706</w:t>
                  </w:r>
                </w:p>
              </w:tc>
              <w:tc>
                <w:tcPr/>
                <w:p>
                  <w:pPr>
                    <w:pStyle w:val="Compact"/>
                    <w:jc w:val="right"/>
                    <w:jc w:val="center"/>
                  </w:pPr>
                  <w:r>
                    <w:t xml:space="preserve">0.308</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0.972</w:t>
                  </w:r>
                </w:p>
              </w:tc>
              <w:tc>
                <w:tcPr/>
                <w:p>
                  <w:pPr>
                    <w:pStyle w:val="Compact"/>
                    <w:jc w:val="right"/>
                    <w:jc w:val="center"/>
                  </w:pPr>
                  <w:r>
                    <w:t xml:space="preserve">5012</w:t>
                  </w:r>
                </w:p>
              </w:tc>
              <w:tc>
                <w:tcPr/>
                <w:p>
                  <w:pPr>
                    <w:pStyle w:val="Compact"/>
                    <w:jc w:val="right"/>
                    <w:jc w:val="center"/>
                  </w:pPr>
                  <w:r>
                    <w:t xml:space="preserve">606.342</w:t>
                  </w:r>
                </w:p>
              </w:tc>
              <w:tc>
                <w:tcPr/>
                <w:p>
                  <w:pPr>
                    <w:pStyle w:val="Compact"/>
                    <w:jc w:val="right"/>
                    <w:jc w:val="center"/>
                  </w:pPr>
                  <w:r>
                    <w:t xml:space="preserve">0.324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4.038</w:t>
                  </w:r>
                </w:p>
              </w:tc>
              <w:tc>
                <w:tcPr/>
                <w:p>
                  <w:pPr>
                    <w:pStyle w:val="Compact"/>
                    <w:jc w:val="right"/>
                    <w:jc w:val="center"/>
                  </w:pPr>
                  <w:r>
                    <w:t xml:space="preserve">5011</w:t>
                  </w:r>
                </w:p>
              </w:tc>
              <w:tc>
                <w:tcPr/>
                <w:p>
                  <w:pPr>
                    <w:pStyle w:val="Compact"/>
                    <w:jc w:val="right"/>
                    <w:jc w:val="center"/>
                  </w:pPr>
                  <w:r>
                    <w:t xml:space="preserve">597.414</w:t>
                  </w:r>
                </w:p>
              </w:tc>
              <w:tc>
                <w:tcPr/>
                <w:p>
                  <w:pPr>
                    <w:pStyle w:val="Compact"/>
                    <w:jc w:val="right"/>
                    <w:jc w:val="center"/>
                  </w:pPr>
                  <w:r>
                    <w:t xml:space="preserve">0.044</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3.876</w:t>
                  </w:r>
                </w:p>
              </w:tc>
              <w:tc>
                <w:tcPr/>
                <w:p>
                  <w:pPr>
                    <w:pStyle w:val="Compact"/>
                    <w:jc w:val="right"/>
                    <w:jc w:val="center"/>
                  </w:pPr>
                  <w:r>
                    <w:t xml:space="preserve">5011</w:t>
                  </w:r>
                </w:p>
              </w:tc>
              <w:tc>
                <w:tcPr/>
                <w:p>
                  <w:pPr>
                    <w:pStyle w:val="Compact"/>
                    <w:jc w:val="right"/>
                    <w:jc w:val="center"/>
                  </w:pPr>
                  <w:r>
                    <w:t xml:space="preserve">604.830</w:t>
                  </w:r>
                </w:p>
              </w:tc>
              <w:tc>
                <w:tcPr/>
                <w:p>
                  <w:pPr>
                    <w:pStyle w:val="Compact"/>
                    <w:jc w:val="right"/>
                    <w:jc w:val="center"/>
                  </w:pPr>
                  <w:r>
                    <w:t xml:space="preserve">0.049</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4.419</w:t>
                  </w:r>
                </w:p>
              </w:tc>
              <w:tc>
                <w:tcPr/>
                <w:p>
                  <w:pPr>
                    <w:pStyle w:val="Compact"/>
                    <w:jc w:val="right"/>
                    <w:jc w:val="center"/>
                  </w:pPr>
                  <w:r>
                    <w:t xml:space="preserve">5011</w:t>
                  </w:r>
                </w:p>
              </w:tc>
              <w:tc>
                <w:tcPr/>
                <w:p>
                  <w:pPr>
                    <w:pStyle w:val="Compact"/>
                    <w:jc w:val="right"/>
                    <w:jc w:val="center"/>
                  </w:pPr>
                  <w:r>
                    <w:t xml:space="preserve">601.923</w:t>
                  </w:r>
                </w:p>
              </w:tc>
              <w:tc>
                <w:tcPr/>
                <w:p>
                  <w:pPr>
                    <w:pStyle w:val="Compact"/>
                    <w:jc w:val="right"/>
                    <w:jc w:val="center"/>
                  </w:pPr>
                  <w:r>
                    <w:t xml:space="preserve">0.036</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13.370</w:t>
                  </w:r>
                </w:p>
              </w:tc>
              <w:tc>
                <w:tcPr/>
                <w:p>
                  <w:pPr>
                    <w:pStyle w:val="Compact"/>
                    <w:jc w:val="right"/>
                    <w:jc w:val="center"/>
                  </w:pPr>
                  <w:r>
                    <w:t xml:space="preserve">5025</w:t>
                  </w:r>
                </w:p>
              </w:tc>
              <w:tc>
                <w:tcPr/>
                <w:p>
                  <w:pPr>
                    <w:pStyle w:val="Compact"/>
                    <w:jc w:val="right"/>
                    <w:jc w:val="center"/>
                  </w:pPr>
                  <w:r>
                    <w:t xml:space="preserve">696.118</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13.218</w:t>
                  </w:r>
                </w:p>
              </w:tc>
              <w:tc>
                <w:tcPr/>
                <w:p>
                  <w:pPr>
                    <w:pStyle w:val="Compact"/>
                    <w:jc w:val="right"/>
                    <w:jc w:val="center"/>
                  </w:pPr>
                  <w:r>
                    <w:t xml:space="preserve">5025</w:t>
                  </w:r>
                </w:p>
              </w:tc>
              <w:tc>
                <w:tcPr/>
                <w:p>
                  <w:pPr>
                    <w:pStyle w:val="Compact"/>
                    <w:jc w:val="right"/>
                    <w:jc w:val="center"/>
                  </w:pPr>
                  <w:r>
                    <w:t xml:space="preserve">706.988</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12.953</w:t>
                  </w:r>
                </w:p>
              </w:tc>
              <w:tc>
                <w:tcPr/>
                <w:p>
                  <w:pPr>
                    <w:pStyle w:val="Compact"/>
                    <w:jc w:val="right"/>
                    <w:jc w:val="center"/>
                  </w:pPr>
                  <w:r>
                    <w:t xml:space="preserve">5025</w:t>
                  </w:r>
                </w:p>
              </w:tc>
              <w:tc>
                <w:tcPr/>
                <w:p>
                  <w:pPr>
                    <w:pStyle w:val="Compact"/>
                    <w:jc w:val="right"/>
                    <w:jc w:val="center"/>
                  </w:pPr>
                  <w:r>
                    <w:t xml:space="preserve">701.429</w:t>
                  </w:r>
                </w:p>
              </w:tc>
              <w:tc>
                <w:tcPr/>
                <w:p>
                  <w:pPr>
                    <w:pStyle w:val="Compact"/>
                    <w:jc w:val="right"/>
                    <w:jc w:val="center"/>
                  </w:pPr>
                  <w:r>
                    <w:t xml:space="preserve">0.012</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18.624</w:t>
                  </w:r>
                </w:p>
              </w:tc>
              <w:tc>
                <w:tcPr/>
                <w:p>
                  <w:pPr>
                    <w:pStyle w:val="Compact"/>
                    <w:jc w:val="right"/>
                    <w:jc w:val="center"/>
                  </w:pPr>
                  <w:r>
                    <w:t xml:space="preserve">5029</w:t>
                  </w:r>
                </w:p>
              </w:tc>
              <w:tc>
                <w:tcPr/>
                <w:p>
                  <w:pPr>
                    <w:pStyle w:val="Compact"/>
                    <w:jc w:val="right"/>
                    <w:jc w:val="center"/>
                  </w:pPr>
                  <w:r>
                    <w:t xml:space="preserve">709.487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18.719</w:t>
                  </w:r>
                </w:p>
              </w:tc>
              <w:tc>
                <w:tcPr/>
                <w:p>
                  <w:pPr>
                    <w:pStyle w:val="Compact"/>
                    <w:jc w:val="right"/>
                    <w:jc w:val="center"/>
                  </w:pPr>
                  <w:r>
                    <w:t xml:space="preserve">5029</w:t>
                  </w:r>
                </w:p>
              </w:tc>
              <w:tc>
                <w:tcPr/>
                <w:p>
                  <w:pPr>
                    <w:pStyle w:val="Compact"/>
                    <w:jc w:val="right"/>
                    <w:jc w:val="center"/>
                  </w:pPr>
                  <w:r>
                    <w:t xml:space="preserve">720.205</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19.034</w:t>
                  </w:r>
                </w:p>
              </w:tc>
              <w:tc>
                <w:tcPr/>
                <w:p>
                  <w:pPr>
                    <w:pStyle w:val="Compact"/>
                    <w:jc w:val="right"/>
                    <w:jc w:val="center"/>
                  </w:pPr>
                  <w:r>
                    <w:t xml:space="preserve">5029</w:t>
                  </w:r>
                </w:p>
              </w:tc>
              <w:tc>
                <w:tcPr/>
                <w:p>
                  <w:pPr>
                    <w:pStyle w:val="Compact"/>
                    <w:jc w:val="right"/>
                    <w:jc w:val="center"/>
                  </w:pPr>
                  <w:r>
                    <w:t xml:space="preserve">714.381</w:t>
                  </w:r>
                </w:p>
              </w:tc>
              <w:tc>
                <w:tcPr/>
                <w:p>
                  <w:pPr>
                    <w:pStyle w:val="Compact"/>
                    <w:jc w:val="right"/>
                    <w:jc w:val="center"/>
                  </w:pPr>
                  <w:r>
                    <w:t xml:space="preserve">0.004</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93.689</w:t>
                  </w:r>
                </w:p>
              </w:tc>
              <w:tc>
                <w:tcPr/>
                <w:p>
                  <w:pPr>
                    <w:pStyle w:val="Compact"/>
                    <w:jc w:val="right"/>
                    <w:jc w:val="center"/>
                  </w:pPr>
                  <w:r>
                    <w:t xml:space="preserve">5013</w:t>
                  </w:r>
                </w:p>
              </w:tc>
              <w:tc>
                <w:tcPr/>
                <w:p>
                  <w:pPr>
                    <w:pStyle w:val="Compact"/>
                    <w:jc w:val="right"/>
                    <w:jc w:val="center"/>
                  </w:pPr>
                  <w:r>
                    <w:t xml:space="preserve">602.429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97.243</w:t>
                  </w:r>
                </w:p>
              </w:tc>
              <w:tc>
                <w:tcPr/>
                <w:p>
                  <w:pPr>
                    <w:pStyle w:val="Compact"/>
                    <w:jc w:val="right"/>
                    <w:jc w:val="center"/>
                  </w:pPr>
                  <w:r>
                    <w:t xml:space="preserve">5013</w:t>
                  </w:r>
                </w:p>
              </w:tc>
              <w:tc>
                <w:tcPr/>
                <w:p>
                  <w:pPr>
                    <w:pStyle w:val="Compact"/>
                    <w:jc w:val="right"/>
                    <w:jc w:val="center"/>
                  </w:pPr>
                  <w:r>
                    <w:t xml:space="preserve">609.745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94.115</w:t>
                  </w:r>
                </w:p>
              </w:tc>
              <w:tc>
                <w:tcPr/>
                <w:p>
                  <w:pPr>
                    <w:pStyle w:val="Compact"/>
                    <w:jc w:val="right"/>
                    <w:jc w:val="center"/>
                  </w:pPr>
                  <w:r>
                    <w:t xml:space="preserve">5013</w:t>
                  </w:r>
                </w:p>
              </w:tc>
              <w:tc>
                <w:tcPr/>
                <w:p>
                  <w:pPr>
                    <w:pStyle w:val="Compact"/>
                    <w:jc w:val="right"/>
                    <w:jc w:val="center"/>
                  </w:pPr>
                  <w:r>
                    <w:t xml:space="preserve">607.314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I(abs(elo.A - elo.B)):factor(season_id)</w:t>
                  </w:r>
                </w:p>
              </w:tc>
              <w:tc>
                <w:tcPr/>
                <w:p>
                  <w:pPr>
                    <w:pStyle w:val="Compact"/>
                    <w:jc w:val="right"/>
                    <w:jc w:val="center"/>
                  </w:pPr>
                  <w:r>
                    <w:t xml:space="preserve">26</w:t>
                  </w:r>
                </w:p>
              </w:tc>
              <w:tc>
                <w:tcPr/>
                <w:p>
                  <w:pPr>
                    <w:pStyle w:val="Compact"/>
                    <w:jc w:val="right"/>
                    <w:jc w:val="center"/>
                  </w:pPr>
                  <w:r>
                    <w:t xml:space="preserve">7.299</w:t>
                  </w:r>
                </w:p>
              </w:tc>
              <w:tc>
                <w:tcPr/>
                <w:p>
                  <w:pPr>
                    <w:pStyle w:val="Compact"/>
                    <w:jc w:val="right"/>
                    <w:jc w:val="center"/>
                  </w:pPr>
                  <w:r>
                    <w:t xml:space="preserve">4984</w:t>
                  </w:r>
                </w:p>
              </w:tc>
              <w:tc>
                <w:tcPr/>
                <w:p>
                  <w:pPr>
                    <w:pStyle w:val="Compact"/>
                    <w:jc w:val="right"/>
                    <w:jc w:val="center"/>
                  </w:pPr>
                  <w:r>
                    <w:t xml:space="preserve">574.142</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I(elo.A + elo.B - 3000):factor(season_id)</w:t>
                  </w:r>
                </w:p>
              </w:tc>
              <w:tc>
                <w:tcPr/>
                <w:p>
                  <w:pPr>
                    <w:pStyle w:val="Compact"/>
                    <w:jc w:val="right"/>
                    <w:jc w:val="center"/>
                  </w:pPr>
                  <w:r>
                    <w:t xml:space="preserve">26</w:t>
                  </w:r>
                </w:p>
              </w:tc>
              <w:tc>
                <w:tcPr/>
                <w:p>
                  <w:pPr>
                    <w:pStyle w:val="Compact"/>
                    <w:jc w:val="right"/>
                    <w:jc w:val="center"/>
                  </w:pPr>
                  <w:r>
                    <w:t xml:space="preserve">13.894</w:t>
                  </w:r>
                </w:p>
              </w:tc>
              <w:tc>
                <w:tcPr/>
                <w:p>
                  <w:pPr>
                    <w:pStyle w:val="Compact"/>
                    <w:jc w:val="right"/>
                    <w:jc w:val="center"/>
                  </w:pPr>
                  <w:r>
                    <w:t xml:space="preserve">4984</w:t>
                  </w:r>
                </w:p>
              </w:tc>
              <w:tc>
                <w:tcPr/>
                <w:p>
                  <w:pPr>
                    <w:pStyle w:val="Compact"/>
                    <w:jc w:val="right"/>
                    <w:jc w:val="center"/>
                  </w:pPr>
                  <w:r>
                    <w:t xml:space="preserve">559.518</w:t>
                  </w:r>
                </w:p>
              </w:tc>
              <w:tc>
                <w:tcPr/>
                <w:p>
                  <w:pPr>
                    <w:pStyle w:val="Compact"/>
                    <w:jc w:val="right"/>
                    <w:jc w:val="center"/>
                  </w:pPr>
                  <w:r>
                    <w:t xml:space="preserve">0.974</w:t>
                  </w:r>
                </w:p>
              </w:tc>
            </w:tr>
            <w:tr>
              <w:tc>
                <w:tcPr/>
                <w:p>
                  <w:pPr>
                    <w:pStyle w:val="Compact"/>
                    <w:jc w:val="left"/>
                    <w:jc w:val="center"/>
                  </w:pPr>
                  <w:r>
                    <w:t xml:space="preserve">f3</w:t>
                  </w:r>
                </w:p>
              </w:tc>
              <w:tc>
                <w:tcPr/>
                <w:p>
                  <w:pPr>
                    <w:pStyle w:val="Compact"/>
                    <w:jc w:val="left"/>
                    <w:jc w:val="center"/>
                  </w:pPr>
                  <w:r>
                    <w:t xml:space="preserve">I(home_win_prob - 0.5):factor(season_id)</w:t>
                  </w:r>
                </w:p>
              </w:tc>
              <w:tc>
                <w:tcPr/>
                <w:p>
                  <w:pPr>
                    <w:pStyle w:val="Compact"/>
                    <w:jc w:val="right"/>
                    <w:jc w:val="center"/>
                  </w:pPr>
                  <w:r>
                    <w:t xml:space="preserve">26</w:t>
                  </w:r>
                </w:p>
              </w:tc>
              <w:tc>
                <w:tcPr/>
                <w:p>
                  <w:pPr>
                    <w:pStyle w:val="Compact"/>
                    <w:jc w:val="right"/>
                    <w:jc w:val="center"/>
                  </w:pPr>
                  <w:r>
                    <w:t xml:space="preserve">15.042</w:t>
                  </w:r>
                </w:p>
              </w:tc>
              <w:tc>
                <w:tcPr/>
                <w:p>
                  <w:pPr>
                    <w:pStyle w:val="Compact"/>
                    <w:jc w:val="right"/>
                    <w:jc w:val="center"/>
                  </w:pPr>
                  <w:r>
                    <w:t xml:space="preserve">4984</w:t>
                  </w:r>
                </w:p>
              </w:tc>
              <w:tc>
                <w:tcPr/>
                <w:p>
                  <w:pPr>
                    <w:pStyle w:val="Compact"/>
                    <w:jc w:val="right"/>
                    <w:jc w:val="center"/>
                  </w:pPr>
                  <w:r>
                    <w:t xml:space="preserve">564.361</w:t>
                  </w:r>
                </w:p>
              </w:tc>
              <w:tc>
                <w:tcPr/>
                <w:p>
                  <w:pPr>
                    <w:pStyle w:val="Compact"/>
                    <w:jc w:val="right"/>
                    <w:jc w:val="center"/>
                  </w:pPr>
                  <w:r>
                    <w:t xml:space="preserve">0.957</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180.519</w:t>
                  </w:r>
                </w:p>
              </w:tc>
              <w:tc>
                <w:tcPr/>
                <w:p>
                  <w:pPr>
                    <w:pStyle w:val="Compact"/>
                    <w:jc w:val="right"/>
                    <w:jc w:val="center"/>
                  </w:pPr>
                  <w:r>
                    <w:t xml:space="preserve">5035</w:t>
                  </w:r>
                </w:p>
              </w:tc>
              <w:tc>
                <w:tcPr/>
                <w:p>
                  <w:pPr>
                    <w:pStyle w:val="Compact"/>
                    <w:jc w:val="right"/>
                    <w:jc w:val="center"/>
                  </w:pPr>
                  <w:r>
                    <w:t xml:space="preserve">728.112</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177.710</w:t>
                  </w:r>
                </w:p>
              </w:tc>
              <w:tc>
                <w:tcPr/>
                <w:p>
                  <w:pPr>
                    <w:pStyle w:val="Compact"/>
                    <w:jc w:val="right"/>
                    <w:jc w:val="center"/>
                  </w:pPr>
                  <w:r>
                    <w:t xml:space="preserve">5035</w:t>
                  </w:r>
                </w:p>
              </w:tc>
              <w:tc>
                <w:tcPr/>
                <w:p>
                  <w:pPr>
                    <w:pStyle w:val="Compact"/>
                    <w:jc w:val="right"/>
                    <w:jc w:val="center"/>
                  </w:pPr>
                  <w:r>
                    <w:t xml:space="preserve">738.924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182.345</w:t>
                  </w:r>
                </w:p>
              </w:tc>
              <w:tc>
                <w:tcPr/>
                <w:p>
                  <w:pPr>
                    <w:pStyle w:val="Compact"/>
                    <w:jc w:val="right"/>
                    <w:jc w:val="center"/>
                  </w:pPr>
                  <w:r>
                    <w:t xml:space="preserve">5035</w:t>
                  </w:r>
                </w:p>
              </w:tc>
              <w:tc>
                <w:tcPr/>
                <w:p>
                  <w:pPr>
                    <w:pStyle w:val="Compact"/>
                    <w:jc w:val="right"/>
                    <w:jc w:val="center"/>
                  </w:pPr>
                  <w:r>
                    <w:t xml:space="preserve">733.416</w:t>
                  </w:r>
                </w:p>
              </w:tc>
              <w:tc>
                <w:tcPr/>
                <w:p>
                  <w:pPr>
                    <w:pStyle w:val="Compact"/>
                    <w:jc w:val="right"/>
                    <w:jc w:val="center"/>
                  </w:pPr>
                  <w:r>
                    <w:t xml:space="preserve">0.000</w:t>
                  </w:r>
                </w:p>
              </w:tc>
            </w:tr>
          </w:tbl>
          <w:bookmarkEnd w:id="6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2">
        <w:r>
          <w:rPr>
            <w:rStyle w:val="Hyperlink"/>
          </w:rPr>
          <w:t xml:space="preserve">Figure 7</w:t>
        </w:r>
      </w:hyperlink>
      <w:r>
        <w:t xml:space="preserve"> </w:t>
      </w:r>
      <w:r>
        <w:t xml:space="preserve">shows that…</w:t>
      </w:r>
    </w:p>
    <w:bookmarkStart w:id="71" w:name="cell-fig-season-coefs2"/>
    <w:tbl>
      <w:tblPr>
        <w:tblStyle w:val="Table"/>
        <w:tblW w:type="pct" w:w="5000"/>
        <w:tblLayout w:type="fixed"/>
        <w:tblLook w:firstRow="0" w:lastRow="0" w:firstColumn="0" w:lastColumn="0" w:noHBand="0" w:noVBand="0" w:val="0000"/>
      </w:tblPr>
      <w:tblGrid>
        <w:gridCol w:w="7920"/>
      </w:tblGrid>
      <w:tr>
        <w:tc>
          <w:tcPr/>
          <w:bookmarkStart w:id="70" w:name="fig-season-coefs2"/>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season-coefs2-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Estimated season-level fixed effects for percentage of arena capacity models.</w:t>
            </w:r>
          </w:p>
          <w:bookmarkEnd w:id="7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p>
      <w:pPr>
        <w:pStyle w:val="BodyText"/>
      </w:pPr>
      <w:hyperlink w:anchor="fig-season-slopes2">
        <w:r>
          <w:rPr>
            <w:rStyle w:val="Hyperlink"/>
          </w:rPr>
          <w:t xml:space="preserve">Figure 8</w:t>
        </w:r>
      </w:hyperlink>
      <w:r>
        <w:t xml:space="preserve"> </w:t>
      </w:r>
      <w:r>
        <w:t xml:space="preserve">shows that…</w:t>
      </w:r>
    </w:p>
    <w:bookmarkStart w:id="76" w:name="cell-fig-season-slopes2"/>
    <w:tbl>
      <w:tblPr>
        <w:tblStyle w:val="Table"/>
        <w:tblW w:type="pct" w:w="5000"/>
        <w:tblLayout w:type="fixed"/>
        <w:tblLook w:firstRow="0" w:lastRow="0" w:firstColumn="0" w:lastColumn="0" w:noHBand="0" w:noVBand="0" w:val="0000"/>
      </w:tblPr>
      <w:tblGrid>
        <w:gridCol w:w="7920"/>
      </w:tblGrid>
      <w:tr>
        <w:tc>
          <w:tcPr/>
          <w:bookmarkStart w:id="75" w:name="fig-season-slopes2"/>
          <w:p>
            <w:pPr>
              <w:pStyle w:val="Compact"/>
              <w:jc w:val="center"/>
            </w:pPr>
            <w:r>
              <w:drawing>
                <wp:inline>
                  <wp:extent cx="4620126" cy="3696101"/>
                  <wp:effectExtent b="0" l="0" r="0" t="0"/>
                  <wp:docPr descr="" title="" id="73" name="Picture"/>
                  <a:graphic>
                    <a:graphicData uri="http://schemas.openxmlformats.org/drawingml/2006/picture">
                      <pic:pic>
                        <pic:nvPicPr>
                          <pic:cNvPr descr="index_files/figure-docx/fig-season-slopes2-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changes in slopes for percentage of arena capacity models.</w:t>
            </w:r>
          </w:p>
          <w:bookmarkEnd w:id="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End w:id="77"/>
    <w:bookmarkEnd w:id="78"/>
    <w:bookmarkStart w:id="82" w:name="conclusion"/>
    <w:p>
      <w:pPr>
        <w:pStyle w:val="Heading2"/>
      </w:pPr>
      <w:r>
        <w:t xml:space="preserve">5 Conclusion</w:t>
      </w:r>
    </w:p>
    <w:bookmarkStart w:id="79"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79"/>
    <w:bookmarkStart w:id="80" w:name="future-work"/>
    <w:p>
      <w:pPr>
        <w:pStyle w:val="Heading3"/>
      </w:pPr>
      <w:r>
        <w:t xml:space="preserve">5.2 Future work</w:t>
      </w:r>
    </w:p>
    <w:bookmarkEnd w:id="80"/>
    <w:bookmarkStart w:id="81" w:name="discussion"/>
    <w:p>
      <w:pPr>
        <w:pStyle w:val="Heading3"/>
      </w:pPr>
      <w:r>
        <w:t xml:space="preserve">5.3 Discussion</w:t>
      </w:r>
    </w:p>
    <w:bookmarkEnd w:id="81"/>
    <w:bookmarkEnd w:id="82"/>
    <w:bookmarkStart w:id="137" w:name="references"/>
    <w:p>
      <w:pPr>
        <w:pStyle w:val="Heading2"/>
      </w:pPr>
      <w:r>
        <w:t xml:space="preserve">References</w:t>
      </w:r>
    </w:p>
    <w:bookmarkStart w:id="136" w:name="refs"/>
    <w:bookmarkStart w:id="84"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83">
        <w:r>
          <w:rPr>
            <w:rStyle w:val="Hyperlink"/>
          </w:rPr>
          <w:t xml:space="preserve">https://www.acrossthetimeline.com/wnba/attendance.html</w:t>
        </w:r>
      </w:hyperlink>
      <w:r>
        <w:t xml:space="preserve">.</w:t>
      </w:r>
      <w:r>
        <w:t xml:space="preserve"> </w:t>
      </w:r>
      <w:hyperlink r:id="rId83">
        <w:r>
          <w:rPr>
            <w:rStyle w:val="Hyperlink"/>
          </w:rPr>
          <w:t xml:space="preserve">https://www.acrossthetimeline.com/wnba/attendance.html</w:t>
        </w:r>
      </w:hyperlink>
      <w:r>
        <w:t xml:space="preserve">.</w:t>
      </w:r>
    </w:p>
    <w:bookmarkEnd w:id="84"/>
    <w:bookmarkStart w:id="86"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85">
        <w:r>
          <w:rPr>
            <w:rStyle w:val="Hyperlink"/>
          </w:rPr>
          <w:t xml:space="preserve">https://doi.org/10.32731/IJSF/181.022023.03</w:t>
        </w:r>
      </w:hyperlink>
      <w:r>
        <w:t xml:space="preserve">.</w:t>
      </w:r>
    </w:p>
    <w:bookmarkEnd w:id="86"/>
    <w:bookmarkStart w:id="88" w:name="ref-baade1990analysis"/>
    <w:p>
      <w:pPr>
        <w:pStyle w:val="Bibliography"/>
      </w:pPr>
      <w:r>
        <w:t xml:space="preserve">Baade, Robert A, and Laura J Tiehen. 1990.</w:t>
      </w:r>
      <w:r>
        <w:t xml:space="preserve"> </w:t>
      </w:r>
      <w:r>
        <w:t xml:space="preserve">“An Analysis of Major League Baseball Attendance, 1969-1987.”</w:t>
      </w:r>
      <w:r>
        <w:t xml:space="preserve"> </w:t>
      </w:r>
      <w:r>
        <w:rPr>
          <w:i/>
          <w:iCs/>
        </w:rPr>
        <w:t xml:space="preserve">Journal of Sport and Social Issues</w:t>
      </w:r>
      <w:r>
        <w:t xml:space="preserve"> </w:t>
      </w:r>
      <w:r>
        <w:t xml:space="preserve">14 (1): 14–32.</w:t>
      </w:r>
      <w:r>
        <w:t xml:space="preserve"> </w:t>
      </w:r>
      <w:hyperlink r:id="rId87">
        <w:r>
          <w:rPr>
            <w:rStyle w:val="Hyperlink"/>
          </w:rPr>
          <w:t xml:space="preserve">https://doi.org/10.1177/019372359001400102</w:t>
        </w:r>
      </w:hyperlink>
      <w:r>
        <w:t xml:space="preserve">.</w:t>
      </w:r>
    </w:p>
    <w:bookmarkEnd w:id="88"/>
    <w:bookmarkStart w:id="90" w:name="ref-clapp2005long"/>
    <w:p>
      <w:pPr>
        <w:pStyle w:val="Bibliography"/>
      </w:pPr>
      <w:r>
        <w:t xml:space="preserve">Clapp, Christopher M, and Jahn K Hakes. 2005.</w:t>
      </w:r>
      <w:r>
        <w:t xml:space="preserve"> </w:t>
      </w:r>
      <w:r>
        <w:t xml:space="preserve">“How Long a Honeymoon? The Effect of New Stadiums on Attendance in Major League Baseball.”</w:t>
      </w:r>
      <w:r>
        <w:t xml:space="preserve"> </w:t>
      </w:r>
      <w:r>
        <w:rPr>
          <w:i/>
          <w:iCs/>
        </w:rPr>
        <w:t xml:space="preserve">Journal of Sports Economics</w:t>
      </w:r>
      <w:r>
        <w:t xml:space="preserve"> </w:t>
      </w:r>
      <w:r>
        <w:t xml:space="preserve">6 (3): 237–63.</w:t>
      </w:r>
      <w:r>
        <w:t xml:space="preserve"> </w:t>
      </w:r>
      <w:hyperlink r:id="rId89">
        <w:r>
          <w:rPr>
            <w:rStyle w:val="Hyperlink"/>
          </w:rPr>
          <w:t xml:space="preserve">https://doi.org/10.1177/1527002504265957</w:t>
        </w:r>
      </w:hyperlink>
      <w:r>
        <w:t xml:space="preserve">.</w:t>
      </w:r>
    </w:p>
    <w:bookmarkEnd w:id="90"/>
    <w:bookmarkStart w:id="92"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91">
        <w:r>
          <w:rPr>
            <w:rStyle w:val="Hyperlink"/>
          </w:rPr>
          <w:t xml:space="preserve">https://doi.org/10.1111/ecin.12061</w:t>
        </w:r>
      </w:hyperlink>
      <w:r>
        <w:t xml:space="preserve">.</w:t>
      </w:r>
    </w:p>
    <w:bookmarkEnd w:id="92"/>
    <w:bookmarkStart w:id="94"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93">
        <w:r>
          <w:rPr>
            <w:rStyle w:val="Hyperlink"/>
          </w:rPr>
          <w:t xml:space="preserve">https://doi.org/10.1177/155862350800300105</w:t>
        </w:r>
      </w:hyperlink>
      <w:r>
        <w:t xml:space="preserve">.</w:t>
      </w:r>
    </w:p>
    <w:bookmarkEnd w:id="94"/>
    <w:bookmarkStart w:id="96"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95">
        <w:r>
          <w:rPr>
            <w:rStyle w:val="Hyperlink"/>
          </w:rPr>
          <w:t xml:space="preserve">https://doi.org/10.1177/1527002508327387</w:t>
        </w:r>
      </w:hyperlink>
      <w:r>
        <w:t xml:space="preserve">.</w:t>
      </w:r>
    </w:p>
    <w:bookmarkEnd w:id="96"/>
    <w:bookmarkStart w:id="98"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97">
        <w:r>
          <w:rPr>
            <w:rStyle w:val="Hyperlink"/>
          </w:rPr>
          <w:t xml:space="preserve">https://doi.org/10.1123/jsm.2019-0404</w:t>
        </w:r>
      </w:hyperlink>
      <w:r>
        <w:t xml:space="preserve">.</w:t>
      </w:r>
    </w:p>
    <w:bookmarkEnd w:id="98"/>
    <w:bookmarkStart w:id="100"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99">
        <w:r>
          <w:rPr>
            <w:rStyle w:val="Hyperlink"/>
          </w:rPr>
          <w:t xml:space="preserve">https://doi.org/10.1123/jsm.16.4.311</w:t>
        </w:r>
      </w:hyperlink>
      <w:r>
        <w:t xml:space="preserve">.</w:t>
      </w:r>
    </w:p>
    <w:bookmarkEnd w:id="100"/>
    <w:bookmarkStart w:id="101"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01"/>
    <w:bookmarkStart w:id="103"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02">
        <w:r>
          <w:rPr>
            <w:rStyle w:val="Hyperlink"/>
          </w:rPr>
          <w:t xml:space="preserve">https://polecom.org/index.php/polecom/article/view/119</w:t>
        </w:r>
      </w:hyperlink>
      <w:r>
        <w:t xml:space="preserve">.</w:t>
      </w:r>
    </w:p>
    <w:bookmarkEnd w:id="103"/>
    <w:bookmarkStart w:id="105"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04">
        <w:r>
          <w:rPr>
            <w:rStyle w:val="Hyperlink"/>
          </w:rPr>
          <w:t xml:space="preserve">https://doi.org/10.32614/cran.package.wehoop</w:t>
        </w:r>
      </w:hyperlink>
      <w:r>
        <w:t xml:space="preserve">.</w:t>
      </w:r>
    </w:p>
    <w:bookmarkEnd w:id="105"/>
    <w:bookmarkStart w:id="107"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06">
        <w:r>
          <w:rPr>
            <w:rStyle w:val="Hyperlink"/>
          </w:rPr>
          <w:t xml:space="preserve">https://doi.org/10.1080/17430437.2017.1346620</w:t>
        </w:r>
      </w:hyperlink>
      <w:r>
        <w:t xml:space="preserve">.</w:t>
      </w:r>
    </w:p>
    <w:bookmarkEnd w:id="107"/>
    <w:bookmarkStart w:id="109" w:name="ref-hall2002testing"/>
    <w:p>
      <w:pPr>
        <w:pStyle w:val="Bibliography"/>
      </w:pPr>
      <w:r>
        <w:t xml:space="preserve">Hall, Stephen, Stefan Szymanski, and Andrew S Zimbalist. 2002.</w:t>
      </w:r>
      <w:r>
        <w:t xml:space="preserve"> </w:t>
      </w:r>
      <w:r>
        <w:t xml:space="preserve">“Testing Causality Between Team Performance and Payroll: The Cases of Major League Baseball and English Soccer.”</w:t>
      </w:r>
      <w:r>
        <w:t xml:space="preserve"> </w:t>
      </w:r>
      <w:r>
        <w:rPr>
          <w:i/>
          <w:iCs/>
        </w:rPr>
        <w:t xml:space="preserve">Journal of Sports Economics</w:t>
      </w:r>
      <w:r>
        <w:t xml:space="preserve"> </w:t>
      </w:r>
      <w:r>
        <w:t xml:space="preserve">3 (2): 149–68.</w:t>
      </w:r>
      <w:r>
        <w:t xml:space="preserve"> </w:t>
      </w:r>
      <w:hyperlink r:id="rId108">
        <w:r>
          <w:rPr>
            <w:rStyle w:val="Hyperlink"/>
          </w:rPr>
          <w:t xml:space="preserve">https://doi.org/10.1177/152700250200300204</w:t>
        </w:r>
      </w:hyperlink>
      <w:r>
        <w:t xml:space="preserve">.</w:t>
      </w:r>
    </w:p>
    <w:bookmarkEnd w:id="109"/>
    <w:bookmarkStart w:id="111"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10">
        <w:r>
          <w:rPr>
            <w:rStyle w:val="Hyperlink"/>
          </w:rPr>
          <w:t xml:space="preserve">https://doi.org/10.1002/mde.1308</w:t>
        </w:r>
      </w:hyperlink>
      <w:r>
        <w:t xml:space="preserve">.</w:t>
      </w:r>
    </w:p>
    <w:bookmarkEnd w:id="111"/>
    <w:bookmarkStart w:id="113"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12">
        <w:r>
          <w:rPr>
            <w:rStyle w:val="Hyperlink"/>
          </w:rPr>
          <w:t xml:space="preserve">https://doi.org/10.53728/2765-6500.1616</w:t>
        </w:r>
      </w:hyperlink>
      <w:r>
        <w:t xml:space="preserve">.</w:t>
      </w:r>
    </w:p>
    <w:bookmarkEnd w:id="113"/>
    <w:bookmarkStart w:id="115"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14">
        <w:r>
          <w:rPr>
            <w:rStyle w:val="Hyperlink"/>
          </w:rPr>
          <w:t xml:space="preserve">https://doi.org/10.1177/1527002509337212</w:t>
        </w:r>
      </w:hyperlink>
      <w:r>
        <w:t xml:space="preserve">.</w:t>
      </w:r>
    </w:p>
    <w:bookmarkEnd w:id="115"/>
    <w:bookmarkStart w:id="117"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16">
        <w:r>
          <w:rPr>
            <w:rStyle w:val="Hyperlink"/>
          </w:rPr>
          <w:t xml:space="preserve">https://doi.org/10.1080/14660970.2022.2037218</w:t>
        </w:r>
      </w:hyperlink>
      <w:r>
        <w:t xml:space="preserve">.</w:t>
      </w:r>
    </w:p>
    <w:bookmarkEnd w:id="117"/>
    <w:bookmarkStart w:id="119"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18">
        <w:r>
          <w:rPr>
            <w:rStyle w:val="Hyperlink"/>
          </w:rPr>
          <w:t xml:space="preserve">https://www.jstor.org/stable/1924766</w:t>
        </w:r>
      </w:hyperlink>
      <w:r>
        <w:t xml:space="preserve">.</w:t>
      </w:r>
    </w:p>
    <w:bookmarkEnd w:id="119"/>
    <w:bookmarkStart w:id="120"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20"/>
    <w:bookmarkStart w:id="122"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21">
        <w:r>
          <w:rPr>
            <w:rStyle w:val="Hyperlink"/>
          </w:rPr>
          <w:t xml:space="preserve">https://doi.org/10.1002/(SICI)1099-1255(199611)11:6&lt;619::AID-JAE418&gt;3.0.CO;2-1</w:t>
        </w:r>
      </w:hyperlink>
      <w:r>
        <w:t xml:space="preserve">.</w:t>
      </w:r>
    </w:p>
    <w:bookmarkEnd w:id="122"/>
    <w:bookmarkStart w:id="124"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23">
        <w:r>
          <w:rPr>
            <w:rStyle w:val="Hyperlink"/>
          </w:rPr>
          <w:t xml:space="preserve">https://doi.org/10.3390/ijfs7010012</w:t>
        </w:r>
      </w:hyperlink>
      <w:r>
        <w:t xml:space="preserve">.</w:t>
      </w:r>
    </w:p>
    <w:bookmarkEnd w:id="124"/>
    <w:bookmarkStart w:id="125"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25"/>
    <w:bookmarkStart w:id="126" w:name="ref-vrooman2012theory"/>
    <w:p>
      <w:pPr>
        <w:pStyle w:val="Bibliography"/>
      </w:pPr>
      <w:r>
        <w:t xml:space="preserve">Vrooman, John. 2012.</w:t>
      </w:r>
      <w:r>
        <w:t xml:space="preserve"> </w:t>
      </w:r>
      <w:r>
        <w:rPr>
          <w:i/>
          <w:iCs/>
        </w:rPr>
        <w:t xml:space="preserve">Theory of the Big Dance: The Playoff Pay-Off in Pro Sports Leagues</w:t>
      </w:r>
      <w:r>
        <w:t xml:space="preserve">. New York, NY: Oxford University Press.</w:t>
      </w:r>
    </w:p>
    <w:bookmarkEnd w:id="126"/>
    <w:bookmarkStart w:id="128"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27">
        <w:r>
          <w:rPr>
            <w:rStyle w:val="Hyperlink"/>
          </w:rPr>
          <w:t xml:space="preserve">https://doi.org/10.1080/00031305.2016.1154108</w:t>
        </w:r>
      </w:hyperlink>
      <w:r>
        <w:t xml:space="preserve">.</w:t>
      </w:r>
    </w:p>
    <w:bookmarkEnd w:id="128"/>
    <w:bookmarkStart w:id="130"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29">
        <w:r>
          <w:rPr>
            <w:rStyle w:val="Hyperlink"/>
          </w:rPr>
          <w:t xml:space="preserve">https://doi.org/10.1080/00031305.2019.1583913</w:t>
        </w:r>
      </w:hyperlink>
      <w:r>
        <w:t xml:space="preserve">.</w:t>
      </w:r>
    </w:p>
    <w:bookmarkEnd w:id="130"/>
    <w:bookmarkStart w:id="132"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31">
        <w:r>
          <w:rPr>
            <w:rStyle w:val="Hyperlink"/>
          </w:rPr>
          <w:t xml:space="preserve">https://accessecon.com/pubs/eb/2003/volume1/eb-03a10003a.pdf</w:t>
        </w:r>
      </w:hyperlink>
      <w:r>
        <w:t xml:space="preserve">.</w:t>
      </w:r>
    </w:p>
    <w:bookmarkEnd w:id="132"/>
    <w:bookmarkStart w:id="134" w:name="ref-wnba2024recordseason"/>
    <w:p>
      <w:pPr>
        <w:pStyle w:val="Bibliography"/>
      </w:pPr>
      <w:r>
        <w:t xml:space="preserve">WNBA. 2024.</w:t>
      </w:r>
      <w:r>
        <w:t xml:space="preserve"> </w:t>
      </w:r>
      <w:r>
        <w:t xml:space="preserve">“WNBA Delivers Record‑setting 2024 Season.”</w:t>
      </w:r>
      <w:r>
        <w:t xml:space="preserve"> </w:t>
      </w:r>
      <w:hyperlink r:id="rId133">
        <w:r>
          <w:rPr>
            <w:rStyle w:val="Hyperlink"/>
          </w:rPr>
          <w:t xml:space="preserve">https://www.wnba.com/news/wnba-delivers-record-setting-2024-season</w:t>
        </w:r>
      </w:hyperlink>
      <w:r>
        <w:t xml:space="preserve">.</w:t>
      </w:r>
    </w:p>
    <w:bookmarkEnd w:id="134"/>
    <w:bookmarkStart w:id="135"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35"/>
    <w:bookmarkEnd w:id="136"/>
    <w:bookmarkEnd w:id="137"/>
    <w:bookmarkStart w:id="188" w:name="appendix"/>
    <w:p>
      <w:pPr>
        <w:pStyle w:val="Heading2"/>
      </w:pPr>
      <w:r>
        <w:t xml:space="preserve">6 Appendix</w:t>
      </w:r>
    </w:p>
    <w:bookmarkStart w:id="187" w:name="sec-resid-attend"/>
    <w:p>
      <w:pPr>
        <w:pStyle w:val="Heading3"/>
      </w:pPr>
      <w:r>
        <w:t xml:space="preserve">6.1 Residual analysis of attendance models</w:t>
      </w:r>
    </w:p>
    <w:bookmarkStart w:id="186"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41" w:name="fig-resids-1"/>
                <w:p>
                  <w:pPr>
                    <w:pStyle w:val="Compact"/>
                    <w:jc w:val="center"/>
                    <w:jc w:val="left"/>
                  </w:pPr>
                  <w:r>
                    <w:drawing>
                      <wp:inline>
                        <wp:extent cx="4620126" cy="3696101"/>
                        <wp:effectExtent b="0" l="0" r="0" t="0"/>
                        <wp:docPr descr="" title="" id="139" name="Picture"/>
                        <a:graphic>
                          <a:graphicData uri="http://schemas.openxmlformats.org/drawingml/2006/picture">
                            <pic:pic>
                              <pic:nvPicPr>
                                <pic:cNvPr descr="index_files/figure-docx/fig-resids-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Residual plots for models.</w:t>
                  </w:r>
                </w:p>
                <w:bookmarkEnd w:id="14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45" w:name="fig-resids-2"/>
                <w:p>
                  <w:pPr>
                    <w:pStyle w:val="Compact"/>
                    <w:jc w:val="center"/>
                    <w:jc w:val="left"/>
                  </w:pPr>
                  <w:r>
                    <w:drawing>
                      <wp:inline>
                        <wp:extent cx="4620126" cy="3696101"/>
                        <wp:effectExtent b="0" l="0" r="0" t="0"/>
                        <wp:docPr descr="" title="" id="143" name="Picture"/>
                        <a:graphic>
                          <a:graphicData uri="http://schemas.openxmlformats.org/drawingml/2006/picture">
                            <pic:pic>
                              <pic:nvPicPr>
                                <pic:cNvPr descr="index_files/figure-docx/fig-resids-2.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10: Residual plots for models.</w:t>
                  </w:r>
                </w:p>
                <w:bookmarkEnd w:id="145"/>
              </w:tc>
            </w:tr>
          </w:tbl>
          <w:p/>
        </w:tc>
        <w:tc>
          <w:tcPr/>
          <w:tbl>
            <w:tblPr>
              <w:tblStyle w:val="Table"/>
              <w:tblW w:type="pct" w:w="5000"/>
              <w:tblLayout w:type="fixed"/>
              <w:tblLook w:firstRow="0" w:lastRow="0" w:firstColumn="0" w:lastColumn="0" w:noHBand="0" w:noVBand="0" w:val="0000"/>
            </w:tblPr>
            <w:tblGrid>
              <w:gridCol w:w="7920"/>
            </w:tblGrid>
            <w:tr>
              <w:tc>
                <w:tcPr/>
                <w:bookmarkStart w:id="149" w:name="fig-resids-3"/>
                <w:p>
                  <w:pPr>
                    <w:pStyle w:val="Compact"/>
                    <w:jc w:val="center"/>
                    <w:jc w:val="left"/>
                  </w:pPr>
                  <w:r>
                    <w:drawing>
                      <wp:inline>
                        <wp:extent cx="4620126" cy="3696101"/>
                        <wp:effectExtent b="0" l="0" r="0" t="0"/>
                        <wp:docPr descr="" title="" id="147" name="Picture"/>
                        <a:graphic>
                          <a:graphicData uri="http://schemas.openxmlformats.org/drawingml/2006/picture">
                            <pic:pic>
                              <pic:nvPicPr>
                                <pic:cNvPr descr="index_files/figure-docx/fig-resids-3.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11: Residual plots for models.</w:t>
                  </w:r>
                </w:p>
                <w:bookmarkEnd w:id="149"/>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3" w:name="fig-resids-4"/>
                <w:p>
                  <w:pPr>
                    <w:pStyle w:val="Compact"/>
                    <w:jc w:val="center"/>
                    <w:jc w:val="left"/>
                  </w:pPr>
                  <w:r>
                    <w:drawing>
                      <wp:inline>
                        <wp:extent cx="4620126" cy="3696101"/>
                        <wp:effectExtent b="0" l="0" r="0" t="0"/>
                        <wp:docPr descr="" title="" id="151" name="Picture"/>
                        <a:graphic>
                          <a:graphicData uri="http://schemas.openxmlformats.org/drawingml/2006/picture">
                            <pic:pic>
                              <pic:nvPicPr>
                                <pic:cNvPr descr="index_files/figure-docx/fig-resids-4.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12: Residual plots for models.</w:t>
                  </w:r>
                </w:p>
                <w:bookmarkEnd w:id="153"/>
              </w:tc>
            </w:tr>
          </w:tbl>
          <w:p/>
        </w:tc>
        <w:tc>
          <w:tcPr/>
          <w:tbl>
            <w:tblPr>
              <w:tblStyle w:val="Table"/>
              <w:tblW w:type="pct" w:w="5000"/>
              <w:tblLayout w:type="fixed"/>
              <w:tblLook w:firstRow="0" w:lastRow="0" w:firstColumn="0" w:lastColumn="0" w:noHBand="0" w:noVBand="0" w:val="0000"/>
            </w:tblPr>
            <w:tblGrid>
              <w:gridCol w:w="7920"/>
            </w:tblGrid>
            <w:tr>
              <w:tc>
                <w:tcPr/>
                <w:bookmarkStart w:id="157" w:name="fig-resids-5"/>
                <w:p>
                  <w:pPr>
                    <w:pStyle w:val="Compact"/>
                    <w:jc w:val="center"/>
                    <w:jc w:val="left"/>
                  </w:pPr>
                  <w:r>
                    <w:drawing>
                      <wp:inline>
                        <wp:extent cx="4620126" cy="3696101"/>
                        <wp:effectExtent b="0" l="0" r="0" t="0"/>
                        <wp:docPr descr="" title="" id="155" name="Picture"/>
                        <a:graphic>
                          <a:graphicData uri="http://schemas.openxmlformats.org/drawingml/2006/picture">
                            <pic:pic>
                              <pic:nvPicPr>
                                <pic:cNvPr descr="index_files/figure-docx/fig-resids-5.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1" w:name="fig-resids-6"/>
                <w:p>
                  <w:pPr>
                    <w:pStyle w:val="Compact"/>
                    <w:jc w:val="center"/>
                    <w:jc w:val="left"/>
                  </w:pPr>
                  <w:r>
                    <w:drawing>
                      <wp:inline>
                        <wp:extent cx="4620126" cy="3696101"/>
                        <wp:effectExtent b="0" l="0" r="0" t="0"/>
                        <wp:docPr descr="" title="" id="159" name="Picture"/>
                        <a:graphic>
                          <a:graphicData uri="http://schemas.openxmlformats.org/drawingml/2006/picture">
                            <pic:pic>
                              <pic:nvPicPr>
                                <pic:cNvPr descr="index_files/figure-docx/fig-resids-6.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61"/>
              </w:tc>
            </w:tr>
          </w:tbl>
          <w:p/>
        </w:tc>
        <w:tc>
          <w:tcPr/>
          <w:tbl>
            <w:tblPr>
              <w:tblStyle w:val="Table"/>
              <w:tblW w:type="pct" w:w="5000"/>
              <w:tblLayout w:type="fixed"/>
              <w:tblLook w:firstRow="0" w:lastRow="0" w:firstColumn="0" w:lastColumn="0" w:noHBand="0" w:noVBand="0" w:val="0000"/>
            </w:tblPr>
            <w:tblGrid>
              <w:gridCol w:w="7920"/>
            </w:tblGrid>
            <w:tr>
              <w:tc>
                <w:tcPr/>
                <w:bookmarkStart w:id="165" w:name="fig-resids-7"/>
                <w:p>
                  <w:pPr>
                    <w:pStyle w:val="Compact"/>
                    <w:jc w:val="center"/>
                    <w:jc w:val="left"/>
                  </w:pPr>
                  <w:r>
                    <w:drawing>
                      <wp:inline>
                        <wp:extent cx="4620126" cy="3696101"/>
                        <wp:effectExtent b="0" l="0" r="0" t="0"/>
                        <wp:docPr descr="" title="" id="163" name="Picture"/>
                        <a:graphic>
                          <a:graphicData uri="http://schemas.openxmlformats.org/drawingml/2006/picture">
                            <pic:pic>
                              <pic:nvPicPr>
                                <pic:cNvPr descr="index_files/figure-docx/fig-resids-7.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5"/>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9" w:name="fig-resids-8"/>
                <w:p>
                  <w:pPr>
                    <w:pStyle w:val="Compact"/>
                    <w:jc w:val="center"/>
                    <w:jc w:val="left"/>
                  </w:pPr>
                  <w:r>
                    <w:drawing>
                      <wp:inline>
                        <wp:extent cx="4620126" cy="3696101"/>
                        <wp:effectExtent b="0" l="0" r="0" t="0"/>
                        <wp:docPr descr="" title="" id="167" name="Picture"/>
                        <a:graphic>
                          <a:graphicData uri="http://schemas.openxmlformats.org/drawingml/2006/picture">
                            <pic:pic>
                              <pic:nvPicPr>
                                <pic:cNvPr descr="index_files/figure-docx/fig-resids-8.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9"/>
              </w:tc>
            </w:tr>
          </w:tbl>
          <w:p/>
        </w:tc>
        <w:tc>
          <w:tcPr/>
          <w:tbl>
            <w:tblPr>
              <w:tblStyle w:val="Table"/>
              <w:tblW w:type="pct" w:w="5000"/>
              <w:tblLayout w:type="fixed"/>
              <w:tblLook w:firstRow="0" w:lastRow="0" w:firstColumn="0" w:lastColumn="0" w:noHBand="0" w:noVBand="0" w:val="0000"/>
            </w:tblPr>
            <w:tblGrid>
              <w:gridCol w:w="7920"/>
            </w:tblGrid>
            <w:tr>
              <w:tc>
                <w:tcPr/>
                <w:bookmarkStart w:id="173" w:name="fig-resids-9"/>
                <w:p>
                  <w:pPr>
                    <w:pStyle w:val="Compact"/>
                    <w:jc w:val="center"/>
                    <w:jc w:val="left"/>
                  </w:pPr>
                  <w:r>
                    <w:drawing>
                      <wp:inline>
                        <wp:extent cx="4620126" cy="3696101"/>
                        <wp:effectExtent b="0" l="0" r="0" t="0"/>
                        <wp:docPr descr="" title="" id="171" name="Picture"/>
                        <a:graphic>
                          <a:graphicData uri="http://schemas.openxmlformats.org/drawingml/2006/picture">
                            <pic:pic>
                              <pic:nvPicPr>
                                <pic:cNvPr descr="index_files/figure-docx/fig-resids-9.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7" w:name="fig-resids-10"/>
                <w:p>
                  <w:pPr>
                    <w:pStyle w:val="Compact"/>
                    <w:jc w:val="center"/>
                    <w:jc w:val="left"/>
                  </w:pPr>
                  <w:r>
                    <w:drawing>
                      <wp:inline>
                        <wp:extent cx="4620126" cy="3696101"/>
                        <wp:effectExtent b="0" l="0" r="0" t="0"/>
                        <wp:docPr descr="" title="" id="175" name="Picture"/>
                        <a:graphic>
                          <a:graphicData uri="http://schemas.openxmlformats.org/drawingml/2006/picture">
                            <pic:pic>
                              <pic:nvPicPr>
                                <pic:cNvPr descr="index_files/figure-docx/fig-resids-10.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7"/>
              </w:tc>
            </w:tr>
          </w:tbl>
          <w:p/>
        </w:tc>
        <w:tc>
          <w:tcPr/>
          <w:tbl>
            <w:tblPr>
              <w:tblStyle w:val="Table"/>
              <w:tblW w:type="pct" w:w="5000"/>
              <w:tblLayout w:type="fixed"/>
              <w:tblLook w:firstRow="0" w:lastRow="0" w:firstColumn="0" w:lastColumn="0" w:noHBand="0" w:noVBand="0" w:val="0000"/>
            </w:tblPr>
            <w:tblGrid>
              <w:gridCol w:w="7920"/>
            </w:tblGrid>
            <w:tr>
              <w:tc>
                <w:tcPr/>
                <w:bookmarkStart w:id="181" w:name="fig-resids-11"/>
                <w:p>
                  <w:pPr>
                    <w:pStyle w:val="Compact"/>
                    <w:jc w:val="center"/>
                    <w:jc w:val="left"/>
                  </w:pPr>
                  <w:r>
                    <w:drawing>
                      <wp:inline>
                        <wp:extent cx="4620126" cy="3696101"/>
                        <wp:effectExtent b="0" l="0" r="0" t="0"/>
                        <wp:docPr descr="" title="" id="179" name="Picture"/>
                        <a:graphic>
                          <a:graphicData uri="http://schemas.openxmlformats.org/drawingml/2006/picture">
                            <pic:pic>
                              <pic:nvPicPr>
                                <pic:cNvPr descr="index_files/figure-docx/fig-resids-1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8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5" w:name="fig-resids-12"/>
                <w:p>
                  <w:pPr>
                    <w:pStyle w:val="Compact"/>
                    <w:jc w:val="center"/>
                    <w:jc w:val="left"/>
                  </w:pPr>
                  <w:r>
                    <w:drawing>
                      <wp:inline>
                        <wp:extent cx="4620126" cy="3696101"/>
                        <wp:effectExtent b="0" l="0" r="0" t="0"/>
                        <wp:docPr descr="" title="" id="183" name="Picture"/>
                        <a:graphic>
                          <a:graphicData uri="http://schemas.openxmlformats.org/drawingml/2006/picture">
                            <pic:pic>
                              <pic:nvPicPr>
                                <pic:cNvPr descr="index_files/figure-docx/fig-resids-12.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5"/>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finagling with game attendance figures. The WNBA appears to give attendance counting instructions to teams that define attendance as turnstile count, plus season ticket sales, plus complimentary tickets and promotions. There is considerable for these factors to be manipulated, rendering the possibility of noise in the attendance figures we use.</w:t>
      </w:r>
    </w:p>
  </w:footnote>
  <w:footnote w:id="15">
    <w:p>
      <w:pPr>
        <w:pStyle w:val="FootnoteText"/>
      </w:pPr>
      <w:r>
        <w:rPr>
          <w:rStyle w:val="FootnoteReference"/>
        </w:rPr>
        <w:footnoteRef/>
      </w:r>
      <w:r>
        <w:t xml:space="preserve"> </w:t>
      </w:r>
      <w:r>
        <w:t xml:space="preserve">We were only able to collect an estimate for the</w:t>
      </w:r>
      <w:r>
        <w:t xml:space="preserve"> </w:t>
      </w:r>
      <w:r>
        <w:rPr>
          <w:i/>
          <w:iCs/>
        </w:rPr>
        <w:t xml:space="preserve">current</w:t>
      </w:r>
      <w:r>
        <w:t xml:space="preserve"> </w:t>
      </w:r>
      <w:r>
        <w:t xml:space="preserve">arena capacity, which is not necessarily the same as the arena capacity on the day of the game.</w:t>
      </w:r>
    </w:p>
  </w:footnote>
  <w:footnote w:id="44">
    <w:p>
      <w:pPr>
        <w:pStyle w:val="FootnoteText"/>
      </w:pPr>
      <w:r>
        <w:rPr>
          <w:rStyle w:val="FootnoteReference"/>
        </w:rPr>
        <w:footnoteRef/>
      </w:r>
      <w:r>
        <w:t xml:space="preserve"> </w:t>
      </w:r>
      <w:r>
        <w:t xml:space="preserve">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138" Target="media/rId13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53" Target="media/rId53.png" /><Relationship Type="http://schemas.openxmlformats.org/officeDocument/2006/relationships/image" Id="rId67" Target="media/rId67.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131" Target="https://accessecon.com/pubs/eb/2003/volume1/eb-03a10003a.pdf" TargetMode="External" /><Relationship Type="http://schemas.openxmlformats.org/officeDocument/2006/relationships/hyperlink" Id="rId121" Target="https://doi.org/10.1002/(SICI)1099-1255(199611)11:6&lt;619::AID-JAE418&gt;3.0.CO;2-1" TargetMode="External" /><Relationship Type="http://schemas.openxmlformats.org/officeDocument/2006/relationships/hyperlink" Id="rId110" Target="https://doi.org/10.1002/mde.1308" TargetMode="External" /><Relationship Type="http://schemas.openxmlformats.org/officeDocument/2006/relationships/hyperlink" Id="rId127" Target="https://doi.org/10.1080/00031305.2016.1154108" TargetMode="External" /><Relationship Type="http://schemas.openxmlformats.org/officeDocument/2006/relationships/hyperlink" Id="rId129" Target="https://doi.org/10.1080/00031305.2019.1583913" TargetMode="External" /><Relationship Type="http://schemas.openxmlformats.org/officeDocument/2006/relationships/hyperlink" Id="rId116"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4"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3" Target="https://doi.org/10.3390/ijfs7010012" TargetMode="External" /><Relationship Type="http://schemas.openxmlformats.org/officeDocument/2006/relationships/hyperlink" Id="rId11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18" Target="https://www.jstor.org/stable/1924766" TargetMode="External" /><Relationship Type="http://schemas.openxmlformats.org/officeDocument/2006/relationships/hyperlink" Id="rId133"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31" Target="https://accessecon.com/pubs/eb/2003/volume1/eb-03a10003a.pdf" TargetMode="External" /><Relationship Type="http://schemas.openxmlformats.org/officeDocument/2006/relationships/hyperlink" Id="rId121" Target="https://doi.org/10.1002/(SICI)1099-1255(199611)11:6&lt;619::AID-JAE418&gt;3.0.CO;2-1" TargetMode="External" /><Relationship Type="http://schemas.openxmlformats.org/officeDocument/2006/relationships/hyperlink" Id="rId110" Target="https://doi.org/10.1002/mde.1308" TargetMode="External" /><Relationship Type="http://schemas.openxmlformats.org/officeDocument/2006/relationships/hyperlink" Id="rId127" Target="https://doi.org/10.1080/00031305.2016.1154108" TargetMode="External" /><Relationship Type="http://schemas.openxmlformats.org/officeDocument/2006/relationships/hyperlink" Id="rId129" Target="https://doi.org/10.1080/00031305.2019.1583913" TargetMode="External" /><Relationship Type="http://schemas.openxmlformats.org/officeDocument/2006/relationships/hyperlink" Id="rId116" Target="https://doi.org/10.1080/14660970.2022.2037218" TargetMode="External" /><Relationship Type="http://schemas.openxmlformats.org/officeDocument/2006/relationships/hyperlink" Id="rId106" Target="https://doi.org/10.1080/17430437.2017.1346620" TargetMode="External" /><Relationship Type="http://schemas.openxmlformats.org/officeDocument/2006/relationships/hyperlink" Id="rId91" Target="https://doi.org/10.1111/ecin.12061" TargetMode="External" /><Relationship Type="http://schemas.openxmlformats.org/officeDocument/2006/relationships/hyperlink" Id="rId99" Target="https://doi.org/10.1123/jsm.16.4.311" TargetMode="External" /><Relationship Type="http://schemas.openxmlformats.org/officeDocument/2006/relationships/hyperlink" Id="rId97" Target="https://doi.org/10.1123/jsm.2019-0404" TargetMode="External" /><Relationship Type="http://schemas.openxmlformats.org/officeDocument/2006/relationships/hyperlink" Id="rId87" Target="https://doi.org/10.1177/019372359001400102" TargetMode="External" /><Relationship Type="http://schemas.openxmlformats.org/officeDocument/2006/relationships/hyperlink" Id="rId108" Target="https://doi.org/10.1177/152700250200300204" TargetMode="External" /><Relationship Type="http://schemas.openxmlformats.org/officeDocument/2006/relationships/hyperlink" Id="rId89" Target="https://doi.org/10.1177/1527002504265957" TargetMode="External" /><Relationship Type="http://schemas.openxmlformats.org/officeDocument/2006/relationships/hyperlink" Id="rId95" Target="https://doi.org/10.1177/1527002508327387" TargetMode="External" /><Relationship Type="http://schemas.openxmlformats.org/officeDocument/2006/relationships/hyperlink" Id="rId114" Target="https://doi.org/10.1177/1527002509337212" TargetMode="External" /><Relationship Type="http://schemas.openxmlformats.org/officeDocument/2006/relationships/hyperlink" Id="rId93" Target="https://doi.org/10.1177/155862350800300105" TargetMode="External" /><Relationship Type="http://schemas.openxmlformats.org/officeDocument/2006/relationships/hyperlink" Id="rId104" Target="https://doi.org/10.32614/cran.package.wehoop" TargetMode="External" /><Relationship Type="http://schemas.openxmlformats.org/officeDocument/2006/relationships/hyperlink" Id="rId85" Target="https://doi.org/10.32731/IJSF/181.022023.03" TargetMode="External" /><Relationship Type="http://schemas.openxmlformats.org/officeDocument/2006/relationships/hyperlink" Id="rId123" Target="https://doi.org/10.3390/ijfs7010012" TargetMode="External" /><Relationship Type="http://schemas.openxmlformats.org/officeDocument/2006/relationships/hyperlink" Id="rId11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02" Target="https://polecom.org/index.php/polecom/article/view/119" TargetMode="External" /><Relationship Type="http://schemas.openxmlformats.org/officeDocument/2006/relationships/hyperlink" Id="rId83" Target="https://www.acrossthetimeline.com/wnba/attendance.html" TargetMode="External" /><Relationship Type="http://schemas.openxmlformats.org/officeDocument/2006/relationships/hyperlink" Id="rId118" Target="https://www.jstor.org/stable/1924766" TargetMode="External" /><Relationship Type="http://schemas.openxmlformats.org/officeDocument/2006/relationships/hyperlink" Id="rId133"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 Player Salary, Winning Percentage</cp:keywords>
  <dcterms:created xsi:type="dcterms:W3CDTF">2026-06-03T19:29:20Z</dcterms:created>
  <dcterms:modified xsi:type="dcterms:W3CDTF">2026-06-03T19:29:20Z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central question in the intersection between sports economics and sports analytics is how to quantify the effects of what happens on the court or field on a team’s revenue. In general, the literature expects that stronger teams will see higher live game attendance, but previous research has not found a statistically significant relationship between winning percentage and attendance in the WNBA (Agha and Berri 2023). Our study improves upon theirs by using a rolling win count from the past 44 games played rather than a seasonal winning-percentage to predict per game attendance. This avoids look-ahead bias, as fans cannot be expected to know a team’s future performance when deciding to attend a game. Using game-level data for all WNBA regular-season games from 2018–2024, we estimated an ordinary least squares model of per-game attendance with team and season fixed effects and a dummy variable for whether Caitlin Clark played. We then translated player win shares into expected attendance impacts by mapping individual contributions to team wins onto the estimated attendance–winning relationship. We chose to focus on attendance as a proxy for revenue following the research framework from Scully (1974), due to concerns about revenue data availability. We used attendance data from the “Across the Timeline: WNBA League Attendance Dashboard”, which records game-level attendance data for all WNBA games. We find a significant relationship between rolling win count and game attendance, with game attendance expected to increase by 112 people for each additional win in the 44 game window. This means that a player like Allisha Gray, for example, who we estimate contributed 10 wins to the Atlanta Dream in 2024, boosted attendance by approximately 1,100 attendees per game. These results highlight the importance of short-run performance in shaping fan demand and provide a framework for linking individual player performance to team-level revenue outcomes in women’s professional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2026-06-03</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