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6.png" ContentType="image/png"/>
  <Override PartName="/word/media/rId30.png" ContentType="image/png"/>
  <Override PartName="/word/media/rId15.png" ContentType="image/png"/>
  <Override PartName="/word/media/rId51.png" ContentType="image/png"/>
  <Override PartName="/word/media/rId56.png" ContentType="image/png"/>
  <Override PartName="/word/media/rId35.png" ContentType="image/png"/>
  <Override PartName="/word/media/rId21.png" ContentType="image/png"/>
  <Override PartName="/word/media/rId157.png" ContentType="image/png"/>
  <Override PartName="/word/media/rId193.png" ContentType="image/png"/>
  <Override PartName="/word/media/rId197.png" ContentType="image/png"/>
  <Override PartName="/word/media/rId201.png" ContentType="image/png"/>
  <Override PartName="/word/media/rId161.png" ContentType="image/png"/>
  <Override PartName="/word/media/rId165.png" ContentType="image/png"/>
  <Override PartName="/word/media/rId169.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70.png" ContentType="image/png"/>
  <Override PartName="/word/media/rId83.png" ContentType="image/png"/>
  <Override PartName="/word/media/rId75.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Winning and Attendance in the WNBA</w:t>
      </w:r>
    </w:p>
    <w:p>
      <w:pPr>
        <w:pStyle w:val="Author"/>
      </w:pPr>
      <w:r>
        <w:t xml:space="preserve">Gabriela Eastwood</w:t>
      </w:r>
    </w:p>
    <w:p>
      <w:pPr>
        <w:pStyle w:val="Author"/>
      </w:pPr>
      <w:r>
        <w:t xml:space="preserve">Benjamin S. Baumer</w:t>
      </w:r>
    </w:p>
    <w:p>
      <w:pPr>
        <w:pStyle w:val="Author"/>
      </w:pPr>
      <w:r>
        <w:t xml:space="preserve">Andrew Zimbalist</w:t>
      </w:r>
    </w:p>
    <w:p>
      <w:pPr>
        <w:pStyle w:val="Date"/>
      </w:pPr>
      <w:r>
        <w:t xml:space="preserve">2026-06-08</w:t>
      </w:r>
    </w:p>
    <w:p>
      <w:pPr>
        <w:pStyle w:val="AbstractTitle"/>
      </w:pPr>
      <w:r>
        <w:t xml:space="preserve">Abstract</w:t>
      </w:r>
    </w:p>
    <w:p>
      <w:pPr>
        <w:pStyle w:val="Abstract"/>
      </w:pPr>
      <w:r>
        <w:t xml:space="preserve">This paper examines how the relationship between team quality, game quality, and attendance has changed over the history of the WNBA. In general, the literature expects that stronger teams will see higher live game attendance in professional sports. However, previous research and analyst commentary has cast doubt on the strength of the relationship between team strength and game attendance in the WNBA. Our study improves upon previous research by studying attendance in the broader context of the league’s growth during 1997-2025, finding that the factors that drive fan demand have evolved as the league has matured. We test whether three leading theories of fan behavior- quality of play, loss aversion, and outcome uncertainty- have become more important drivers of attendance as the league has grown. We use game-level attendance data reported directly by the WNBA from the “Across the Timeline: WNBA League Attendance Dashboard” as well as team ELO ratings and game-by-game home win probabilities and find that in recent years fans are increasingly likely to attend games in response to these factors. ELO ratings and win probabilities offer a significant advantage to other measures of team strength or outcome likelihood because they are dynamic and incorporate information available up to the date of each game. Our results suggest that the WNBA is entering a new era in which fans are choosing to attend games to watch good basketball rather than novelty-driven interest or broader support for women’s sports.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2" w:name="sec-intro"/>
    <w:p>
      <w:pPr>
        <w:pStyle w:val="Heading2"/>
      </w:pPr>
      <w:r>
        <w:t xml:space="preserve">1 Introduction</w:t>
      </w:r>
    </w:p>
    <w:p>
      <w:pPr>
        <w:pStyle w:val="FirstParagraph"/>
      </w:pPr>
      <w:r>
        <w:t xml:space="preserve">In the years prior to the 2020 WNBA collective bargaining agreement (CBA), NBA Commissioner Adam Silver publicly characterized the women’s league as unpopular and unprofitable</w:t>
      </w:r>
      <w:r>
        <w:t xml:space="preserve"> </w:t>
      </w:r>
      <w:r>
        <w:t xml:space="preserve">(Garcia 2020)</w:t>
      </w:r>
      <w:r>
        <w:t xml:space="preserve">. Again during the CBA renegotiations in 2025, NBA and WNBA leadership made similar negative claims about the women’s league’s long term viability. While league leadership has been ironically pessimistic about the health of the WNBA in recent years, their claims stand in tension with recent trends: the league has enjoyed a significant increase in attendance and fan interest in the past several seasons.</w:t>
      </w:r>
    </w:p>
    <w:p>
      <w:pPr>
        <w:pStyle w:val="BodyText"/>
      </w:pPr>
      <w:r>
        <w:t xml:space="preserve">While this trend is encouraging for anyone interested in the success of the WNBA, breaking down further the underlying components of this trend is necessary both to explain and sustain this growth. For decades, league officials and sports economists have debated the primary drivers of game attendance, identifying game-related and market-related factors impacting fan interest and game attendance. Much of this research, beginning with foundational work in the 1970s, assumes that fans are more likely to attend games when the home team is expected to do well. This relationship is widely tested and supported in men’s professional sports, but women’s leagues and the WNBA in particular are still largely underresearched. As a relatively young league with rapid growth in viewership</w:t>
      </w:r>
      <w:r>
        <w:t xml:space="preserve"> </w:t>
      </w:r>
      <w:r>
        <w:t xml:space="preserve">(WNBA 2024)</w:t>
      </w:r>
      <w:r>
        <w:t xml:space="preserve"> </w:t>
      </w:r>
      <w:r>
        <w:t xml:space="preserve">but limited publicly available financial data, game attendance remains the most readily available proxy variable for public interest in the WNBA.</w:t>
      </w:r>
    </w:p>
    <w:p>
      <w:pPr>
        <w:pStyle w:val="BodyText"/>
      </w:pPr>
      <w:r>
        <w:t xml:space="preserve">A key line of research in sports economics links fan demand to expectations about game outcomes. Early work such as the uncertainty-of-outcome hypothesis suggests that attendance is higher when game results are less predictable, increasing perceived excitement. In their 2014 paper, Coates et al. use more recent behavioral economics models to suggest that people evaluate gains and losses relative to a reference point and tend to dislike losses more than they like equivalent wins</w:t>
      </w:r>
      <w:r>
        <w:t xml:space="preserve"> </w:t>
      </w:r>
      <w:r>
        <w:t xml:space="preserve">(Coates et al. 2014)</w:t>
      </w:r>
      <w:r>
        <w:t xml:space="preserve">. They argue that applying this idea of loss aversion may better explain why fans choose to go games than the uncertainty of outcome hypothesis. They use MLB live-game attendance data to find attendance patterns consistent with the hypothesis that fans are less likely to attend games in which they expect the home-team to lose</w:t>
      </w:r>
      <w:r>
        <w:t xml:space="preserve"> </w:t>
      </w:r>
      <w:r>
        <w:t xml:space="preserve">(Coates et al. 2014)</w:t>
      </w:r>
      <w:r>
        <w:t xml:space="preserve">. These frameworks together suggest that attendance decisions are sensitive not only to team quality, but to expectations about competitive performance and likely game outcomes.</w:t>
      </w:r>
    </w:p>
    <w:p>
      <w:pPr>
        <w:pStyle w:val="BodyText"/>
      </w:pPr>
      <w:r>
        <w:t xml:space="preserve">In the first study in sports economics that sought to empirically identify the factors that affected attendance,</w:t>
      </w:r>
      <w:r>
        <w:t xml:space="preserve"> </w:t>
      </w:r>
      <w:r>
        <w:t xml:space="preserve">Noll (1974)</w:t>
      </w:r>
      <w:r>
        <w:t xml:space="preserve"> </w:t>
      </w:r>
      <w:r>
        <w:t xml:space="preserve">considered data from MLB, the NFL, NHL, NBA and ABA (American Basketball Association) for the 1969-70 and 1970-71 seasons and found that demand was a function of population, interactions of income with star players, team win percentage, and per capita income.</w:t>
      </w:r>
      <w:r>
        <w:t xml:space="preserve"> </w:t>
      </w:r>
      <w:r>
        <w:t xml:space="preserve">Multiple subsequent studies on men’s professional team sports continued to find a statistically significant correlation between team quality and attendance.</w:t>
      </w:r>
      <w:r>
        <w:t xml:space="preserve"> </w:t>
      </w:r>
      <w:r>
        <w:t xml:space="preserve">In these studies, a debate emerged about the direction of causality: did strong team performance engender higher attendance or vice versa</w:t>
      </w:r>
      <w:r>
        <w:t xml:space="preserve"> </w:t>
      </w:r>
      <w:r>
        <w:t xml:space="preserve">(Baade and Tiehen 1990; Clapp and Hakes 2005; Davis 2008, 2009; Horowitz 2007; Lemke et al. 2010)</w:t>
      </w:r>
      <w:r>
        <w:t xml:space="preserve">?</w:t>
      </w:r>
      <w:r>
        <w:t xml:space="preserve"> </w:t>
      </w:r>
      <w:r>
        <w:t xml:space="preserve">While no Granger causality tests were run, the predominant view has been causality running from team performance to attendance</w:t>
      </w:r>
      <w:r>
        <w:t xml:space="preserve"> </w:t>
      </w:r>
      <w:r>
        <w:t xml:space="preserve">(Hall et al. 2002)</w:t>
      </w:r>
      <w:r>
        <w:t xml:space="preserve">.</w:t>
      </w:r>
    </w:p>
    <w:p>
      <w:pPr>
        <w:pStyle w:val="BodyText"/>
      </w:pPr>
      <w:r>
        <w:t xml:space="preserve">Finally, situating these revenue models within the broader league structure, sports economists have written extensively about the relationship between winningness and team revenue, particularly about how competitive balance benefits teams across the league in generating revenue. While teams and fans want to win as many games as possible, significant imbalance in winning percentages across a professional sports league will tend to decrease viewership as spectators will only watch a game if they have some uncertainty about the outcome</w:t>
      </w:r>
      <w:r>
        <w:t xml:space="preserve"> </w:t>
      </w:r>
      <w:r>
        <w:t xml:space="preserve">(Perline et al. 2018)</w:t>
      </w:r>
      <w:r>
        <w:t xml:space="preserve">. In their study of competitive balance in NCAA basketball, Perline et al. found that the women’s game was significantly less balanced than the men’s game, looking at the standard deviation and the range of winning percentages for teams in the women’s Division I</w:t>
      </w:r>
      <w:r>
        <w:t xml:space="preserve"> </w:t>
      </w:r>
      <w:r>
        <w:t xml:space="preserve">(Perline et al. 2018)</w:t>
      </w:r>
      <w:r>
        <w:t xml:space="preserve">. They hypothesize that the difference in the competitive balance of the men’s and women’s games could be one cause of lower revenue generation and attendance in the women’s game.</w:t>
      </w:r>
    </w:p>
    <w:p>
      <w:pPr>
        <w:pStyle w:val="BodyText"/>
      </w:pPr>
      <w:r>
        <w:t xml:space="preserve">In their study of attendance determinants in the WNBA, Agha and Berri argue that a major reason why attendance is considerably lower at WNBA games than NBA games is that the women’s league is still in its early years, only beginning play in 1997 compared to the NBA’s 1946. To account for this, they compare attendance in the tenth season of the WNBA (2006) and the NBA (1955/56) (Agha and Berri, 2023, p. 36.) In their respective tenth years, the WNBA average attendance per home game exceeded the NBA’s by more than 2,000 fans per game. This comparison suggests that the current disparity in attendance between the women’s and men’s league should not be interpreted as a lack of demand, but rather a sign of the league’s maturity. Considering the league’s age as a factor in demand for attendance, it is interesting to inquire further into whether patterns of fan behavior change as the league matures. Agha and Berri attempt to establish whether different forces shape demand for attendance in the WNBA and the NBA, finding that team performance was not a statistically significant predictor of game attendance in the WNBA. As noted above, this is contrary to the virtually unanimous finding in the existing scholarship for men’s leagues. However, their study only employed data from 2004 through 2017 and thus can not capture the more recent improvements in attendance shown in figure 1. They also measure a team’s strength using the team’s winning percentage from the previous year which raises issues because fans are more likely to respond to the more recent performance of the team. Thus, while a team’s win percentage in 2016 might have an appreciable impact on the team’s attendance at the beginning of the 2017 season, as the season wears on, this impact should consistently diminish. For this reason, we chose to use a team’s ELO rating as the measure of team strength because the ELO rating updates with each game, thus more accurately reflecting the information that fans have access to in deciding to attend games.</w:t>
      </w:r>
    </w:p>
    <w:p>
      <w:pPr>
        <w:pStyle w:val="BodyText"/>
      </w:pPr>
      <w:r>
        <w:t xml:space="preserve">Despite the issues with Agha and Berri’s study, their observation that between 2004 and 2017 the relationship between team strength and attendance in the WNBA was weak is not incorrect. The disparity between raw attendance numbers and attendance driving factors in the NBA and WNBA cannot be attributed to the age of the leagues alone. Additional important factors include: the WNBA plays during the summer months in order to promote arena use outside of the NBA season; there is less money spent on promotion; reduced media coverage; historical prejudice; arena amenities and age; and ticket prices, among others. Sport management literature also includes several studies that find a major motivation behind fandom for women’s sports leagues to be an area’s overall support for feminist issues, suggesting that fans in those areas may attend games out of political support rather than to see good basketball</w:t>
      </w:r>
      <w:r>
        <w:t xml:space="preserve"> </w:t>
      </w:r>
      <w:r>
        <w:t xml:space="preserve">(Delia 2020; Guest and Luijten 2018; Leslie-Walker and Mulvenna 2022)</w:t>
      </w:r>
      <w:r>
        <w:t xml:space="preserve">. Factors like the summer season, reduced media coverage, and the association of game attendance with feminist causes all contribute to the argument that the WNBA functions fundamentally differently to the NBA- at least in terms of attendance drivers. This conception of the WNBA as fundamentally different from the NBA is dangerous both to the league’s reputation and future growth, motivating our more thorough examination of game attendance in the context of the league’s history.</w:t>
      </w:r>
    </w:p>
    <w:p>
      <w:pPr>
        <w:pStyle w:val="BodyText"/>
      </w:pPr>
      <w:r>
        <w:t xml:space="preserve">It is reasonable to anticipate that as women’s sports mature and are perceived increasingly as a normal sports league, rather than a political concession or oddity, they will begin to assert similar fan demand characteristics. In particular, fan demand will become more responsive to team quality. Using game attendance</w:t>
      </w:r>
      <w:r>
        <w:rPr>
          <w:rStyle w:val="FootnoteReference"/>
        </w:rPr>
        <w:footnoteReference w:id="10"/>
      </w:r>
      <w:r>
        <w:t xml:space="preserve"> </w:t>
      </w:r>
      <w:r>
        <w:t xml:space="preserve">and team performance data from 1997 through 2025, we test these hypotheses. In viewing more recent attendance figures for the WNBA in the context of the league’s history, we hoped to determine whether predictors of attendance have shifted over time, due to the WNBA’s relative instability as a young league. Specifically, we find that in recent years the strength of the effect of a game’s uncertainty, the strength of both teams, and the likelihood of a home team win, on game attendance has increased, paralleling documented trends in men’s leagues.</w:t>
      </w:r>
    </w:p>
    <w:bookmarkStart w:id="11" w:name="still-to-be-incorporated-in-intro"/>
    <w:p>
      <w:pPr>
        <w:pStyle w:val="Heading3"/>
      </w:pPr>
      <w:r>
        <w:t xml:space="preserve">1.1 still to be incorporated in intro:</w:t>
      </w:r>
    </w:p>
    <w:p>
      <w:pPr>
        <w:pStyle w:val="FirstParagraph"/>
      </w:pPr>
      <w:r>
        <w:t xml:space="preserve">Differences in the literature over how to measure team quality (wins, wins lagged, number of championships in past years, win probability, star power), attendance (logs, lags, linear regression or censored), the inclusion of control variables and non-linear forms also emerged</w:t>
      </w:r>
      <w:r>
        <w:t xml:space="preserve"> </w:t>
      </w:r>
      <w:r>
        <w:t xml:space="preserve">(Wiseman and Chatterjee 2003;</w:t>
      </w:r>
      <w:r>
        <w:t xml:space="preserve"> </w:t>
      </w:r>
      <w:r>
        <w:t xml:space="preserve">Woltring et al.</w:t>
      </w:r>
      <w:r>
        <w:t xml:space="preserve"> </w:t>
      </w:r>
      <w:r>
        <w:t xml:space="preserve">2018; Kim and Chang 2023; DeSchriver and Jensen 2002; Paul et al. 2019)</w:t>
      </w:r>
      <w:r>
        <w:t xml:space="preserve">.</w:t>
      </w:r>
    </w:p>
    <w:p>
      <w:pPr>
        <w:pStyle w:val="BodyText"/>
      </w:pPr>
      <w:r>
        <w:t xml:space="preserve">The relationship between attendance and winning percentage has been examined, but such</w:t>
      </w:r>
      <w:r>
        <w:t xml:space="preserve"> </w:t>
      </w:r>
      <w:r>
        <w:t xml:space="preserve">studies often look at winning percentage as causation for attendance.</w:t>
      </w:r>
      <w:r>
        <w:t xml:space="preserve"> </w:t>
      </w:r>
      <w:r>
        <w:t xml:space="preserve">Davis (2008)</w:t>
      </w:r>
      <w:r>
        <w:t xml:space="preserve"> </w:t>
      </w:r>
      <w:r>
        <w:t xml:space="preserve">and</w:t>
      </w:r>
      <w:r>
        <w:t xml:space="preserve"> </w:t>
      </w:r>
      <w:r>
        <w:t xml:space="preserve">Horowitz (2007)</w:t>
      </w:r>
      <w:r>
        <w:t xml:space="preserve"> </w:t>
      </w:r>
      <w:r>
        <w:t xml:space="preserve">both found that attendance and winning percentage were related.</w:t>
      </w:r>
      <w:r>
        <w:t xml:space="preserve"> </w:t>
      </w:r>
      <w:r>
        <w:t xml:space="preserve">Horowitz concluded a bidirectional relationship between the two, while Davis suggested that causation runs from winning percentage to attendance.</w:t>
      </w:r>
      <w:r>
        <w:t xml:space="preserve"> </w:t>
      </w:r>
      <w:r>
        <w:t xml:space="preserve">In a following study,</w:t>
      </w:r>
      <w:r>
        <w:t xml:space="preserve"> </w:t>
      </w:r>
      <w:r>
        <w:t xml:space="preserve">Davis (2009)</w:t>
      </w:r>
      <w:r>
        <w:t xml:space="preserve"> </w:t>
      </w:r>
      <w:r>
        <w:t xml:space="preserve">found winning percentage as a significant determinant of attendance for 12 National League teams; though the study did not establish causation both ways.</w:t>
      </w:r>
      <w:r>
        <w:t xml:space="preserve"> </w:t>
      </w:r>
      <w:r>
        <w:t xml:space="preserve">Lemke et al. (2010)</w:t>
      </w:r>
      <w:r>
        <w:t xml:space="preserve"> </w:t>
      </w:r>
      <w:r>
        <w:t xml:space="preserve">found attendance increases as home team win probability increases. There is evidence that causation may run from attendance to winning percentage, but the bulk of the literature has been researched the other way.</w:t>
      </w:r>
    </w:p>
    <w:p>
      <w:pPr>
        <w:pStyle w:val="BodyText"/>
      </w:pPr>
      <w:r>
        <w:t xml:space="preserve">The present study controls for payroll and stadium capacity as both have been shown to affect attendance.</w:t>
      </w:r>
      <w:r>
        <w:t xml:space="preserve"> </w:t>
      </w:r>
      <w:r>
        <w:t xml:space="preserve">Wiseman and Chatterjee (2003)</w:t>
      </w:r>
      <w:r>
        <w:t xml:space="preserve"> </w:t>
      </w:r>
      <w:r>
        <w:t xml:space="preserve">found team payroll was positively correlated to team winning percentage (9).</w:t>
      </w:r>
      <w:r>
        <w:t xml:space="preserve"> </w:t>
      </w:r>
      <w:r>
        <w:t xml:space="preserve">Additionally, they found that this relationship has grown stronger since the late 1990’s.</w:t>
      </w:r>
      <w:r>
        <w:t xml:space="preserve"> </w:t>
      </w:r>
      <w:r>
        <w:t xml:space="preserve">Hall et al. (2002)</w:t>
      </w:r>
      <w:r>
        <w:t xml:space="preserve"> </w:t>
      </w:r>
      <w:r>
        <w:t xml:space="preserve">did not find causality evidence from payroll to team winning percentage in their entire dataset, but they did note an increased correlation in the 1990’s.</w:t>
      </w:r>
      <w:r>
        <w:t xml:space="preserve"> </w:t>
      </w:r>
      <w:r>
        <w:t xml:space="preserve">Additionally, they stated that an MLB team with a payroll of at least 150% of the league average could expect a winning percentage of at least .550.</w:t>
      </w:r>
      <w:r>
        <w:t xml:space="preserve"> </w:t>
      </w:r>
      <w:r>
        <w:t xml:space="preserve">This is an important finding, because</w:t>
      </w:r>
      <w:r>
        <w:t xml:space="preserve"> </w:t>
      </w:r>
      <w:r>
        <w:t xml:space="preserve">Vrooman (2012)</w:t>
      </w:r>
      <w:r>
        <w:t xml:space="preserve"> </w:t>
      </w:r>
      <w:r>
        <w:t xml:space="preserve">identified .550 as a benchmark winning percentage for qualifying as a playoff team.</w:t>
      </w:r>
    </w:p>
    <w:bookmarkEnd w:id="11"/>
    <w:bookmarkEnd w:id="12"/>
    <w:bookmarkStart w:id="29" w:name="sec-data"/>
    <w:p>
      <w:pPr>
        <w:pStyle w:val="Heading2"/>
      </w:pPr>
      <w:r>
        <w:t xml:space="preserve">2 Data</w:t>
      </w:r>
    </w:p>
    <w:bookmarkStart w:id="20" w:name="game-logs-and-attendance"/>
    <w:p>
      <w:pPr>
        <w:pStyle w:val="Heading3"/>
      </w:pPr>
      <w:r>
        <w:t xml:space="preserve">2.1 Game logs and attendance</w:t>
      </w:r>
    </w:p>
    <w:p>
      <w:pPr>
        <w:pStyle w:val="FirstParagraph"/>
      </w:pPr>
      <w:r>
        <w:t xml:space="preserve">Our analysis is based on game-level data that spans WNBA history, beginning in 1997 and continuing through the end of the 2025 season.</w:t>
      </w:r>
      <w:r>
        <w:t xml:space="preserve"> </w:t>
      </w:r>
      <w:r>
        <w:t xml:space="preserve">Our final data set contains observations from 6,164 games.</w:t>
      </w:r>
    </w:p>
    <w:p>
      <w:pPr>
        <w:pStyle w:val="BodyText"/>
      </w:pPr>
      <w:r>
        <w:t xml:space="preserve">First, we collected game-level attendance data from</w:t>
      </w:r>
      <w:r>
        <w:t xml:space="preserve"> </w:t>
      </w:r>
      <w:r>
        <w:t xml:space="preserve">(Across the Timeline, n.d.)</w:t>
      </w:r>
      <w:r>
        <w:t xml:space="preserve">, an online repository for women’s basketball data. The site collects attendance numbers directly from the league’s records. Attendance data was unavailable for only 152 games, while (due to the COVID-19 pandemic) 2 games (accurately) recorded attendance of 0. Because the arenas WNBA teams play in vary widely in size– the New York Liberty alone have called both the Barclays Center (17,732 seat capacity) and the Westchester County Center (2,300 seat capacity) home in recent years– we contextualize raw attendance numbers with manually collected arena capacities.</w:t>
      </w:r>
      <w:r>
        <w:rPr>
          <w:rStyle w:val="FootnoteReference"/>
        </w:rPr>
        <w:footnoteReference w:id="13"/>
      </w:r>
      <w:r>
        <w:t xml:space="preserve"> </w:t>
      </w:r>
      <w:r>
        <w:t xml:space="preserve">While teams have many reasons they might choose to play for a sold-out crowd in a smaller arena, smaller venue size will also by nature constrain attendance, making its consideration in our model important.</w:t>
      </w:r>
    </w:p>
    <w:p>
      <w:pPr>
        <w:pStyle w:val="BodyText"/>
      </w:pPr>
      <w:r>
        <w:t xml:space="preserve">Second, we collected game-level performance data from the</w:t>
      </w:r>
      <w:r>
        <w:t xml:space="preserve"> </w:t>
      </w:r>
      <w:r>
        <w:rPr>
          <w:b/>
          <w:bCs/>
        </w:rPr>
        <w:t xml:space="preserve">wehoop</w:t>
      </w:r>
      <w:r>
        <w:t xml:space="preserve"> </w:t>
      </w:r>
      <w:r>
        <w:t xml:space="preserve">R package</w:t>
      </w:r>
      <w:r>
        <w:t xml:space="preserve"> </w:t>
      </w:r>
      <w:r>
        <w:t xml:space="preserve">(Gilani and Hutchinson 2021)</w:t>
      </w:r>
      <w:r>
        <w:t xml:space="preserve">, which uses the official WNBA API.</w:t>
      </w:r>
      <w:r>
        <w:t xml:space="preserve"> </w:t>
      </w:r>
      <w:r>
        <w:t xml:space="preserve">These data include the final score of the game.</w:t>
      </w:r>
      <w:r>
        <w:t xml:space="preserve"> </w:t>
      </w:r>
      <w:r>
        <w:t xml:space="preserve">We also used the</w:t>
      </w:r>
      <w:r>
        <w:t xml:space="preserve"> </w:t>
      </w:r>
      <w:r>
        <w:rPr>
          <w:b/>
          <w:bCs/>
        </w:rPr>
        <w:t xml:space="preserve">wehoop</w:t>
      </w:r>
      <w:r>
        <w:t xml:space="preserve"> </w:t>
      </w:r>
      <w:r>
        <w:t xml:space="preserve">package to identify whether Caitlin Clark played more than 0 minutes in the game.</w:t>
      </w:r>
    </w:p>
    <w:p>
      <w:pPr>
        <w:pStyle w:val="BodyText"/>
      </w:pPr>
      <w:hyperlink w:anchor="tbl-attendance">
        <w:r>
          <w:rPr>
            <w:rStyle w:val="Hyperlink"/>
          </w:rPr>
          <w:t xml:space="preserve">Table 1</w:t>
        </w:r>
      </w:hyperlink>
      <w:r>
        <w:t xml:space="preserve"> </w:t>
      </w:r>
      <w:r>
        <w:t xml:space="preserve">shows a sample of the data.</w:t>
      </w:r>
      <w:r>
        <w:t xml:space="preserve"> </w:t>
      </w:r>
      <w:r>
        <w:t xml:space="preserve">While many other variables are omitted from the table, we note that the attendance, the teams playing in the game, the outcome, the arena, and whether Caitlin Clark played in the game, are recorded.</w:t>
      </w:r>
    </w:p>
    <w:tbl>
      <w:tblPr>
        <w:tblStyle w:val="Table"/>
        <w:tblW w:type="pct" w:w="5000"/>
        <w:tblLayout w:type="fixed"/>
        <w:tblLook w:firstRow="0" w:lastRow="0" w:firstColumn="0" w:lastColumn="0" w:noHBand="0" w:noVBand="0" w:val="0000"/>
      </w:tblPr>
      <w:tblGrid>
        <w:gridCol w:w="7920"/>
      </w:tblGrid>
      <w:tr>
        <w:tc>
          <w:tcPr/>
          <w:bookmarkStart w:id="14" w:name="tbl-attendance"/>
          <w:p>
            <w:pPr>
              <w:jc w:val="center"/>
            </w:pPr>
            <w:pPr>
              <w:jc w:val="left"/>
              <w:spacing w:before="200"/>
              <w:pStyle w:val="ImageCaption"/>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WNBA Game Data (1997-2025)</w:t>
            </w:r>
          </w:p>
          <w:p>
            <w:pPr>
              <w:spacing w:before="0" w:after="60"/>
              <w:keepNext/>
              <w:jc w:val="start"/>
              <w:pStyle w:val="caption"/>
            </w:pPr>
            <w:r>
              <w:rPr>
                <w:rFonts w:ascii="Calibri" w:hAnsi="Calibri"/>
                <w:sz w:val="20"/>
                <w:color w:val="333333"/>
              </w:rPr>
              <w:t xml:space="default">Sample of game-level records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Game Date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Home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Away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Arena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Attendance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Plus Minus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Clark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1998-07-16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NYL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Quicken Loans Arena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2011-06-19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Airways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Airways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2012-06-08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Allstate Arena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2023-05-21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Mohegan Sun Arena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1999-07-09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Spectrum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1998-07-15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Airways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2001-06-02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Palace of Auburn Hills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2001-07-20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Conseco Fieldhouse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p>
            <w:pPr>
              <w:jc w:val="center"/>
            </w:pPr>
            <w:r>
              <w:t xml:space="preserve">Sample of Game-level WNBA data. The data indicates (among other things) which teams were playing, who won, the arena, the attendance, and whether Caitlin Clark played in the game.</w:t>
            </w:r>
          </w:p>
          <w:bookmarkEnd w:id="1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boxplots">
        <w:r>
          <w:rPr>
            <w:rStyle w:val="Hyperlink"/>
          </w:rPr>
          <w:t xml:space="preserve">Figure 1</w:t>
        </w:r>
      </w:hyperlink>
      <w:r>
        <w:t xml:space="preserve"> </w:t>
      </w:r>
      <w:r>
        <w:t xml:space="preserve">shows the distribution of attendance across all seasons, with a logarithmic scale on the vertical axis.</w:t>
      </w:r>
      <w:r>
        <w:t xml:space="preserve"> </w:t>
      </w:r>
      <w:r>
        <w:t xml:space="preserve">There is no attendance data from 2020, because all games that year were played in the WNBA bubble due to the COVID-19 pandemic, and some games in 2021 continued to be played with artificially low attendance.</w:t>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Several broad observations can be made from</w:t>
      </w:r>
      <w:r>
        <w:t xml:space="preserve"> </w:t>
      </w:r>
      <w:hyperlink w:anchor="fig-boxplots">
        <w:r>
          <w:rPr>
            <w:rStyle w:val="Hyperlink"/>
          </w:rPr>
          <w:t xml:space="preserve">Figure 1</w:t>
        </w:r>
      </w:hyperlink>
      <w:r>
        <w:t xml:space="preserve">.</w:t>
      </w:r>
      <w:r>
        <w:t xml:space="preserve"> </w:t>
      </w:r>
      <w:r>
        <w:t xml:space="preserve">First, after some initial enthusiasm during the first three years of the league, attendance largely plateaued or steadily but slightly declined from 2000 to 2017.</w:t>
      </w:r>
      <w:r>
        <w:t xml:space="preserve"> </w:t>
      </w:r>
      <w:r>
        <w:t xml:space="preserve">The two years preceding the pandemic (2018-2019) had notably lower attendance.</w:t>
      </w:r>
      <w:r>
        <w:t xml:space="preserve"> </w:t>
      </w:r>
      <w:r>
        <w:t xml:space="preserve">Since the pandemic, attendance has rebounded, exceeding its initial levels in 2024 and reaching new heights in 2025.</w:t>
      </w:r>
      <w:r>
        <w:t xml:space="preserve"> </w:t>
      </w:r>
      <w:r>
        <w:t xml:space="preserve">In fact, average WNBA attendance in 2025 was 10,986, which was 1.1% higher than the previous high in 1998.</w:t>
      </w:r>
    </w:p>
    <w:p>
      <w:pPr>
        <w:pStyle w:val="BodyText"/>
      </w:pPr>
      <w:r>
        <w:t xml:space="preserve">These last two years coincide with the arrival of Caitlin Clark, the 2024 Rookie of the Year Award winner who is widely regarded as a generational talent.</w:t>
      </w:r>
      <w:r>
        <w:t xml:space="preserve"> </w:t>
      </w:r>
      <w:r>
        <w:t xml:space="preserve">Disentangling the</w:t>
      </w:r>
      <w:r>
        <w:t xml:space="preserve"> </w:t>
      </w:r>
      <w:r>
        <w:t xml:space="preserve">“Caitlin Clark effect”</w:t>
      </w:r>
      <w:r>
        <w:t xml:space="preserve"> </w:t>
      </w:r>
      <w:r>
        <w:t xml:space="preserve">from the league’s overall attendance trends is one of our goals.</w:t>
      </w:r>
    </w:p>
    <w:bookmarkStart w:id="19" w:name="cell-fig-boxplots"/>
    <w:tbl>
      <w:tblPr>
        <w:tblStyle w:val="Table"/>
        <w:tblW w:type="pct" w:w="5000"/>
        <w:tblLayout w:type="fixed"/>
        <w:tblLook w:firstRow="0" w:lastRow="0" w:firstColumn="0" w:lastColumn="0" w:noHBand="0" w:noVBand="0" w:val="0000"/>
      </w:tblPr>
      <w:tblGrid>
        <w:gridCol w:w="7920"/>
      </w:tblGrid>
      <w:tr>
        <w:tc>
          <w:tcPr/>
          <w:bookmarkStart w:id="18" w:name="fig-boxplots"/>
          <w:p>
            <w:pPr>
              <w:pStyle w:val="Compact"/>
              <w:jc w:val="center"/>
            </w:pPr>
            <w:r>
              <w:drawing>
                <wp:inline>
                  <wp:extent cx="4620126" cy="3696101"/>
                  <wp:effectExtent b="0" l="0" r="0" t="0"/>
                  <wp:docPr descr="" title="" id="16" name="Picture"/>
                  <a:graphic>
                    <a:graphicData uri="http://schemas.openxmlformats.org/drawingml/2006/picture">
                      <pic:pic>
                        <pic:nvPicPr>
                          <pic:cNvPr descr="index_files/figure-docx/fig-boxplots-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Distribution of WNBA game attendance by season. Note that the vertical axis has a logarithmic scale. Caitlin Clark’s games in 2024-2025 are separated by color.</w:t>
            </w:r>
          </w:p>
          <w:bookmarkEnd w:id="1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9"/>
    <w:bookmarkEnd w:id="20"/>
    <w:bookmarkStart w:id="26" w:name="sec-elo"/>
    <w:p>
      <w:pPr>
        <w:pStyle w:val="Heading3"/>
      </w:pPr>
      <w:r>
        <w:t xml:space="preserve">2.2 Estimating team strength</w:t>
      </w:r>
    </w:p>
    <w:p>
      <w:pPr>
        <w:pStyle w:val="FirstParagraph"/>
      </w:pPr>
      <w:r>
        <w:t xml:space="preserve">We used the game-level results data to model the strength of each WNBA team as a time series.</w:t>
      </w:r>
      <w:r>
        <w:t xml:space="preserve"> </w:t>
      </w:r>
      <w:r>
        <w:t xml:space="preserve">Measuring team strength is necessary to test our hypothesis that attendance is in part driven by the desire of fans to see quality basketball.</w:t>
      </w:r>
      <w:r>
        <w:t xml:space="preserve"> </w:t>
      </w:r>
      <w:r>
        <w:t xml:space="preserve">We considered season-to-date winning percentage and a rolling 44-game (the length of a typical WNBA season) winning percentage before settling on Elo rating</w:t>
      </w:r>
      <w:r>
        <w:t xml:space="preserve"> </w:t>
      </w:r>
      <w:r>
        <w:t xml:space="preserve">(Elo 1978)</w:t>
      </w:r>
      <w:r>
        <w:t xml:space="preserve">.</w:t>
      </w:r>
      <w:r>
        <w:t xml:space="preserve"> </w:t>
      </w:r>
      <w:r>
        <w:t xml:space="preserve">Originally developed for rating chess players, Elo rating is well-understood in sports analytics as a measure of team strength that updates after each game, and—unlike winning percentage and rolling winning percentage—takes into account not only the outcome but also the estimated team strength of both teams. This means that beating a team with a higher Elo rating has a greater positive effect than beating a team with a lower Elo rating, reflecting upsets with more nuance than the win-loss record.</w:t>
      </w:r>
    </w:p>
    <w:p>
      <w:pPr>
        <w:pStyle w:val="BodyText"/>
      </w:pPr>
      <w:r>
        <w:t xml:space="preserve">Let</w:t>
      </w:r>
      <w:r>
        <w:t xml:space="preserve"> </w:t>
      </w:r>
      <m:oMath>
        <m:sSub>
          <m:e>
            <m:r>
              <m:t>θ</m:t>
            </m:r>
          </m:e>
          <m:sub>
            <m:r>
              <m:t>i</m:t>
            </m:r>
          </m:sub>
        </m:sSub>
        <m:r>
          <m:rPr>
            <m:sty m:val="p"/>
          </m:rPr>
          <m:t>(</m:t>
        </m:r>
        <m:r>
          <m:t>t</m:t>
        </m:r>
        <m:r>
          <m:rPr>
            <m:sty m:val="p"/>
          </m:rPr>
          <m:t>)</m:t>
        </m:r>
      </m:oMath>
      <w:r>
        <w:t xml:space="preserve"> </w:t>
      </w:r>
      <w:r>
        <w:t xml:space="preserve">be the strength of team</w:t>
      </w:r>
      <w:r>
        <w:t xml:space="preserve"> </w:t>
      </w:r>
      <m:oMath>
        <m:r>
          <m:t>i</m:t>
        </m:r>
      </m:oMath>
      <w:r>
        <w:t xml:space="preserve"> </w:t>
      </w:r>
      <w:r>
        <w:t xml:space="preserve">at time</w:t>
      </w:r>
      <w:r>
        <w:t xml:space="preserve"> </w:t>
      </w:r>
      <m:oMath>
        <m:r>
          <m:t>t</m:t>
        </m:r>
      </m:oMath>
      <w:r>
        <w:t xml:space="preserve">, where Elo ratings are typically centered at 1500. Then if the probability that team</w:t>
      </w:r>
      <w:r>
        <w:t xml:space="preserve"> </w:t>
      </w:r>
      <m:oMath>
        <m:r>
          <m:t>i</m:t>
        </m:r>
      </m:oMath>
      <w:r>
        <w:t xml:space="preserve"> </w:t>
      </w:r>
      <w:r>
        <w:t xml:space="preserve">beats team</w:t>
      </w:r>
      <w:r>
        <w:t xml:space="preserve"> </w:t>
      </w:r>
      <m:oMath>
        <m:r>
          <m:t>j</m:t>
        </m:r>
      </m:oMath>
      <w:r>
        <w:t xml:space="preserve"> </w:t>
      </w:r>
      <w:r>
        <w:t xml:space="preserve">is modeled by a logistic curve with base 10 and scale factor 400, the win probability is given by:</w:t>
      </w:r>
    </w:p>
    <w:p>
      <w:pPr>
        <w:pStyle w:val="BodyText"/>
      </w:pPr>
      <m:oMathPara>
        <m:oMathParaPr>
          <m:jc m:val="center"/>
        </m:oMathParaPr>
        <m:oMath>
          <m:r>
            <m:rPr>
              <m:sty m:val="p"/>
            </m:rPr>
            <m:t>Pr</m:t>
          </m:r>
          <m:r>
            <m:rPr>
              <m:sty m:val="p"/>
            </m:rPr>
            <m:t>(</m:t>
          </m:r>
          <m:r>
            <m:t>i</m:t>
          </m:r>
          <m:r>
            <m:rPr>
              <m:nor/>
              <m:sty m:val="p"/>
            </m:rPr>
            <m:t> beats </m:t>
          </m:r>
          <m:r>
            <m:t>j</m:t>
          </m:r>
          <m:r>
            <m:rPr>
              <m:nor/>
              <m:sty m:val="p"/>
            </m:rPr>
            <m:t> at time </m:t>
          </m:r>
          <m:r>
            <m:t>t</m:t>
          </m:r>
          <m:r>
            <m:rPr>
              <m:sty m:val="p"/>
            </m:rPr>
            <m:t>)</m:t>
          </m:r>
          <m:r>
            <m:rPr>
              <m:sty m:val="p"/>
            </m:rPr>
            <m:t>=</m:t>
          </m:r>
          <m:f>
            <m:fPr>
              <m:type m:val="bar"/>
            </m:fPr>
            <m:num>
              <m:r>
                <m:t>1</m:t>
              </m:r>
            </m:num>
            <m:den>
              <m:r>
                <m:t>1</m:t>
              </m:r>
              <m:r>
                <m:rPr>
                  <m:sty m:val="p"/>
                </m:rPr>
                <m:t>+</m:t>
              </m:r>
              <m:sSup>
                <m:e>
                  <m:r>
                    <m:t>10</m:t>
                  </m:r>
                </m:e>
                <m:sup>
                  <m:f>
                    <m:fPr>
                      <m:type m:val="bar"/>
                    </m:fPr>
                    <m:num>
                      <m:sSub>
                        <m:e>
                          <m:r>
                            <m:t>θ</m:t>
                          </m:r>
                        </m:e>
                        <m:sub>
                          <m:r>
                            <m:t>j</m:t>
                          </m:r>
                        </m:sub>
                      </m:sSub>
                      <m:r>
                        <m:rPr>
                          <m:sty m:val="p"/>
                        </m:rPr>
                        <m:t>(</m:t>
                      </m:r>
                      <m:r>
                        <m:t>t</m:t>
                      </m:r>
                      <m:r>
                        <m:rPr>
                          <m:sty m:val="p"/>
                        </m:rPr>
                        <m:t>)</m:t>
                      </m:r>
                      <m:r>
                        <m:rPr>
                          <m:sty m:val="p"/>
                        </m:rPr>
                        <m:t>−</m:t>
                      </m:r>
                      <m:sSub>
                        <m:e>
                          <m:r>
                            <m:t>θ</m:t>
                          </m:r>
                        </m:e>
                        <m:sub>
                          <m:r>
                            <m:t>i</m:t>
                          </m:r>
                        </m:sub>
                      </m:sSub>
                      <m:r>
                        <m:rPr>
                          <m:sty m:val="p"/>
                        </m:rPr>
                        <m:t>(</m:t>
                      </m:r>
                      <m:r>
                        <m:t>t</m:t>
                      </m:r>
                      <m:r>
                        <m:rPr>
                          <m:sty m:val="p"/>
                        </m:rPr>
                        <m:t>)</m:t>
                      </m:r>
                    </m:num>
                    <m:den>
                      <m:r>
                        <m:t>400</m:t>
                      </m:r>
                    </m:den>
                  </m:f>
                </m:sup>
              </m:sSup>
            </m:den>
          </m:f>
          <m:r>
            <m:t> </m:t>
          </m:r>
          <m:r>
            <m:rPr>
              <m:sty m:val="p"/>
            </m:rPr>
            <m:t>.</m:t>
          </m:r>
        </m:oMath>
      </m:oMathPara>
    </w:p>
    <w:p>
      <w:pPr>
        <w:pStyle w:val="FirstParagraph"/>
      </w:pPr>
      <w:r>
        <w:t xml:space="preserve">Each team starts the 1997 season with</w:t>
      </w:r>
      <w:r>
        <w:t xml:space="preserve"> </w:t>
      </w:r>
      <m:oMath>
        <m:sSub>
          <m:e>
            <m:acc>
              <m:accPr>
                <m:chr m:val="̂"/>
              </m:accPr>
              <m:e>
                <m:r>
                  <m:t>θ</m:t>
                </m:r>
              </m:e>
            </m:acc>
          </m:e>
          <m:sub>
            <m:r>
              <m:t>i</m:t>
            </m:r>
          </m:sub>
        </m:sSub>
        <m:r>
          <m:rPr>
            <m:sty m:val="p"/>
          </m:rPr>
          <m:t>(</m:t>
        </m:r>
        <m:r>
          <m:t>0</m:t>
        </m:r>
        <m:r>
          <m:rPr>
            <m:sty m:val="p"/>
          </m:rPr>
          <m:t>)</m:t>
        </m:r>
        <m:r>
          <m:rPr>
            <m:sty m:val="p"/>
          </m:rPr>
          <m:t>=</m:t>
        </m:r>
        <m:r>
          <m:t>1500</m:t>
        </m:r>
      </m:oMath>
      <w:r>
        <w:t xml:space="preserve">, and following each game, team</w:t>
      </w:r>
      <w:r>
        <w:t xml:space="preserve"> </w:t>
      </w:r>
      <m:oMath>
        <m:r>
          <m:t>i</m:t>
        </m:r>
      </m:oMath>
      <w:r>
        <w:t xml:space="preserve">’s rating is updated via the formula</w:t>
      </w:r>
    </w:p>
    <w:p>
      <w:pPr>
        <w:pStyle w:val="BodyText"/>
      </w:pPr>
      <m:oMathPara>
        <m:oMathParaPr>
          <m:jc m:val="center"/>
        </m:oMathParaPr>
        <m:oMath>
          <m:sSub>
            <m:e>
              <m:acc>
                <m:accPr>
                  <m:chr m:val="̂"/>
                </m:accPr>
                <m:e>
                  <m:r>
                    <m:t>θ</m:t>
                  </m:r>
                </m:e>
              </m:acc>
            </m:e>
            <m:sub>
              <m:r>
                <m:t>i</m:t>
              </m:r>
            </m:sub>
          </m:sSub>
          <m:r>
            <m:rPr>
              <m:sty m:val="p"/>
            </m:rPr>
            <m:t>(</m:t>
          </m:r>
          <m:r>
            <m:t>t</m:t>
          </m:r>
          <m:r>
            <m:rPr>
              <m:sty m:val="p"/>
            </m:rPr>
            <m:t>+</m:t>
          </m:r>
          <m:r>
            <m:t>1</m:t>
          </m:r>
          <m:r>
            <m:rPr>
              <m:sty m:val="p"/>
            </m:rPr>
            <m:t>)</m:t>
          </m:r>
          <m:r>
            <m:rPr>
              <m:sty m:val="p"/>
            </m:rPr>
            <m:t>=</m:t>
          </m:r>
          <m:sSub>
            <m:e>
              <m:acc>
                <m:accPr>
                  <m:chr m:val="̂"/>
                </m:accPr>
                <m:e>
                  <m:r>
                    <m:t>θ</m:t>
                  </m:r>
                </m:e>
              </m:acc>
            </m:e>
            <m:sub>
              <m:r>
                <m:t>i</m:t>
              </m:r>
            </m:sub>
          </m:sSub>
          <m:r>
            <m:rPr>
              <m:sty m:val="p"/>
            </m:rPr>
            <m:t>(</m:t>
          </m:r>
          <m:r>
            <m:t>t</m:t>
          </m:r>
          <m:r>
            <m:rPr>
              <m:sty m:val="p"/>
            </m:rPr>
            <m:t>)</m:t>
          </m:r>
          <m:r>
            <m:rPr>
              <m:sty m:val="p"/>
            </m:rPr>
            <m:t>+</m:t>
          </m:r>
          <m:r>
            <m:t>K</m:t>
          </m:r>
          <m:r>
            <m:rPr>
              <m:sty m:val="p"/>
            </m:rPr>
            <m:t>⋅</m:t>
          </m:r>
          <m:d>
            <m:dPr>
              <m:begChr m:val="("/>
              <m:sepChr m:val=""/>
              <m:endChr m:val=")"/>
              <m:grow/>
            </m:dPr>
            <m:e>
              <m:r>
                <m:t>I</m:t>
              </m:r>
              <m:r>
                <m:rPr>
                  <m:sty m:val="p"/>
                </m:rPr>
                <m:t>(</m:t>
              </m:r>
              <m:r>
                <m:t>i</m:t>
              </m:r>
              <m:r>
                <m:rPr>
                  <m:nor/>
                  <m:sty m:val="p"/>
                </m:rPr>
                <m:t> beats </m:t>
              </m:r>
              <m:r>
                <m:t>j</m:t>
              </m:r>
              <m:r>
                <m:rPr>
                  <m:sty m:val="p"/>
                </m:rPr>
                <m:t>)</m:t>
              </m:r>
              <m:r>
                <m:rPr>
                  <m:sty m:val="p"/>
                </m:rPr>
                <m:t>−</m:t>
              </m:r>
              <m:r>
                <m:rPr>
                  <m:sty m:val="p"/>
                </m:rPr>
                <m:t>Pr</m:t>
              </m:r>
              <m:r>
                <m:rPr>
                  <m:sty m:val="p"/>
                </m:rPr>
                <m:t>(</m:t>
              </m:r>
              <m:r>
                <m:t>i</m:t>
              </m:r>
              <m:r>
                <m:rPr>
                  <m:nor/>
                  <m:sty m:val="p"/>
                </m:rPr>
                <m:t> beats </m:t>
              </m:r>
              <m:r>
                <m:t>j</m:t>
              </m:r>
              <m:r>
                <m:rPr>
                  <m:nor/>
                  <m:sty m:val="p"/>
                </m:rPr>
                <m:t> at time </m:t>
              </m:r>
              <m:r>
                <m:t>t</m:t>
              </m:r>
              <m:r>
                <m:rPr>
                  <m:sty m:val="p"/>
                </m:rPr>
                <m:t>)</m:t>
              </m:r>
            </m:e>
          </m:d>
        </m:oMath>
      </m:oMathPara>
    </w:p>
    <w:p>
      <w:pPr>
        <w:pStyle w:val="FirstParagraph"/>
      </w:pPr>
      <w:r>
        <w:t xml:space="preserve">where</w:t>
      </w:r>
      <w:r>
        <w:t xml:space="preserve"> </w:t>
      </w:r>
      <m:oMath>
        <m:r>
          <m:t>I</m:t>
        </m:r>
        <m:r>
          <m:rPr>
            <m:sty m:val="p"/>
          </m:rPr>
          <m:t>(</m:t>
        </m:r>
        <m:r>
          <m:t>i</m:t>
        </m:r>
        <m:r>
          <m:rPr>
            <m:nor/>
            <m:sty m:val="p"/>
          </m:rPr>
          <m:t> beats </m:t>
        </m:r>
        <m:r>
          <m:t>j</m:t>
        </m:r>
        <m:r>
          <m:rPr>
            <m:sty m:val="p"/>
          </m:rPr>
          <m:t>)</m:t>
        </m:r>
      </m:oMath>
      <w:r>
        <w:t xml:space="preserve"> </w:t>
      </w:r>
      <w:r>
        <w:t xml:space="preserve">is an indicator variable that is 1 if</w:t>
      </w:r>
      <w:r>
        <w:t xml:space="preserve"> </w:t>
      </w:r>
      <m:oMath>
        <m:r>
          <m:t>i</m:t>
        </m:r>
      </m:oMath>
      <w:r>
        <w:t xml:space="preserve"> </w:t>
      </w:r>
      <w:r>
        <w:t xml:space="preserve">beats</w:t>
      </w:r>
      <w:r>
        <w:t xml:space="preserve"> </w:t>
      </w:r>
      <m:oMath>
        <m:r>
          <m:t>j</m:t>
        </m:r>
      </m:oMath>
      <w:r>
        <w:t xml:space="preserve"> </w:t>
      </w:r>
      <w:r>
        <w:t xml:space="preserve">and</w:t>
      </w:r>
      <w:r>
        <w:t xml:space="preserve"> </w:t>
      </w:r>
      <m:oMath>
        <m:r>
          <m:rPr>
            <m:sty m:val="p"/>
          </m:rPr>
          <m:t>−</m:t>
        </m:r>
        <m:r>
          <m:t>1</m:t>
        </m:r>
      </m:oMath>
      <w:r>
        <w:t xml:space="preserve"> </w:t>
      </w:r>
      <w:r>
        <w:t xml:space="preserve">if</w:t>
      </w:r>
      <w:r>
        <w:t xml:space="preserve"> </w:t>
      </w:r>
      <m:oMath>
        <m:r>
          <m:t>j</m:t>
        </m:r>
      </m:oMath>
      <w:r>
        <w:t xml:space="preserve"> </w:t>
      </w:r>
      <w:r>
        <w:t xml:space="preserve">beats</w:t>
      </w:r>
      <w:r>
        <w:t xml:space="preserve"> </w:t>
      </w:r>
      <m:oMath>
        <m:r>
          <m:t>i</m:t>
        </m:r>
      </m:oMath>
      <w:r>
        <w:t xml:space="preserve">, and</w:t>
      </w:r>
      <w:r>
        <w:t xml:space="preserve"> </w:t>
      </w:r>
      <m:oMath>
        <m:r>
          <m:t>K</m:t>
        </m:r>
        <m:r>
          <m:rPr>
            <m:sty m:val="p"/>
          </m:rPr>
          <m:t>=</m:t>
        </m:r>
        <m:r>
          <m:t>32</m:t>
        </m:r>
      </m:oMath>
      <w:r>
        <w:t xml:space="preserve"> </w:t>
      </w:r>
      <w:r>
        <w:t xml:space="preserve">is a constant that controls how sensitive the ratings are to each game. If team</w:t>
      </w:r>
      <w:r>
        <w:t xml:space="preserve"> </w:t>
      </w:r>
      <m:oMath>
        <m:r>
          <m:t>i</m:t>
        </m:r>
      </m:oMath>
      <w:r>
        <w:t xml:space="preserve"> </w:t>
      </w:r>
      <w:r>
        <w:t xml:space="preserve">had a 78% probability of beating team</w:t>
      </w:r>
      <w:r>
        <w:t xml:space="preserve"> </w:t>
      </w:r>
      <m:oMath>
        <m:r>
          <m:t>j</m:t>
        </m:r>
      </m:oMath>
      <w:r>
        <w:t xml:space="preserve"> </w:t>
      </w:r>
      <w:r>
        <w:t xml:space="preserve">and wins, their rating will improve by</w:t>
      </w:r>
      <w:r>
        <w:t xml:space="preserve"> </w:t>
      </w:r>
      <m:oMath>
        <m:r>
          <m:t>32</m:t>
        </m:r>
        <m:r>
          <m:rPr>
            <m:sty m:val="p"/>
          </m:rPr>
          <m:t>⋅</m:t>
        </m:r>
        <m:r>
          <m:rPr>
            <m:sty m:val="p"/>
          </m:rPr>
          <m:t>(</m:t>
        </m:r>
        <m:r>
          <m:t>1</m:t>
        </m:r>
        <m:r>
          <m:rPr>
            <m:sty m:val="p"/>
          </m:rPr>
          <m:t>−</m:t>
        </m:r>
        <m:r>
          <m:t>0.78</m:t>
        </m:r>
        <m:r>
          <m:rPr>
            <m:sty m:val="p"/>
          </m:rPr>
          <m:t>)</m:t>
        </m:r>
        <m:r>
          <m:rPr>
            <m:sty m:val="p"/>
          </m:rPr>
          <m:t>=</m:t>
        </m:r>
        <m:r>
          <m:t>7.04</m:t>
        </m:r>
      </m:oMath>
      <w:r>
        <w:t xml:space="preserve">, while team</w:t>
      </w:r>
      <w:r>
        <w:t xml:space="preserve"> </w:t>
      </w:r>
      <m:oMath>
        <m:r>
          <m:t>j</m:t>
        </m:r>
      </m:oMath>
      <w:r>
        <w:t xml:space="preserve">’s rating will decrease by the same amount.</w:t>
      </w:r>
      <w:r>
        <w:t xml:space="preserve"> </w:t>
      </w:r>
      <w:hyperlink w:anchor="fig-elo">
        <w:r>
          <w:rPr>
            <w:rStyle w:val="Hyperlink"/>
          </w:rPr>
          <w:t xml:space="preserve">Figure 2</w:t>
        </w:r>
      </w:hyperlink>
      <w:r>
        <w:t xml:space="preserve"> </w:t>
      </w:r>
      <w:r>
        <w:t xml:space="preserve">shows the evolution of Elo rating</w:t>
      </w:r>
      <w:r>
        <w:t xml:space="preserve"> </w:t>
      </w:r>
      <m:oMath>
        <m:sSub>
          <m:e>
            <m:acc>
              <m:accPr>
                <m:chr m:val="̂"/>
              </m:accPr>
              <m:e>
                <m:r>
                  <m:t>θ</m:t>
                </m:r>
              </m:e>
            </m:acc>
          </m:e>
          <m:sub>
            <m:r>
              <m:t>i</m:t>
            </m:r>
          </m:sub>
        </m:sSub>
        <m:r>
          <m:rPr>
            <m:sty m:val="p"/>
          </m:rPr>
          <m:t>(</m:t>
        </m:r>
        <m:r>
          <m:t>t</m:t>
        </m:r>
        <m:r>
          <m:rPr>
            <m:sty m:val="p"/>
          </m:rPr>
          <m:t>)</m:t>
        </m:r>
      </m:oMath>
      <w:r>
        <w:t xml:space="preserve"> </w:t>
      </w:r>
      <w:r>
        <w:t xml:space="preserve">by franchise for the 12 teams who were active during the 2024 season.</w:t>
      </w:r>
      <w:r>
        <w:t xml:space="preserve"> </w:t>
      </w:r>
      <w:r>
        <w:t xml:space="preserve">The recent poor performance of the Los Angeles Sparks, the 2010 dominance of the Seattle Storm, and the recent rise of the New York Liberty and Indiana Fever are easily visible.</w:t>
      </w:r>
    </w:p>
    <w:bookmarkStart w:id="25" w:name="cell-fig-elo"/>
    <w:tbl>
      <w:tblPr>
        <w:tblStyle w:val="Table"/>
        <w:tblW w:type="pct" w:w="5000"/>
        <w:tblLayout w:type="fixed"/>
        <w:tblLook w:firstRow="0" w:lastRow="0" w:firstColumn="0" w:lastColumn="0" w:noHBand="0" w:noVBand="0" w:val="0000"/>
      </w:tblPr>
      <w:tblGrid>
        <w:gridCol w:w="7920"/>
      </w:tblGrid>
      <w:tr>
        <w:tc>
          <w:tcPr/>
          <w:bookmarkStart w:id="24" w:name="fig-elo"/>
          <w:p>
            <w:pPr>
              <w:pStyle w:val="Compact"/>
              <w:jc w:val="center"/>
            </w:pPr>
            <w:r>
              <w:drawing>
                <wp:inline>
                  <wp:extent cx="4620126" cy="3696101"/>
                  <wp:effectExtent b="0" l="0" r="0" t="0"/>
                  <wp:docPr descr="" title="" id="22" name="Picture"/>
                  <a:graphic>
                    <a:graphicData uri="http://schemas.openxmlformats.org/drawingml/2006/picture">
                      <pic:pic>
                        <pic:nvPicPr>
                          <pic:cNvPr descr="index_files/figure-docx/fig-elo-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Evolution of team Elo ratings in the WNBA (1997-2025). Only franchises active in 2024 are shown. The recent poor performance of the Los Angeles Sparks, the 2010 dominance of the Seattle Storm, and the recent rise of the New York Liberty and Indiana Fever are easily visible. Note that all franchises begin with a 1500 rating.</w:t>
            </w:r>
          </w:p>
          <w:bookmarkEnd w:id="2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5"/>
    <w:bookmarkEnd w:id="26"/>
    <w:bookmarkStart w:id="28" w:name="estimating-home-win-probability"/>
    <w:p>
      <w:pPr>
        <w:pStyle w:val="Heading3"/>
      </w:pPr>
      <w:r>
        <w:t xml:space="preserve">2.3 Estimating home win probability</w:t>
      </w:r>
    </w:p>
    <w:p>
      <w:pPr>
        <w:pStyle w:val="FirstParagraph"/>
      </w:pPr>
      <w:r>
        <w:t xml:space="preserve">The Elo ratings estimated above can then be plugged back into the win probability formula to estimate the home team’s likelihood to win. Our home win probability model also includes a 12-point home court advantage, so that:</w:t>
      </w:r>
    </w:p>
    <w:p>
      <w:pPr>
        <w:pStyle w:val="BodyText"/>
      </w:pPr>
      <m:oMathPara>
        <m:oMathParaPr>
          <m:jc m:val="center"/>
        </m:oMathParaPr>
        <m:oMath>
          <m:sSub>
            <m:e>
              <m:acc>
                <m:accPr>
                  <m:chr m:val="̂"/>
                </m:accPr>
                <m:e>
                  <m:r>
                    <m:t>p</m:t>
                  </m:r>
                </m:e>
              </m:acc>
            </m:e>
            <m:sub>
              <m:r>
                <m:t>i</m:t>
              </m:r>
              <m:r>
                <m:t>j</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r>
            <m:rPr>
              <m:sty m:val="p"/>
            </m:rPr>
            <m:t>,</m:t>
          </m:r>
          <m:r>
            <m:t>t</m:t>
          </m:r>
          <m:r>
            <m:rPr>
              <m:sty m:val="p"/>
            </m:rPr>
            <m:t>)</m:t>
          </m:r>
          <m:r>
            <m:rPr>
              <m:sty m:val="p"/>
            </m:rPr>
            <m:t>=</m:t>
          </m:r>
          <m:r>
            <m:rPr>
              <m:sty m:val="p"/>
            </m:rPr>
            <m:t>Pr</m:t>
          </m:r>
          <m:r>
            <m:rPr>
              <m:sty m:val="p"/>
            </m:rPr>
            <m:t>(</m:t>
          </m:r>
          <m:r>
            <m:t>i</m:t>
          </m:r>
          <m:r>
            <m:rPr>
              <m:nor/>
              <m:sty m:val="p"/>
            </m:rPr>
            <m:t> beats </m:t>
          </m:r>
          <m:r>
            <m:t>j</m:t>
          </m:r>
          <m:r>
            <m:rPr>
              <m:nor/>
              <m:sty m:val="p"/>
            </m:rPr>
            <m:t> at time </m:t>
          </m:r>
          <m:r>
            <m:t>t</m:t>
          </m:r>
          <m:r>
            <m:rPr>
              <m:nor/>
              <m:sty m:val="p"/>
            </m:rPr>
            <m:t> at home</m:t>
          </m:r>
          <m:r>
            <m:rPr>
              <m:sty m:val="p"/>
            </m:rPr>
            <m:t>)</m:t>
          </m:r>
          <m:r>
            <m:rPr>
              <m:sty m:val="p"/>
            </m:rPr>
            <m:t>=</m:t>
          </m:r>
          <m:f>
            <m:fPr>
              <m:type m:val="bar"/>
            </m:fPr>
            <m:num>
              <m:r>
                <m:t>1</m:t>
              </m:r>
            </m:num>
            <m:den>
              <m:r>
                <m:t>1</m:t>
              </m:r>
              <m:r>
                <m:rPr>
                  <m:sty m:val="p"/>
                </m:rPr>
                <m:t>+</m:t>
              </m:r>
              <m:sSup>
                <m:e>
                  <m:r>
                    <m:t>10</m:t>
                  </m:r>
                </m:e>
                <m:sup>
                  <m:f>
                    <m:fPr>
                      <m:type m:val="bar"/>
                    </m:fPr>
                    <m:num>
                      <m:sSub>
                        <m:e>
                          <m:acc>
                            <m:accPr>
                              <m:chr m:val="̂"/>
                            </m:accPr>
                            <m:e>
                              <m:r>
                                <m:t>θ</m:t>
                              </m:r>
                            </m:e>
                          </m:acc>
                        </m:e>
                        <m:sub>
                          <m:r>
                            <m:t>j</m:t>
                          </m:r>
                        </m:sub>
                      </m:sSub>
                      <m:r>
                        <m:rPr>
                          <m:sty m:val="p"/>
                        </m:rPr>
                        <m:t>(</m:t>
                      </m:r>
                      <m:r>
                        <m:t>t</m:t>
                      </m:r>
                      <m:r>
                        <m:rPr>
                          <m:sty m:val="p"/>
                        </m:rPr>
                        <m:t>)</m:t>
                      </m:r>
                      <m:r>
                        <m:rPr>
                          <m:sty m:val="p"/>
                        </m:rPr>
                        <m:t>−</m:t>
                      </m:r>
                      <m:d>
                        <m:dPr>
                          <m:begChr m:val="("/>
                          <m:sepChr m:val=""/>
                          <m:endChr m:val=")"/>
                          <m:grow/>
                        </m:dPr>
                        <m:e>
                          <m:sSub>
                            <m:e>
                              <m:r>
                                <m:t>θ</m:t>
                              </m:r>
                            </m:e>
                            <m:sub>
                              <m:r>
                                <m:t>i</m:t>
                              </m:r>
                            </m:sub>
                          </m:sSub>
                          <m:r>
                            <m:rPr>
                              <m:sty m:val="p"/>
                            </m:rPr>
                            <m:t>(</m:t>
                          </m:r>
                          <m:r>
                            <m:t>t</m:t>
                          </m:r>
                          <m:r>
                            <m:rPr>
                              <m:sty m:val="p"/>
                            </m:rPr>
                            <m:t>)</m:t>
                          </m:r>
                          <m:r>
                            <m:rPr>
                              <m:sty m:val="p"/>
                            </m:rPr>
                            <m:t>+</m:t>
                          </m:r>
                          <m:r>
                            <m:t>12</m:t>
                          </m:r>
                        </m:e>
                      </m:d>
                    </m:num>
                    <m:den>
                      <m:r>
                        <m:t>400</m:t>
                      </m:r>
                    </m:den>
                  </m:f>
                </m:sup>
              </m:sSup>
            </m:den>
          </m:f>
          <m:r>
            <m:t> </m:t>
          </m:r>
          <m:r>
            <m:rPr>
              <m:sty m:val="p"/>
            </m:rPr>
            <m:t>.</m:t>
          </m:r>
        </m:oMath>
      </m:oMathPara>
    </w:p>
    <w:p>
      <w:pPr>
        <w:pStyle w:val="FirstParagraph"/>
      </w:pPr>
      <w:r>
        <w:t xml:space="preserve">We arrived at 12 points by manually calibrating the win probabilities to match the observed frequencies.</w:t>
      </w:r>
      <w:r>
        <w:t xml:space="preserve"> </w:t>
      </w:r>
      <w:r>
        <w:t xml:space="preserve">While the model was less accurate at the extremes (it was consistently reluctant to predict nearly certain home wins and losses), it fit very well in the middle where most of the games occur (see</w:t>
      </w:r>
      <w:r>
        <w:t xml:space="preserve"> </w:t>
      </w:r>
      <w:hyperlink w:anchor="tbl-calibrate">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calibrate"/>
          <w:p>
            <w:pPr>
              <w:jc w:val="center"/>
            </w:pPr>
            <w:pPr>
              <w:jc w:val="left"/>
              <w:spacing w:before="200"/>
              <w:pStyle w:val="ImageCaption"/>
            </w:pPr>
            <w:r>
              <w:t xml:space="preserve">Table 2: Calibration of home win probability model, based on Elo ratings. We note that in the most frequent situations, where the home team was a slight favorite, the observed home win probability is within 3 percentage points of the predicted home probability. However, in those rarer occasions where a home win was extremely likely or unlikely, the model was less accurate.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WNBA Home Win Probability Model Calibration (1997-2025)</w:t>
            </w:r>
          </w:p>
          <w:p>
            <w:pPr>
              <w:spacing w:before="0" w:after="60"/>
              <w:keepNext/>
              <w:jc w:val="start"/>
              <w:pStyle w:val="caption"/>
            </w:pPr>
            <w:r>
              <w:rPr>
                <w:rFonts w:ascii="Calibri" w:hAnsi="Calibri"/>
                <w:sz w:val="20"/>
                <w:color w:val="333333"/>
              </w:rPr>
              <w:t xml:space="default">10 Equally-spaced Bins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Wpct Bin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Games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Bin Midpoint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Obs Home Wpct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(0.153,0.233]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(0.233,0.311]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(0.39,0.468]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(0.468,0.547]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(0.547,0.625]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(0.625,0.704]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(0.704,0.782]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(0.782,0.861]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(0.861,0.94]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0.066</w:t>
                  </w:r>
                </w:p>
              </w:tc>
            </w:tr>
          </w:tbl>
          <w:bookmarkEnd w:id="27"/>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8"/>
    <w:bookmarkEnd w:id="29"/>
    <w:bookmarkStart w:id="67" w:name="methods"/>
    <w:p>
      <w:pPr>
        <w:pStyle w:val="Heading2"/>
      </w:pPr>
      <w:r>
        <w:t xml:space="preserve">3 Methods</w:t>
      </w:r>
    </w:p>
    <w:p>
      <w:pPr>
        <w:pStyle w:val="FirstParagraph"/>
      </w:pPr>
      <w:r>
        <w:t xml:space="preserve">Our goal is to model the attendance (</w:t>
      </w:r>
      <m:oMath>
        <m:r>
          <m:t>y</m:t>
        </m:r>
      </m:oMath>
      <w:r>
        <w:t xml:space="preserve">) at a given WNBA game, as a function of several different measures of fan engagement detailed in</w:t>
      </w:r>
      <w:r>
        <w:t xml:space="preserve"> </w:t>
      </w:r>
      <w:hyperlink w:anchor="sec-fan">
        <w:r>
          <w:rPr>
            <w:rStyle w:val="Hyperlink"/>
          </w:rPr>
          <w:t xml:space="preserve">Section 3.2</w:t>
        </w:r>
      </w:hyperlink>
      <w:r>
        <w:t xml:space="preserve">.</w:t>
      </w:r>
      <w:r>
        <w:t xml:space="preserve"> </w:t>
      </w:r>
      <w:r>
        <w:t xml:space="preserve">We also include several control variables to account for time and city-related effects (see</w:t>
      </w:r>
      <w:r>
        <w:t xml:space="preserve"> </w:t>
      </w:r>
      <w:hyperlink w:anchor="sec-control">
        <w:r>
          <w:rPr>
            <w:rStyle w:val="Hyperlink"/>
          </w:rPr>
          <w:t xml:space="preserve">Section 3.3</w:t>
        </w:r>
      </w:hyperlink>
      <w:r>
        <w:t xml:space="preserve">).</w:t>
      </w:r>
    </w:p>
    <w:p>
      <w:pPr>
        <w:pStyle w:val="BodyText"/>
      </w:pPr>
      <w:r>
        <w:t xml:space="preserve">Since we know the arena in which the game took place and the capacity of that arena, we developed an alternative response variable- percentage of arena capacity filled (</w:t>
      </w:r>
      <m:oMath>
        <m:r>
          <m:t>γ</m:t>
        </m:r>
      </m:oMath>
      <w:r>
        <w:t xml:space="preserve">).</w:t>
      </w:r>
    </w:p>
    <w:bookmarkStart w:id="40" w:name="response-variables"/>
    <w:p>
      <w:pPr>
        <w:pStyle w:val="Heading3"/>
      </w:pPr>
      <w:r>
        <w:t xml:space="preserve">3.1 Response variables</w:t>
      </w:r>
    </w:p>
    <w:p>
      <w:pPr>
        <w:pStyle w:val="FirstParagraph"/>
      </w:pPr>
      <w:r>
        <w:t xml:space="preserve">In</w:t>
      </w:r>
      <w:r>
        <w:t xml:space="preserve"> </w:t>
      </w:r>
      <w:hyperlink w:anchor="fig-attendance-year">
        <w:r>
          <w:rPr>
            <w:rStyle w:val="Hyperlink"/>
          </w:rPr>
          <w:t xml:space="preserve">Figure 3</w:t>
        </w:r>
      </w:hyperlink>
      <w:r>
        <w:t xml:space="preserve">, we observe the relationship between attendance and estimated home win probability.</w:t>
      </w:r>
      <w:r>
        <w:t xml:space="preserve"> </w:t>
      </w:r>
      <w:r>
        <w:t xml:space="preserve">In most years, the slope appears to be positive.</w:t>
      </w:r>
    </w:p>
    <w:bookmarkStart w:id="34" w:name="cell-fig-attendance-year"/>
    <w:tbl>
      <w:tblPr>
        <w:tblStyle w:val="Table"/>
        <w:tblW w:type="pct" w:w="5000"/>
        <w:tblLayout w:type="fixed"/>
        <w:tblLook w:firstRow="0" w:lastRow="0" w:firstColumn="0" w:lastColumn="0" w:noHBand="0" w:noVBand="0" w:val="0000"/>
      </w:tblPr>
      <w:tblGrid>
        <w:gridCol w:w="7920"/>
      </w:tblGrid>
      <w:tr>
        <w:tc>
          <w:tcPr/>
          <w:bookmarkStart w:id="33" w:name="fig-attendance-year"/>
          <w:p>
            <w:pPr>
              <w:pStyle w:val="Compact"/>
              <w:jc w:val="center"/>
            </w:pPr>
            <w:r>
              <w:drawing>
                <wp:inline>
                  <wp:extent cx="4620126" cy="3696101"/>
                  <wp:effectExtent b="0" l="0" r="0" t="0"/>
                  <wp:docPr descr="" title="" id="31" name="Picture"/>
                  <a:graphic>
                    <a:graphicData uri="http://schemas.openxmlformats.org/drawingml/2006/picture">
                      <pic:pic>
                        <pic:nvPicPr>
                          <pic:cNvPr descr="index_files/figure-docx/fig-attendance-year-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WNBA attendance by season, against estimated home win probability. We note that in most years, the slope of the association appears to be positive.</w:t>
            </w:r>
          </w:p>
          <w:bookmarkEnd w:id="3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34"/>
    <w:p>
      <w:pPr>
        <w:pStyle w:val="BodyText"/>
      </w:pPr>
      <w:r>
        <w:t xml:space="preserve">In</w:t>
      </w:r>
      <w:r>
        <w:t xml:space="preserve"> </w:t>
      </w:r>
      <w:hyperlink w:anchor="fig-capacity-year">
        <w:r>
          <w:rPr>
            <w:rStyle w:val="Hyperlink"/>
          </w:rPr>
          <w:t xml:space="preserve">Figure 4</w:t>
        </w:r>
      </w:hyperlink>
      <w:r>
        <w:t xml:space="preserve">, we note similar trends in the relationship between the percentage of the arena capacity filled and the estimated home win probability.</w:t>
      </w:r>
      <w:r>
        <w:t xml:space="preserve"> </w:t>
      </w:r>
      <w:r>
        <w:t xml:space="preserve">We also note that since arena capacity cannot exceed 1, there are edge effects created by sellouts.</w:t>
      </w:r>
      <w:r>
        <w:t xml:space="preserve"> </w:t>
      </w:r>
      <w:r>
        <w:t xml:space="preserve">Those sellouts are much more frequent in the last two years of data, and many of the sellouts involve Caitlin Clark.</w:t>
      </w:r>
    </w:p>
    <w:bookmarkStart w:id="39" w:name="cell-fig-capacity-year"/>
    <w:tbl>
      <w:tblPr>
        <w:tblStyle w:val="Table"/>
        <w:tblW w:type="pct" w:w="5000"/>
        <w:tblLayout w:type="fixed"/>
        <w:tblLook w:firstRow="0" w:lastRow="0" w:firstColumn="0" w:lastColumn="0" w:noHBand="0" w:noVBand="0" w:val="0000"/>
      </w:tblPr>
      <w:tblGrid>
        <w:gridCol w:w="7920"/>
      </w:tblGrid>
      <w:tr>
        <w:tc>
          <w:tcPr/>
          <w:bookmarkStart w:id="38" w:name="fig-capacity-year"/>
          <w:p>
            <w:pPr>
              <w:pStyle w:val="Compact"/>
              <w:jc w:val="center"/>
            </w:pPr>
            <w:r>
              <w:drawing>
                <wp:inline>
                  <wp:extent cx="4620126" cy="3696101"/>
                  <wp:effectExtent b="0" l="0" r="0" t="0"/>
                  <wp:docPr descr="" title="" id="36" name="Picture"/>
                  <a:graphic>
                    <a:graphicData uri="http://schemas.openxmlformats.org/drawingml/2006/picture">
                      <pic:pic>
                        <pic:nvPicPr>
                          <pic:cNvPr descr="index_files/figure-docx/fig-capacity-year-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WNBA percentage of arena capacity filled by season, against estimated home win probability. We note the edge effects caused by sellouts, which occur much more frequently in 2024 and 2025.</w:t>
            </w:r>
          </w:p>
          <w:bookmarkEnd w:id="3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39"/>
    <w:p>
      <w:pPr>
        <w:pStyle w:val="BodyText"/>
      </w:pPr>
      <w:r>
        <w:t xml:space="preserve">Because the raw attendance figures are not normally distributed, we model the logarithm of attendance.</w:t>
      </w:r>
      <w:r>
        <w:t xml:space="preserve"> </w:t>
      </w:r>
      <w:r>
        <w:t xml:space="preserve">Similarly, because the percentage of arena capacity are bound above by 1 and below by 0, we employ a Tobit regression model.</w:t>
      </w:r>
    </w:p>
    <w:bookmarkEnd w:id="40"/>
    <w:bookmarkStart w:id="61" w:name="sec-fan"/>
    <w:p>
      <w:pPr>
        <w:pStyle w:val="Heading3"/>
      </w:pPr>
      <w:r>
        <w:t xml:space="preserve">3.2 Modeling fan engagement</w:t>
      </w:r>
    </w:p>
    <w:p>
      <w:pPr>
        <w:pStyle w:val="FirstParagraph"/>
      </w:pPr>
      <w:r>
        <w:t xml:space="preserve">In</w:t>
      </w:r>
      <w:r>
        <w:t xml:space="preserve"> </w:t>
      </w:r>
      <w:hyperlink w:anchor="sec-elo">
        <w:r>
          <w:rPr>
            <w:rStyle w:val="Hyperlink"/>
          </w:rPr>
          <w:t xml:space="preserve">Section 2.2</w:t>
        </w:r>
      </w:hyperlink>
      <w:r>
        <w:t xml:space="preserve">, we described our use of Elo rating to estimate the strength of the home team (</w:t>
      </w:r>
      <m:oMath>
        <m:sSub>
          <m:e>
            <m:acc>
              <m:accPr>
                <m:chr m:val="̂"/>
              </m:accPr>
              <m:e>
                <m:r>
                  <m:t>θ</m:t>
                </m:r>
              </m:e>
            </m:acc>
          </m:e>
          <m:sub>
            <m:r>
              <m:t>i</m:t>
            </m:r>
          </m:sub>
        </m:sSub>
        <m:r>
          <m:rPr>
            <m:sty m:val="p"/>
          </m:rPr>
          <m:t>(</m:t>
        </m:r>
        <m:r>
          <m:t>t</m:t>
        </m:r>
        <m:r>
          <m:rPr>
            <m:sty m:val="p"/>
          </m:rPr>
          <m:t>)</m:t>
        </m:r>
      </m:oMath>
      <w:r>
        <w:t xml:space="preserve">), the strength of the visiting team (</w:t>
      </w:r>
      <m:oMath>
        <m:sSub>
          <m:e>
            <m:acc>
              <m:accPr>
                <m:chr m:val="̂"/>
              </m:accPr>
              <m:e>
                <m:r>
                  <m:t>θ</m:t>
                </m:r>
              </m:e>
            </m:acc>
          </m:e>
          <m:sub>
            <m:r>
              <m:t>j</m:t>
            </m:r>
          </m:sub>
        </m:sSub>
        <m:r>
          <m:rPr>
            <m:sty m:val="p"/>
          </m:rPr>
          <m:t>(</m:t>
        </m:r>
        <m:r>
          <m:t>t</m:t>
        </m:r>
        <m:r>
          <m:rPr>
            <m:sty m:val="p"/>
          </m:rPr>
          <m:t>)</m:t>
        </m:r>
      </m:oMath>
      <w:r>
        <w:t xml:space="preserve">) and the home win probability (</w:t>
      </w:r>
      <m:oMath>
        <m:sSub>
          <m:e>
            <m:acc>
              <m:accPr>
                <m:chr m:val="̂"/>
              </m:accPr>
              <m:e>
                <m:r>
                  <m:t>p</m:t>
                </m:r>
              </m:e>
            </m:acc>
          </m:e>
          <m:sub>
            <m:r>
              <m:t>i</m:t>
            </m:r>
            <m:r>
              <m:t>j</m:t>
            </m:r>
          </m:sub>
        </m:sSub>
        <m:r>
          <m:rPr>
            <m:sty m:val="p"/>
          </m:rPr>
          <m:t>(</m:t>
        </m:r>
        <m:r>
          <m:t>t</m:t>
        </m:r>
        <m:r>
          <m:rPr>
            <m:sty m:val="p"/>
          </m:rPr>
          <m:t>)</m:t>
        </m:r>
      </m:oMath>
      <w:r>
        <w:t xml:space="preserve">) (which is itself a function of the estimated team strengths).</w:t>
      </w:r>
    </w:p>
    <w:p>
      <w:pPr>
        <w:pStyle w:val="BodyText"/>
      </w:pPr>
      <w:r>
        <w:t xml:space="preserve">As noted in</w:t>
      </w:r>
      <w:r>
        <w:t xml:space="preserve"> </w:t>
      </w:r>
      <w:hyperlink w:anchor="sec-intro">
        <w:r>
          <w:rPr>
            <w:rStyle w:val="Hyperlink"/>
          </w:rPr>
          <w:t xml:space="preserve">Section 1</w:t>
        </w:r>
      </w:hyperlink>
      <w:r>
        <w:t xml:space="preserve">, there are multiple notions of what drives fan engagement relevant to the WNBA.</w:t>
      </w:r>
      <w:r>
        <w:t xml:space="preserve"> </w:t>
      </w:r>
      <w:r>
        <w:t xml:space="preserve">Each of these notions can be captured by a simple bivariate function of the corresponding strengths of the teams</w:t>
      </w:r>
      <w:r>
        <w:t xml:space="preserve"> </w:t>
      </w:r>
      <m:oMath>
        <m:sSub>
          <m:e>
            <m:r>
              <m:t>f</m:t>
            </m:r>
          </m:e>
          <m:sub>
            <m:r>
              <m:t>k</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oMath>
      <w:r>
        <w:t xml:space="preserve">.</w:t>
      </w:r>
      <w:r>
        <w:t xml:space="preserve"> </w:t>
      </w:r>
      <w:r>
        <w:t xml:space="preserve">The first and third have been rescaled so that they will have means close to 0.</w:t>
      </w:r>
    </w:p>
    <w:p>
      <w:pPr>
        <w:pStyle w:val="Compact"/>
        <w:numPr>
          <w:ilvl w:val="0"/>
          <w:numId w:val="1001"/>
        </w:numPr>
      </w:pPr>
      <w:r>
        <w:t xml:space="preserve">Quality of play: fans may wish to attend a game in person if the quality of play is high. We model this as the sum of the Elo rating of the two teams (</w:t>
      </w:r>
      <m:oMath>
        <m:sSub>
          <m:e>
            <m:r>
              <m:t>f</m:t>
            </m:r>
          </m:e>
          <m:sub>
            <m:r>
              <m:t>1</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oMath>
      <w:r>
        <w:t xml:space="preserve">)</w:t>
      </w:r>
    </w:p>
    <w:p>
      <w:pPr>
        <w:pStyle w:val="Compact"/>
        <w:numPr>
          <w:ilvl w:val="0"/>
          <w:numId w:val="1001"/>
        </w:numPr>
      </w:pPr>
      <w:r>
        <w:t xml:space="preserve">Uncertainty of outcome hypothesis: fans may wish to attend a game for which the outcome is unclear. We model this as (</w:t>
      </w:r>
      <m:oMath>
        <m:sSub>
          <m:e>
            <m:r>
              <m:t>f</m:t>
            </m:r>
          </m:e>
          <m:sub>
            <m:r>
              <m:t>2</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r>
          <m:rPr>
            <m:sty m:val="p"/>
          </m:rPr>
          <m:t>|</m:t>
        </m:r>
      </m:oMath>
      <w:r>
        <w:t xml:space="preserve">)</w:t>
      </w:r>
    </w:p>
    <w:p>
      <w:pPr>
        <w:pStyle w:val="Compact"/>
        <w:numPr>
          <w:ilvl w:val="0"/>
          <w:numId w:val="1001"/>
        </w:numPr>
      </w:pPr>
      <w:r>
        <w:t xml:space="preserve">Loss aversion: fans may wish to attend a game to see their team (the home team) win. We model this using the estimated home win probability function above (</w:t>
      </w:r>
      <m:oMath>
        <m:sSub>
          <m:e>
            <m:r>
              <m:t>f</m:t>
            </m:r>
          </m:e>
          <m:sub>
            <m:r>
              <m:t>3</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sSub>
          <m:e>
            <m:acc>
              <m:accPr>
                <m:chr m:val="̂"/>
              </m:accPr>
              <m:e>
                <m:r>
                  <m:t>p</m:t>
                </m:r>
              </m:e>
            </m:acc>
          </m:e>
          <m:sub>
            <m:r>
              <m:t>i</m:t>
            </m:r>
            <m:r>
              <m:t>j</m:t>
            </m:r>
          </m:sub>
        </m:sSub>
        <m:r>
          <m:rPr>
            <m:sty m:val="p"/>
          </m:rPr>
          <m:t>(</m:t>
        </m:r>
        <m:r>
          <m:t>t</m:t>
        </m:r>
        <m:r>
          <m:rPr>
            <m:sty m:val="p"/>
          </m:rPr>
          <m:t>)</m:t>
        </m:r>
      </m:oMath>
      <w:r>
        <w:t xml:space="preserve">)</w:t>
      </w:r>
    </w:p>
    <w:p>
      <w:pPr>
        <w:pStyle w:val="FirstParagraph"/>
      </w:pPr>
      <w:r>
        <w:t xml:space="preserve">The distribution of attendance with respect to</w:t>
      </w:r>
      <w:r>
        <w:t xml:space="preserve"> </w:t>
      </w:r>
      <m:oMath>
        <m:sSub>
          <m:e>
            <m:r>
              <m:t>f</m:t>
            </m:r>
          </m:e>
          <m:sub>
            <m:r>
              <m:t>1</m:t>
            </m:r>
          </m:sub>
        </m:sSub>
      </m:oMath>
      <w:r>
        <w:t xml:space="preserve"> </w:t>
      </w:r>
      <w:r>
        <w:t xml:space="preserve">and</w:t>
      </w:r>
      <w:r>
        <w:t xml:space="preserve"> </w:t>
      </w:r>
      <m:oMath>
        <m:sSub>
          <m:e>
            <m:r>
              <m:t>f</m:t>
            </m:r>
          </m:e>
          <m:sub>
            <m:r>
              <m:t>2</m:t>
            </m:r>
          </m:sub>
        </m:sSub>
      </m:oMath>
      <w:r>
        <w:t xml:space="preserve"> </w:t>
      </w:r>
      <w:r>
        <w:t xml:space="preserve">are shown in</w:t>
      </w:r>
      <w:r>
        <w:t xml:space="preserve"> </w:t>
      </w:r>
      <w:hyperlink w:anchor="fig-attend-f1">
        <w:r>
          <w:rPr>
            <w:rStyle w:val="Hyperlink"/>
          </w:rPr>
          <w:t xml:space="preserve">Figure 5</w:t>
        </w:r>
      </w:hyperlink>
      <w:r>
        <w:t xml:space="preserve"> </w:t>
      </w:r>
      <w:r>
        <w:t xml:space="preserve">and</w:t>
      </w:r>
      <w:r>
        <w:t xml:space="preserve"> </w:t>
      </w:r>
      <w:hyperlink w:anchor="fig-attend-f2">
        <w:r>
          <w:rPr>
            <w:rStyle w:val="Hyperlink"/>
          </w:rPr>
          <w:t xml:space="preserve">Figure 6</w:t>
        </w:r>
      </w:hyperlink>
      <w:r>
        <w:t xml:space="preserve">, respectively, with the corresponding plots for percentage of arena capacity shown in</w:t>
      </w:r>
      <w:r>
        <w:t xml:space="preserve"> </w:t>
      </w:r>
      <w:hyperlink w:anchor="fig-capacity-f1">
        <w:r>
          <w:rPr>
            <w:rStyle w:val="Hyperlink"/>
          </w:rPr>
          <w:t xml:space="preserve">Figure 7</w:t>
        </w:r>
      </w:hyperlink>
      <w:r>
        <w:t xml:space="preserve"> </w:t>
      </w:r>
      <w:r>
        <w:t xml:space="preserve">and</w:t>
      </w:r>
      <w:r>
        <w:t xml:space="preserve"> </w:t>
      </w:r>
      <w:hyperlink w:anchor="fig-capacity-f2">
        <w:r>
          <w:rPr>
            <w:rStyle w:val="Hyperlink"/>
          </w:rPr>
          <w:t xml:space="preserve">Figure 8</w:t>
        </w:r>
      </w:hyperlink>
      <w:r>
        <w:t xml:space="preserve">.</w:t>
      </w:r>
    </w:p>
    <w:bookmarkStart w:id="45" w:name="cell-fig-attend-f1"/>
    <w:tbl>
      <w:tblPr>
        <w:tblStyle w:val="Table"/>
        <w:tblW w:type="pct" w:w="5000"/>
        <w:tblLayout w:type="fixed"/>
        <w:tblLook w:firstRow="0" w:lastRow="0" w:firstColumn="0" w:lastColumn="0" w:noHBand="0" w:noVBand="0" w:val="0000"/>
      </w:tblPr>
      <w:tblGrid>
        <w:gridCol w:w="7920"/>
      </w:tblGrid>
      <w:tr>
        <w:tc>
          <w:tcPr/>
          <w:bookmarkStart w:id="44" w:name="fig-attend-f1"/>
          <w:p>
            <w:pPr>
              <w:pStyle w:val="Compact"/>
              <w:jc w:val="center"/>
            </w:pPr>
            <w:r>
              <w:drawing>
                <wp:inline>
                  <wp:extent cx="4620126" cy="3696101"/>
                  <wp:effectExtent b="0" l="0" r="0" t="0"/>
                  <wp:docPr descr="" title="" id="42" name="Picture"/>
                  <a:graphic>
                    <a:graphicData uri="http://schemas.openxmlformats.org/drawingml/2006/picture">
                      <pic:pic>
                        <pic:nvPicPr>
                          <pic:cNvPr descr="index_files/figure-docx/fig-attend-f1-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asd</w:t>
            </w:r>
          </w:p>
          <w:bookmarkEnd w:id="4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45"/>
    <w:bookmarkStart w:id="50" w:name="cell-fig-attend-f2"/>
    <w:tbl>
      <w:tblPr>
        <w:tblStyle w:val="Table"/>
        <w:tblW w:type="pct" w:w="5000"/>
        <w:tblLayout w:type="fixed"/>
        <w:tblLook w:firstRow="0" w:lastRow="0" w:firstColumn="0" w:lastColumn="0" w:noHBand="0" w:noVBand="0" w:val="0000"/>
      </w:tblPr>
      <w:tblGrid>
        <w:gridCol w:w="7920"/>
      </w:tblGrid>
      <w:tr>
        <w:tc>
          <w:tcPr/>
          <w:bookmarkStart w:id="49" w:name="fig-attend-f2"/>
          <w:p>
            <w:pPr>
              <w:pStyle w:val="Compact"/>
              <w:jc w:val="center"/>
            </w:pPr>
            <w:r>
              <w:drawing>
                <wp:inline>
                  <wp:extent cx="4620126" cy="3696101"/>
                  <wp:effectExtent b="0" l="0" r="0" t="0"/>
                  <wp:docPr descr="" title="" id="47" name="Picture"/>
                  <a:graphic>
                    <a:graphicData uri="http://schemas.openxmlformats.org/drawingml/2006/picture">
                      <pic:pic>
                        <pic:nvPicPr>
                          <pic:cNvPr descr="index_files/figure-docx/fig-attend-f2-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asd</w:t>
            </w:r>
          </w:p>
          <w:bookmarkEnd w:id="49"/>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50"/>
    <w:bookmarkStart w:id="55" w:name="cell-fig-capacity-f1"/>
    <w:tbl>
      <w:tblPr>
        <w:tblStyle w:val="Table"/>
        <w:tblW w:type="pct" w:w="5000"/>
        <w:tblLayout w:type="fixed"/>
        <w:tblLook w:firstRow="0" w:lastRow="0" w:firstColumn="0" w:lastColumn="0" w:noHBand="0" w:noVBand="0" w:val="0000"/>
      </w:tblPr>
      <w:tblGrid>
        <w:gridCol w:w="7920"/>
      </w:tblGrid>
      <w:tr>
        <w:tc>
          <w:tcPr/>
          <w:bookmarkStart w:id="54" w:name="fig-capacity-f1"/>
          <w:p>
            <w:pPr>
              <w:pStyle w:val="Compact"/>
              <w:jc w:val="center"/>
            </w:pPr>
            <w:r>
              <w:drawing>
                <wp:inline>
                  <wp:extent cx="4620126" cy="3696101"/>
                  <wp:effectExtent b="0" l="0" r="0" t="0"/>
                  <wp:docPr descr="" title="" id="52" name="Picture"/>
                  <a:graphic>
                    <a:graphicData uri="http://schemas.openxmlformats.org/drawingml/2006/picture">
                      <pic:pic>
                        <pic:nvPicPr>
                          <pic:cNvPr descr="index_files/figure-docx/fig-capacity-f1-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asd</w:t>
            </w:r>
          </w:p>
          <w:bookmarkEnd w:id="5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55"/>
    <w:bookmarkStart w:id="60" w:name="cell-fig-capacity-f2"/>
    <w:tbl>
      <w:tblPr>
        <w:tblStyle w:val="Table"/>
        <w:tblW w:type="pct" w:w="5000"/>
        <w:tblLayout w:type="fixed"/>
        <w:tblLook w:firstRow="0" w:lastRow="0" w:firstColumn="0" w:lastColumn="0" w:noHBand="0" w:noVBand="0" w:val="0000"/>
      </w:tblPr>
      <w:tblGrid>
        <w:gridCol w:w="7920"/>
      </w:tblGrid>
      <w:tr>
        <w:tc>
          <w:tcPr/>
          <w:bookmarkStart w:id="59" w:name="fig-capacity-f2"/>
          <w:p>
            <w:pPr>
              <w:pStyle w:val="Compact"/>
              <w:jc w:val="center"/>
            </w:pPr>
            <w:r>
              <w:drawing>
                <wp:inline>
                  <wp:extent cx="4620126" cy="3696101"/>
                  <wp:effectExtent b="0" l="0" r="0" t="0"/>
                  <wp:docPr descr="" title="" id="57" name="Picture"/>
                  <a:graphic>
                    <a:graphicData uri="http://schemas.openxmlformats.org/drawingml/2006/picture">
                      <pic:pic>
                        <pic:nvPicPr>
                          <pic:cNvPr descr="index_files/figure-docx/fig-capacity-f2-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asd</w:t>
            </w:r>
          </w:p>
          <w:bookmarkEnd w:id="59"/>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60"/>
    <w:bookmarkEnd w:id="61"/>
    <w:bookmarkStart w:id="63" w:name="sec-control"/>
    <w:p>
      <w:pPr>
        <w:pStyle w:val="Heading3"/>
      </w:pPr>
      <w:r>
        <w:t xml:space="preserve">3.3 Control variables</w:t>
      </w:r>
    </w:p>
    <w:p>
      <w:pPr>
        <w:pStyle w:val="FirstParagraph"/>
      </w:pPr>
      <w:r>
        <w:t xml:space="preserve">As time-related control variables, we include the the season (</w:t>
      </w:r>
      <m:oMath>
        <m:sSub>
          <m:e>
            <m:r>
              <m:t>τ</m:t>
            </m:r>
          </m:e>
          <m:sub>
            <m:r>
              <m:t>1</m:t>
            </m:r>
          </m:sub>
        </m:sSub>
      </m:oMath>
      <w:r>
        <w:t xml:space="preserve">), the month of the year (</w:t>
      </w:r>
      <m:oMath>
        <m:sSub>
          <m:e>
            <m:r>
              <m:t>τ</m:t>
            </m:r>
          </m:e>
          <m:sub>
            <m:r>
              <m:t>2</m:t>
            </m:r>
          </m:sub>
        </m:sSub>
      </m:oMath>
      <w:r>
        <w:t xml:space="preserve">), and day of the week (</w:t>
      </w:r>
      <m:oMath>
        <m:sSub>
          <m:e>
            <m:r>
              <m:t>τ</m:t>
            </m:r>
          </m:e>
          <m:sub>
            <m:r>
              <m:t>3</m:t>
            </m:r>
          </m:sub>
        </m:sSub>
      </m:oMath>
      <w:r>
        <w:t xml:space="preserve">) as fixed effects.</w:t>
      </w:r>
      <w:r>
        <w:t xml:space="preserve"> </w:t>
      </w:r>
      <w:r>
        <w:t xml:space="preserve">To control for city-related effects, we also include the team name (</w:t>
      </w:r>
      <m:oMath>
        <m:sSub>
          <m:e>
            <m:r>
              <m:t>ϕ</m:t>
            </m:r>
          </m:e>
          <m:sub>
            <m:r>
              <m:t>1</m:t>
            </m:r>
          </m:sub>
        </m:sSub>
      </m:oMath>
      <w:r>
        <w:t xml:space="preserve">), as well as the median income (</w:t>
      </w:r>
      <m:oMath>
        <m:sSub>
          <m:e>
            <m:r>
              <m:t>ϕ</m:t>
            </m:r>
          </m:e>
          <m:sub>
            <m:r>
              <m:t>2</m:t>
            </m:r>
          </m:sub>
        </m:sSub>
      </m:oMath>
      <w:r>
        <w:t xml:space="preserve">, in thousands of USD) and population (</w:t>
      </w:r>
      <m:oMath>
        <m:sSub>
          <m:e>
            <m:r>
              <m:t>ϕ</m:t>
            </m:r>
          </m:e>
          <m:sub>
            <m:r>
              <m:t>3</m:t>
            </m:r>
          </m:sub>
        </m:sSub>
      </m:oMath>
      <w:r>
        <w:t xml:space="preserve">, in millions) of the home city</w:t>
      </w:r>
      <w:r>
        <w:rPr>
          <w:rStyle w:val="FootnoteReference"/>
        </w:rPr>
        <w:footnoteReference w:id="62"/>
      </w:r>
      <w:r>
        <w:t xml:space="preserve">.</w:t>
      </w:r>
      <w:r>
        <w:t xml:space="preserve"> </w:t>
      </w:r>
      <w:r>
        <w:t xml:space="preserve">Finally, we include an indicator based on whether Caitlin Clark played more than 0 minutes in the game (</w:t>
      </w:r>
      <m:oMath>
        <m:r>
          <m:t>χ</m:t>
        </m:r>
      </m:oMath>
      <w:r>
        <w:t xml:space="preserve">).</w:t>
      </w:r>
    </w:p>
    <w:bookmarkEnd w:id="63"/>
    <w:bookmarkStart w:id="64" w:name="interaction"/>
    <w:p>
      <w:pPr>
        <w:pStyle w:val="Heading3"/>
      </w:pPr>
      <w:r>
        <w:t xml:space="preserve">3.4 Interaction</w:t>
      </w:r>
    </w:p>
    <w:p>
      <w:pPr>
        <w:pStyle w:val="FirstParagraph"/>
      </w:pPr>
      <w:r>
        <w:t xml:space="preserve">Testing our primary hypotheses requires analyzing how the relationship between attendance and fan engagement has changed over time.</w:t>
      </w:r>
      <w:r>
        <w:t xml:space="preserve"> </w:t>
      </w:r>
      <w:r>
        <w:t xml:space="preserve">To capture this, we include an interaction term between our measures of fan engagement (</w:t>
      </w:r>
      <m:oMath>
        <m:sSub>
          <m:e>
            <m:r>
              <m:t>f</m:t>
            </m:r>
          </m:e>
          <m:sub>
            <m:r>
              <m:t>k</m:t>
            </m:r>
          </m:sub>
        </m:sSub>
      </m:oMath>
      <w:r>
        <w:t xml:space="preserve">) and season (</w:t>
      </w:r>
      <m:oMath>
        <m:sSub>
          <m:e>
            <m:r>
              <m:t>τ</m:t>
            </m:r>
          </m:e>
          <m:sub>
            <m:r>
              <m:t>1</m:t>
            </m:r>
          </m:sub>
        </m:sSub>
      </m:oMath>
      <w:r>
        <w:t xml:space="preserve">).</w:t>
      </w:r>
    </w:p>
    <w:bookmarkEnd w:id="64"/>
    <w:bookmarkStart w:id="65" w:name="sec-mod-attend"/>
    <w:p>
      <w:pPr>
        <w:pStyle w:val="Heading3"/>
      </w:pPr>
      <w:r>
        <w:t xml:space="preserve">3.5 Model formulation for attendance</w:t>
      </w:r>
    </w:p>
    <w:p>
      <w:pPr>
        <w:pStyle w:val="FirstParagraph"/>
      </w:pPr>
      <w:r>
        <w:t xml:space="preserve">Like</w:t>
      </w:r>
      <w:r>
        <w:t xml:space="preserve"> </w:t>
      </w:r>
      <w:r>
        <w:t xml:space="preserve">Coates et al. (2014)</w:t>
      </w:r>
      <w:r>
        <w:t xml:space="preserve">, we model the natural logarithm of attendance.</w:t>
      </w:r>
    </w:p>
    <w:p>
      <w:pPr>
        <w:pStyle w:val="BodyText"/>
      </w:pPr>
      <w:r>
        <w:t xml:space="preserve">Our general regression model for attendance is:</w:t>
      </w:r>
      <w:r>
        <w:t xml:space="preserve"> </w:t>
      </w:r>
      <w:r>
        <w:t xml:space="preserve"> </w:t>
      </w:r>
      <w:r>
        <w:t xml:space="preserve">where</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and</w:t>
      </w:r>
      <w:r>
        <w:t xml:space="preserve"> </w:t>
      </w:r>
      <m:oMath>
        <m:sSubSup>
          <m:e>
            <m:r>
              <m:t>β</m:t>
            </m:r>
          </m:e>
          <m:sub>
            <m:r>
              <m:t>j</m:t>
            </m:r>
          </m:sub>
          <m:sup>
            <m:r>
              <m:rPr>
                <m:sty m:val="p"/>
              </m:rPr>
              <m:t>(</m:t>
            </m:r>
            <m:r>
              <m:t>k</m:t>
            </m:r>
            <m:r>
              <m:rPr>
                <m:sty m:val="p"/>
              </m:rPr>
              <m:t>)</m:t>
            </m:r>
          </m:sup>
        </m:sSubSup>
        <m:r>
          <m:rPr>
            <m:sty m:val="p"/>
          </m:rPr>
          <m:t>∈</m:t>
        </m:r>
        <m:r>
          <m:rPr>
            <m:scr m:val="double-struck"/>
            <m:sty m:val="p"/>
          </m:rPr>
          <m:t>R</m:t>
        </m:r>
      </m:oMath>
      <w:r>
        <w:t xml:space="preserve"> </w:t>
      </w:r>
      <w:r>
        <w:t xml:space="preserve">for</w:t>
      </w:r>
      <w:r>
        <w:t xml:space="preserve"> </w:t>
      </w:r>
      <m:oMath>
        <m:r>
          <m:t>j</m:t>
        </m:r>
        <m:r>
          <m:rPr>
            <m:sty m:val="p"/>
          </m:rPr>
          <m:t>=</m:t>
        </m:r>
        <m:r>
          <m:rPr>
            <m:sty m:val="p"/>
          </m:rPr>
          <m:t>{</m:t>
        </m:r>
        <m:r>
          <m:t>0</m:t>
        </m:r>
        <m:r>
          <m:rPr>
            <m:sty m:val="p"/>
          </m:rPr>
          <m:t>,</m:t>
        </m:r>
        <m:r>
          <m:t>1</m:t>
        </m:r>
        <m:r>
          <m:rPr>
            <m:sty m:val="p"/>
          </m:rPr>
          <m:t>,</m:t>
        </m:r>
        <m:r>
          <m:t>6</m:t>
        </m:r>
        <m:r>
          <m:rPr>
            <m:sty m:val="p"/>
          </m:rPr>
          <m:t>,</m:t>
        </m:r>
        <m:r>
          <m:t>7</m:t>
        </m:r>
        <m:r>
          <m:rPr>
            <m:sty m:val="p"/>
          </m:rPr>
          <m:t>,</m:t>
        </m:r>
        <m:r>
          <m:t>8</m:t>
        </m:r>
        <m:r>
          <m:rPr>
            <m:sty m:val="p"/>
          </m:rPr>
          <m:t>}</m:t>
        </m:r>
      </m:oMath>
      <w:r>
        <w:t xml:space="preserve">, while the other</w:t>
      </w:r>
      <w:r>
        <w:t xml:space="preserve"> </w:t>
      </w:r>
      <m:oMath>
        <m:sSubSup>
          <m:e>
            <m:r>
              <m:t>β</m:t>
            </m:r>
          </m:e>
          <m:sub>
            <m:r>
              <m:t>j</m:t>
            </m:r>
          </m:sub>
          <m:sup>
            <m:r>
              <m:rPr>
                <m:sty m:val="p"/>
              </m:rPr>
              <m:t>(</m:t>
            </m:r>
            <m:r>
              <m:t>k</m:t>
            </m:r>
            <m:r>
              <m:rPr>
                <m:sty m:val="p"/>
              </m:rPr>
              <m:t>)</m:t>
            </m:r>
          </m:sup>
        </m:sSubSup>
      </m:oMath>
      <w:r>
        <w:t xml:space="preserve"> </w:t>
      </w:r>
      <w:r>
        <w:t xml:space="preserve">coefficients are vectors of length equal to the number of factor levels in their corresponding categorical explanatory variable.</w:t>
      </w:r>
      <w:r>
        <w:t xml:space="preserve"> </w:t>
      </w:r>
      <w:r>
        <w:t xml:space="preserve">Most notably</w:t>
      </w:r>
      <w:r>
        <w:t xml:space="preserve"> </w:t>
      </w:r>
      <m:oMath>
        <m:sSubSup>
          <m:e>
            <m:r>
              <m:t>β</m:t>
            </m:r>
          </m:e>
          <m:sub>
            <m:r>
              <m:t>2</m:t>
            </m:r>
          </m:sub>
          <m:sup>
            <m:r>
              <m:rPr>
                <m:sty m:val="p"/>
              </m:rPr>
              <m:t>(</m:t>
            </m:r>
            <m:r>
              <m:t>k</m:t>
            </m:r>
            <m:r>
              <m:rPr>
                <m:sty m:val="p"/>
              </m:rPr>
              <m:t>)</m:t>
            </m:r>
          </m:sup>
        </m:sSubSup>
      </m:oMath>
      <w:r>
        <w:t xml:space="preserve"> </w:t>
      </w:r>
      <w:r>
        <w:t xml:space="preserve">and</w:t>
      </w:r>
      <w:r>
        <w:t xml:space="preserve"> </w:t>
      </w:r>
      <m:oMath>
        <m:sSubSup>
          <m:e>
            <m:r>
              <m:t>β</m:t>
            </m:r>
          </m:e>
          <m:sub>
            <m:r>
              <m:t>9</m:t>
            </m:r>
          </m:sub>
          <m:sup>
            <m:r>
              <m:rPr>
                <m:sty m:val="p"/>
              </m:rPr>
              <m:t>(</m:t>
            </m:r>
            <m:r>
              <m:t>k</m:t>
            </m:r>
            <m:r>
              <m:rPr>
                <m:sty m:val="p"/>
              </m:rPr>
              <m:t>)</m:t>
            </m:r>
          </m:sup>
        </m:sSubSup>
      </m:oMath>
      <w:r>
        <w:t xml:space="preserve"> </w:t>
      </w:r>
      <w:r>
        <w:t xml:space="preserve">have 29 values (corresponding to each season after 1997) and</w:t>
      </w:r>
      <w:r>
        <w:t xml:space="preserve"> </w:t>
      </w:r>
      <m:oMath>
        <m:sSubSup>
          <m:e>
            <m:r>
              <m:t>β</m:t>
            </m:r>
          </m:e>
          <m:sub>
            <m:r>
              <m:t>5</m:t>
            </m:r>
          </m:sub>
          <m:sup>
            <m:r>
              <m:rPr>
                <m:sty m:val="p"/>
              </m:rPr>
              <m:t>(</m:t>
            </m:r>
            <m:r>
              <m:t>k</m:t>
            </m:r>
            <m:r>
              <m:rPr>
                <m:sty m:val="p"/>
              </m:rPr>
              <m:t>)</m:t>
            </m:r>
          </m:sup>
        </m:sSubSup>
      </m:oMath>
      <w:r>
        <w:t xml:space="preserve"> </w:t>
      </w:r>
      <w:r>
        <w:t xml:space="preserve">has 19 values (corresponding to each team).</w:t>
      </w:r>
      <w:r>
        <w:t xml:space="preserve"> </w:t>
      </w:r>
      <w:r>
        <w:t xml:space="preserve">Only current WNBA franchises are included in the regression model.</w:t>
      </w:r>
      <w:r>
        <w:t xml:space="preserve"> </w:t>
      </w:r>
      <w:r>
        <w:t xml:space="preserve">We also excluded all data from the 2020 and 2021 seasons, since there were no fans allowed in all or parts of both seasons.</w:t>
      </w:r>
    </w:p>
    <w:bookmarkEnd w:id="65"/>
    <w:bookmarkStart w:id="66" w:name="sec-mod-cap"/>
    <w:p>
      <w:pPr>
        <w:pStyle w:val="Heading3"/>
      </w:pPr>
      <w:r>
        <w:t xml:space="preserve">3.6 Model formulation for percentage of arena capacity</w:t>
      </w:r>
    </w:p>
    <w:p>
      <w:pPr>
        <w:pStyle w:val="FirstParagraph"/>
      </w:pPr>
      <w:r>
        <w:t xml:space="preserve">We fit the same set of models with</w:t>
      </w:r>
      <w:r>
        <w:t xml:space="preserve"> </w:t>
      </w:r>
      <m:oMath>
        <m:r>
          <m:t>γ</m:t>
        </m:r>
      </m:oMath>
      <w:r>
        <w:t xml:space="preserve"> </w:t>
      </w:r>
      <w:r>
        <w:t xml:space="preserve">as the response, but because our response variable</w:t>
      </w:r>
      <w:r>
        <w:t xml:space="preserve"> </w:t>
      </w:r>
      <m:oMath>
        <m:r>
          <m:t>γ</m:t>
        </m:r>
      </m:oMath>
      <w:r>
        <w:t xml:space="preserve"> </w:t>
      </w:r>
      <w:r>
        <w:t xml:space="preserve">is constrained between 0 and 1 and has significant mass at 1 exactly, we use the Papke-Wooldridge fractional response model</w:t>
      </w:r>
      <w:r>
        <w:t xml:space="preserve"> </w:t>
      </w:r>
      <w:r>
        <w:t xml:space="preserve">(Papke and Wooldridge 1996)</w:t>
      </w:r>
      <w:r>
        <w:t xml:space="preserve">.</w:t>
      </w:r>
      <w:r>
        <w:t xml:space="preserve"> </w:t>
      </w:r>
      <w:r>
        <w:t xml:space="preserve">This is equivalent to fitting a generalized linear model with a logit link function and applying HC1 sandwich estimators</w:t>
      </w:r>
      <w:r>
        <w:t xml:space="preserve"> </w:t>
      </w:r>
      <w:r>
        <w:t xml:space="preserve">(MacKinnon and White 1985)</w:t>
      </w:r>
      <w:r>
        <w:t xml:space="preserve"> </w:t>
      </w:r>
      <w:r>
        <w:t xml:space="preserve">for the covariance matrix, which we accomplish using the</w:t>
      </w:r>
      <w:r>
        <w:t xml:space="preserve"> </w:t>
      </w:r>
      <w:r>
        <w:rPr>
          <w:b/>
          <w:bCs/>
        </w:rPr>
        <w:t xml:space="preserve">sandwich</w:t>
      </w:r>
      <w:r>
        <w:t xml:space="preserve"> </w:t>
      </w:r>
      <w:r>
        <w:t xml:space="preserve">package in R.</w:t>
      </w:r>
    </w:p>
    <w:p>
      <w:pPr>
        <w:pStyle w:val="BodyText"/>
      </w:pPr>
      <m:oMathPara>
        <m:oMathParaPr>
          <m:jc m:val="center"/>
        </m:oMathParaPr>
        <m:oMath>
          <m:r>
            <m:rPr>
              <m:scr m:val="double-struck"/>
              <m:sty m:val="p"/>
            </m:rPr>
            <m:t>E</m:t>
          </m:r>
          <m:r>
            <m:rPr>
              <m:sty m:val="p"/>
            </m:rPr>
            <m:t>(</m:t>
          </m:r>
          <m:r>
            <m:t>γ</m:t>
          </m:r>
          <m:r>
            <m:rPr>
              <m:sty m:val="p"/>
            </m:rPr>
            <m:t>|</m:t>
          </m:r>
          <m:r>
            <m:rPr>
              <m:sty m:val="b"/>
            </m:rPr>
            <m:t>X</m:t>
          </m:r>
          <m:r>
            <m:rPr>
              <m:sty m:val="p"/>
            </m:rPr>
            <m:t>)</m:t>
          </m:r>
          <m:r>
            <m:rPr>
              <m:sty m:val="p"/>
            </m:rPr>
            <m:t>=</m:t>
          </m:r>
          <m:r>
            <m:t>G</m:t>
          </m:r>
          <m:r>
            <m:rPr>
              <m:sty m:val="p"/>
            </m:rPr>
            <m:t>(</m:t>
          </m:r>
          <m:r>
            <m:rPr>
              <m:sty m:val="b"/>
            </m:rPr>
            <m:t>X</m:t>
          </m:r>
          <m:sSup>
            <m:e>
              <m:r>
                <m:rPr>
                  <m:sty m:val="b"/>
                </m:rPr>
                <m:t>η</m:t>
              </m:r>
            </m:e>
            <m:sup>
              <m:r>
                <m:rPr>
                  <m:sty m:val="p"/>
                </m:rPr>
                <m:t>(</m:t>
              </m:r>
              <m:r>
                <m:t>k</m:t>
              </m:r>
              <m:r>
                <m:rPr>
                  <m:sty m:val="p"/>
                </m:rPr>
                <m:t>)</m:t>
              </m:r>
            </m:sup>
          </m:sSup>
          <m:r>
            <m:rPr>
              <m:sty m:val="p"/>
            </m:rPr>
            <m:t>)</m:t>
          </m:r>
          <m:r>
            <m:t> </m:t>
          </m:r>
          <m:r>
            <m:rPr>
              <m:sty m:val="p"/>
            </m:rPr>
            <m:t>,</m:t>
          </m:r>
        </m:oMath>
      </m:oMathPara>
    </w:p>
    <w:p>
      <w:pPr>
        <w:pStyle w:val="FirstParagraph"/>
      </w:pPr>
      <w:r>
        <w:t xml:space="preserve">where</w:t>
      </w:r>
      <w:r>
        <w:t xml:space="preserve"> </w:t>
      </w:r>
      <m:oMath>
        <m:r>
          <m:t>G</m:t>
        </m:r>
        <m:r>
          <m:rPr>
            <m:sty m:val="p"/>
          </m:rPr>
          <m:t>(</m:t>
        </m:r>
        <m:r>
          <m:t>z</m:t>
        </m:r>
        <m:r>
          <m:rPr>
            <m:sty m:val="p"/>
          </m:rPr>
          <m:t>)</m:t>
        </m:r>
        <m:r>
          <m:rPr>
            <m:sty m:val="p"/>
          </m:rPr>
          <m:t>=</m:t>
        </m:r>
        <m:f>
          <m:fPr>
            <m:type m:val="bar"/>
          </m:fPr>
          <m:num>
            <m:sSup>
              <m:e>
                <m:r>
                  <m:t>e</m:t>
                </m:r>
              </m:e>
              <m:sup>
                <m:r>
                  <m:t>z</m:t>
                </m:r>
              </m:sup>
            </m:sSup>
          </m:num>
          <m:den>
            <m:r>
              <m:t>1</m:t>
            </m:r>
            <m:r>
              <m:rPr>
                <m:sty m:val="p"/>
              </m:rPr>
              <m:t>+</m:t>
            </m:r>
            <m:sSup>
              <m:e>
                <m:r>
                  <m:t>e</m:t>
                </m:r>
              </m:e>
              <m:sup>
                <m:r>
                  <m:t>z</m:t>
                </m:r>
              </m:sup>
            </m:sSup>
          </m:den>
        </m:f>
      </m:oMath>
      <w:r>
        <w:t xml:space="preserve"> </w:t>
      </w:r>
      <w:r>
        <w:t xml:space="preserve">is the (vectorized) logistic function,</w:t>
      </w:r>
      <w:r>
        <w:t xml:space="preserve"> </w:t>
      </w:r>
      <m:oMath>
        <m:r>
          <m:rPr>
            <m:sty m:val="b"/>
          </m:rPr>
          <m:t>X</m:t>
        </m:r>
      </m:oMath>
      <w:r>
        <w:t xml:space="preserve"> </w:t>
      </w:r>
      <w:r>
        <w:t xml:space="preserve">is as above, and</w:t>
      </w:r>
      <w:r>
        <w:t xml:space="preserve"> </w:t>
      </w:r>
      <m:oMath>
        <m:sSup>
          <m:e>
            <m:r>
              <m:rPr>
                <m:sty m:val="b"/>
              </m:rPr>
              <m:t>η</m:t>
            </m:r>
          </m:e>
          <m:sup>
            <m:r>
              <m:rPr>
                <m:sty m:val="b"/>
              </m:rPr>
              <m:t>(</m:t>
            </m:r>
            <m:r>
              <m:rPr>
                <m:sty m:val="b"/>
              </m:rPr>
              <m:t>k</m:t>
            </m:r>
            <m:r>
              <m:rPr>
                <m:sty m:val="b"/>
              </m:rPr>
              <m:t>)</m:t>
            </m:r>
          </m:sup>
        </m:sSup>
      </m:oMath>
      <w:r>
        <w:t xml:space="preserve"> </w:t>
      </w:r>
      <w:r>
        <w:t xml:space="preserve">has the same structure as</w:t>
      </w:r>
      <w:r>
        <w:t xml:space="preserve"> </w:t>
      </w:r>
      <m:oMath>
        <m:sSup>
          <m:e>
            <m:r>
              <m:rPr>
                <m:sty m:val="b"/>
              </m:rPr>
              <m:t>β</m:t>
            </m:r>
          </m:e>
          <m:sup>
            <m:r>
              <m:rPr>
                <m:sty m:val="p"/>
              </m:rPr>
              <m:t>(</m:t>
            </m:r>
            <m:r>
              <m:t>k</m:t>
            </m:r>
            <m:r>
              <m:rPr>
                <m:sty m:val="p"/>
              </m:rPr>
              <m:t>)</m:t>
            </m:r>
          </m:sup>
        </m:sSup>
      </m:oMath>
      <w:r>
        <w:t xml:space="preserve"> </w:t>
      </w:r>
      <w:r>
        <w:t xml:space="preserve">defined above.</w:t>
      </w:r>
    </w:p>
    <w:bookmarkEnd w:id="66"/>
    <w:bookmarkEnd w:id="67"/>
    <w:bookmarkStart w:id="94" w:name="results"/>
    <w:p>
      <w:pPr>
        <w:pStyle w:val="Heading2"/>
      </w:pPr>
      <w:r>
        <w:t xml:space="preserve">4 Results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80" w:name="sec-attend"/>
    <w:p>
      <w:pPr>
        <w:pStyle w:val="Heading3"/>
      </w:pPr>
      <w:r>
        <w:t xml:space="preserve">4.1 Attendance</w:t>
      </w:r>
    </w:p>
    <w:p>
      <w:pPr>
        <w:pStyle w:val="FirstParagraph"/>
      </w:pPr>
      <w:r>
        <w:t xml:space="preserve">In keeping with recent guidance from</w:t>
      </w:r>
      <w:r>
        <w:t xml:space="preserve"> </w:t>
      </w:r>
      <w:r>
        <w:t xml:space="preserve">Wasserstein and Lazar (2016)</w:t>
      </w:r>
      <w:r>
        <w:t xml:space="preserve"> </w:t>
      </w:r>
      <w:r>
        <w:t xml:space="preserve">and</w:t>
      </w:r>
      <w:r>
        <w:t xml:space="preserve"> </w:t>
      </w:r>
      <w:r>
        <w:t xml:space="preserve">Wasserstein et al. (2019)</w:t>
      </w:r>
      <w:r>
        <w:t xml:space="preserve">, and with a sample size of over 5000 observations and dozens of coefficients, we are less interested in the p-values shown in</w:t>
      </w:r>
      <w:r>
        <w:t xml:space="preserve"> </w:t>
      </w:r>
      <w:hyperlink w:anchor="tbl-coefs">
        <w:r>
          <w:rPr>
            <w:rStyle w:val="Hyperlink"/>
          </w:rPr>
          <w:t xml:space="preserve">Table 3</w:t>
        </w:r>
      </w:hyperlink>
      <w:r>
        <w:t xml:space="preserve">, and focus our attention on the magnitude and practical impact of the fitted coefficients.</w:t>
      </w:r>
      <w:r>
        <w:t xml:space="preserve"> </w:t>
      </w:r>
      <w:r>
        <w:t xml:space="preserve">(All variables except for population achieve</w:t>
      </w:r>
      <w:r>
        <w:t xml:space="preserve"> </w:t>
      </w:r>
      <w:r>
        <w:t xml:space="preserve">“statistical significance”</w:t>
      </w:r>
      <w:r>
        <w:t xml:space="preserve"> </w:t>
      </w:r>
      <w:r>
        <w:t xml:space="preserve">at the 5%-level, as shown in</w:t>
      </w:r>
      <w:r>
        <w:t xml:space="preserve"> </w:t>
      </w:r>
      <w:hyperlink w:anchor="tbl-anova">
        <w:r>
          <w:rPr>
            <w:rStyle w:val="Hyperlink"/>
          </w:rPr>
          <w:t xml:space="preserve">Table 7</w:t>
        </w:r>
      </w:hyperlink>
      <w:r>
        <w:t xml:space="preserve">).</w:t>
      </w:r>
      <w:r>
        <w:t xml:space="preserve"> </w:t>
      </w:r>
      <w:r>
        <w:t xml:space="preserve">Residual analysis for the attendance models are shown in</w:t>
      </w:r>
      <w:r>
        <w:t xml:space="preserve"> </w:t>
      </w:r>
      <w:hyperlink w:anchor="sec-resid-attend">
        <w:r>
          <w:rPr>
            <w:rStyle w:val="Hyperlink"/>
          </w:rPr>
          <w:t xml:space="preserve">Section 6.2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8" w:name="tbl-coefs"/>
          <w:p>
            <w:pPr>
              <w:jc w:val="center"/>
            </w:pPr>
            <w:pPr>
              <w:jc w:val="left"/>
              <w:spacing w:before="200"/>
              <w:pStyle w:val="ImageCaption"/>
            </w:pPr>
            <w:r>
              <w:t xml:space="preserve">Table 3: Fitted coefficients for scalar terms in models for the natural logarithm of attendance.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Statistic</w:t>
                  </w:r>
                </w:p>
              </w:tc>
              <w:tc>
                <w:tcPr/>
                <w:p>
                  <w:pPr>
                    <w:pStyle w:val="Compact"/>
                    <w:jc w:val="right"/>
                    <w:jc w:val="center"/>
                  </w:pPr>
                  <w:r>
                    <w:t xml:space="preserve">P Value</w:t>
                  </w:r>
                </w:p>
              </w:tc>
            </w:tr>
            <w:tr>
              <w:tc>
                <w:tcPr/>
                <w:p>
                  <w:pPr>
                    <w:pStyle w:val="Compact"/>
                    <w:jc w:val="left"/>
                    <w:jc w:val="center"/>
                  </w:pPr>
                  <w:r>
                    <w:t xml:space="preserve">f1</w:t>
                  </w:r>
                </w:p>
              </w:tc>
              <w:tc>
                <w:tcPr/>
                <w:p>
                  <w:pPr>
                    <w:pStyle w:val="Compact"/>
                    <w:jc w:val="left"/>
                    <w:jc w:val="center"/>
                  </w:pPr>
                  <w:r>
                    <w:t xml:space="preserve">(Intercept)</w:t>
                  </w:r>
                </w:p>
              </w:tc>
              <w:tc>
                <w:tcPr/>
                <w:p>
                  <w:pPr>
                    <w:pStyle w:val="Compact"/>
                    <w:jc w:val="right"/>
                    <w:jc w:val="center"/>
                  </w:pPr>
                  <w:r>
                    <w:t xml:space="preserve">9.027</w:t>
                  </w:r>
                </w:p>
              </w:tc>
              <w:tc>
                <w:tcPr/>
                <w:p>
                  <w:pPr>
                    <w:pStyle w:val="Compact"/>
                    <w:jc w:val="right"/>
                    <w:jc w:val="center"/>
                  </w:pPr>
                  <w:r>
                    <w:t xml:space="preserve">0.129</w:t>
                  </w:r>
                </w:p>
              </w:tc>
              <w:tc>
                <w:tcPr/>
                <w:p>
                  <w:pPr>
                    <w:pStyle w:val="Compact"/>
                    <w:jc w:val="right"/>
                    <w:jc w:val="center"/>
                  </w:pPr>
                  <w:r>
                    <w:t xml:space="preserve">69.908</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(Intercept)</w:t>
                  </w:r>
                </w:p>
              </w:tc>
              <w:tc>
                <w:tcPr/>
                <w:p>
                  <w:pPr>
                    <w:pStyle w:val="Compact"/>
                    <w:jc w:val="right"/>
                    <w:jc w:val="center"/>
                  </w:pPr>
                  <w:r>
                    <w:t xml:space="preserve">8.968</w:t>
                  </w:r>
                </w:p>
              </w:tc>
              <w:tc>
                <w:tcPr/>
                <w:p>
                  <w:pPr>
                    <w:pStyle w:val="Compact"/>
                    <w:jc w:val="right"/>
                    <w:jc w:val="center"/>
                  </w:pPr>
                  <w:r>
                    <w:t xml:space="preserve">0.155</w:t>
                  </w:r>
                </w:p>
              </w:tc>
              <w:tc>
                <w:tcPr/>
                <w:p>
                  <w:pPr>
                    <w:pStyle w:val="Compact"/>
                    <w:jc w:val="right"/>
                    <w:jc w:val="center"/>
                  </w:pPr>
                  <w:r>
                    <w:t xml:space="preserve">58.003</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(Intercept)</w:t>
                  </w:r>
                </w:p>
              </w:tc>
              <w:tc>
                <w:tcPr/>
                <w:p>
                  <w:pPr>
                    <w:pStyle w:val="Compact"/>
                    <w:jc w:val="right"/>
                    <w:jc w:val="center"/>
                  </w:pPr>
                  <w:r>
                    <w:t xml:space="preserve">9.078</w:t>
                  </w:r>
                </w:p>
              </w:tc>
              <w:tc>
                <w:tcPr/>
                <w:p>
                  <w:pPr>
                    <w:pStyle w:val="Compact"/>
                    <w:jc w:val="right"/>
                    <w:jc w:val="center"/>
                  </w:pPr>
                  <w:r>
                    <w:t xml:space="preserve">0.132</w:t>
                  </w:r>
                </w:p>
              </w:tc>
              <w:tc>
                <w:tcPr/>
                <w:p>
                  <w:pPr>
                    <w:pStyle w:val="Compact"/>
                    <w:jc w:val="right"/>
                    <w:jc w:val="center"/>
                  </w:pPr>
                  <w:r>
                    <w:t xml:space="preserve">68.750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Caitlin Clark</w:t>
                  </w:r>
                </w:p>
              </w:tc>
              <w:tc>
                <w:tcPr/>
                <w:p>
                  <w:pPr>
                    <w:pStyle w:val="Compact"/>
                    <w:jc w:val="right"/>
                    <w:jc w:val="center"/>
                  </w:pPr>
                  <w:r>
                    <w:t xml:space="preserve">0.705</w:t>
                  </w:r>
                </w:p>
              </w:tc>
              <w:tc>
                <w:tcPr/>
                <w:p>
                  <w:pPr>
                    <w:pStyle w:val="Compact"/>
                    <w:jc w:val="right"/>
                    <w:jc w:val="center"/>
                  </w:pPr>
                  <w:r>
                    <w:t xml:space="preserve">0.049</w:t>
                  </w:r>
                </w:p>
              </w:tc>
              <w:tc>
                <w:tcPr/>
                <w:p>
                  <w:pPr>
                    <w:pStyle w:val="Compact"/>
                    <w:jc w:val="right"/>
                    <w:jc w:val="center"/>
                  </w:pPr>
                  <w:r>
                    <w:t xml:space="preserve">14.514</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Caitlin Clark</w:t>
                  </w:r>
                </w:p>
              </w:tc>
              <w:tc>
                <w:tcPr/>
                <w:p>
                  <w:pPr>
                    <w:pStyle w:val="Compact"/>
                    <w:jc w:val="right"/>
                    <w:jc w:val="center"/>
                  </w:pPr>
                  <w:r>
                    <w:t xml:space="preserve">0.699</w:t>
                  </w:r>
                </w:p>
              </w:tc>
              <w:tc>
                <w:tcPr/>
                <w:p>
                  <w:pPr>
                    <w:pStyle w:val="Compact"/>
                    <w:jc w:val="right"/>
                    <w:jc w:val="center"/>
                  </w:pPr>
                  <w:r>
                    <w:t xml:space="preserve">0.050</w:t>
                  </w:r>
                </w:p>
              </w:tc>
              <w:tc>
                <w:tcPr/>
                <w:p>
                  <w:pPr>
                    <w:pStyle w:val="Compact"/>
                    <w:jc w:val="right"/>
                    <w:jc w:val="center"/>
                  </w:pPr>
                  <w:r>
                    <w:t xml:space="preserve">14.089</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Caitlin Clark</w:t>
                  </w:r>
                </w:p>
              </w:tc>
              <w:tc>
                <w:tcPr/>
                <w:p>
                  <w:pPr>
                    <w:pStyle w:val="Compact"/>
                    <w:jc w:val="right"/>
                    <w:jc w:val="center"/>
                  </w:pPr>
                  <w:r>
                    <w:t xml:space="preserve">0.653</w:t>
                  </w:r>
                </w:p>
              </w:tc>
              <w:tc>
                <w:tcPr/>
                <w:p>
                  <w:pPr>
                    <w:pStyle w:val="Compact"/>
                    <w:jc w:val="right"/>
                    <w:jc w:val="center"/>
                  </w:pPr>
                  <w:r>
                    <w:t xml:space="preserve">0.048</w:t>
                  </w:r>
                </w:p>
              </w:tc>
              <w:tc>
                <w:tcPr/>
                <w:p>
                  <w:pPr>
                    <w:pStyle w:val="Compact"/>
                    <w:jc w:val="right"/>
                    <w:jc w:val="center"/>
                  </w:pPr>
                  <w:r>
                    <w:t xml:space="preserve">13.627</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F1: Fan Engagment</w:t>
                  </w:r>
                </w:p>
              </w:tc>
              <w:tc>
                <w:tcPr/>
                <w:p>
                  <w:pPr>
                    <w:pStyle w:val="Compact"/>
                    <w:jc w:val="right"/>
                    <w:jc w:val="center"/>
                  </w:pPr>
                  <w:r>
                    <w:t xml:space="preserve">0.002</w:t>
                  </w:r>
                </w:p>
              </w:tc>
              <w:tc>
                <w:tcPr/>
                <w:p>
                  <w:pPr>
                    <w:pStyle w:val="Compact"/>
                    <w:jc w:val="right"/>
                    <w:jc w:val="center"/>
                  </w:pPr>
                  <w:r>
                    <w:t xml:space="preserve">0.001</w:t>
                  </w:r>
                </w:p>
              </w:tc>
              <w:tc>
                <w:tcPr/>
                <w:p>
                  <w:pPr>
                    <w:pStyle w:val="Compact"/>
                    <w:jc w:val="right"/>
                    <w:jc w:val="center"/>
                  </w:pPr>
                  <w:r>
                    <w:t xml:space="preserve">3.320</w:t>
                  </w:r>
                </w:p>
              </w:tc>
              <w:tc>
                <w:tcPr/>
                <w:p>
                  <w:pPr>
                    <w:pStyle w:val="Compact"/>
                    <w:jc w:val="right"/>
                    <w:jc w:val="center"/>
                  </w:pPr>
                  <w:r>
                    <w:t xml:space="preserve">0.001</w:t>
                  </w:r>
                </w:p>
              </w:tc>
            </w:tr>
            <w:tr>
              <w:tc>
                <w:tcPr/>
                <w:p>
                  <w:pPr>
                    <w:pStyle w:val="Compact"/>
                    <w:jc w:val="left"/>
                    <w:jc w:val="center"/>
                  </w:pPr>
                  <w:r>
                    <w:t xml:space="preserve">f2</w:t>
                  </w:r>
                </w:p>
              </w:tc>
              <w:tc>
                <w:tcPr/>
                <w:p>
                  <w:pPr>
                    <w:pStyle w:val="Compact"/>
                    <w:jc w:val="left"/>
                    <w:jc w:val="center"/>
                  </w:pPr>
                  <w:r>
                    <w:t xml:space="preserve">F2: Fan Engagment</w:t>
                  </w:r>
                </w:p>
              </w:tc>
              <w:tc>
                <w:tcPr/>
                <w:p>
                  <w:pPr>
                    <w:pStyle w:val="Compact"/>
                    <w:jc w:val="right"/>
                    <w:jc w:val="center"/>
                  </w:pPr>
                  <w:r>
                    <w:t xml:space="preserve">0.001</w:t>
                  </w:r>
                </w:p>
              </w:tc>
              <w:tc>
                <w:tcPr/>
                <w:p>
                  <w:pPr>
                    <w:pStyle w:val="Compact"/>
                    <w:jc w:val="right"/>
                    <w:jc w:val="center"/>
                  </w:pPr>
                  <w:r>
                    <w:t xml:space="preserve">0.001</w:t>
                  </w:r>
                </w:p>
              </w:tc>
              <w:tc>
                <w:tcPr/>
                <w:p>
                  <w:pPr>
                    <w:pStyle w:val="Compact"/>
                    <w:jc w:val="right"/>
                    <w:jc w:val="center"/>
                  </w:pPr>
                  <w:r>
                    <w:t xml:space="preserve">0.524</w:t>
                  </w:r>
                </w:p>
              </w:tc>
              <w:tc>
                <w:tcPr/>
                <w:p>
                  <w:pPr>
                    <w:pStyle w:val="Compact"/>
                    <w:jc w:val="right"/>
                    <w:jc w:val="center"/>
                  </w:pPr>
                  <w:r>
                    <w:t xml:space="preserve">0.600</w:t>
                  </w:r>
                </w:p>
              </w:tc>
            </w:tr>
            <w:tr>
              <w:tc>
                <w:tcPr/>
                <w:p>
                  <w:pPr>
                    <w:pStyle w:val="Compact"/>
                    <w:jc w:val="left"/>
                    <w:jc w:val="center"/>
                  </w:pPr>
                  <w:r>
                    <w:t xml:space="preserve">f3</w:t>
                  </w:r>
                </w:p>
              </w:tc>
              <w:tc>
                <w:tcPr/>
                <w:p>
                  <w:pPr>
                    <w:pStyle w:val="Compact"/>
                    <w:jc w:val="left"/>
                    <w:jc w:val="center"/>
                  </w:pPr>
                  <w:r>
                    <w:t xml:space="preserve">F3: Fan Engagment</w:t>
                  </w:r>
                </w:p>
              </w:tc>
              <w:tc>
                <w:tcPr/>
                <w:p>
                  <w:pPr>
                    <w:pStyle w:val="Compact"/>
                    <w:jc w:val="right"/>
                    <w:jc w:val="center"/>
                  </w:pPr>
                  <w:r>
                    <w:t xml:space="preserve">0.422</w:t>
                  </w:r>
                </w:p>
              </w:tc>
              <w:tc>
                <w:tcPr/>
                <w:p>
                  <w:pPr>
                    <w:pStyle w:val="Compact"/>
                    <w:jc w:val="right"/>
                    <w:jc w:val="center"/>
                  </w:pPr>
                  <w:r>
                    <w:t xml:space="preserve">0.402</w:t>
                  </w:r>
                </w:p>
              </w:tc>
              <w:tc>
                <w:tcPr/>
                <w:p>
                  <w:pPr>
                    <w:pStyle w:val="Compact"/>
                    <w:jc w:val="right"/>
                    <w:jc w:val="center"/>
                  </w:pPr>
                  <w:r>
                    <w:t xml:space="preserve">1.050</w:t>
                  </w:r>
                </w:p>
              </w:tc>
              <w:tc>
                <w:tcPr/>
                <w:p>
                  <w:pPr>
                    <w:pStyle w:val="Compact"/>
                    <w:jc w:val="right"/>
                    <w:jc w:val="center"/>
                  </w:pPr>
                  <w:r>
                    <w:t xml:space="preserve">0.294</w:t>
                  </w:r>
                </w:p>
              </w:tc>
            </w:tr>
            <w:tr>
              <w:tc>
                <w:tcPr/>
                <w:p>
                  <w:pPr>
                    <w:pStyle w:val="Compact"/>
                    <w:jc w:val="left"/>
                    <w:jc w:val="center"/>
                  </w:pPr>
                  <w:r>
                    <w:t xml:space="preserve">f1</w:t>
                  </w:r>
                </w:p>
              </w:tc>
              <w:tc>
                <w:tcPr/>
                <w:p>
                  <w:pPr>
                    <w:pStyle w:val="Compact"/>
                    <w:jc w:val="left"/>
                    <w:jc w:val="center"/>
                  </w:pPr>
                  <w:r>
                    <w:t xml:space="preserve">Median Income</w:t>
                  </w:r>
                </w:p>
              </w:tc>
              <w:tc>
                <w:tcPr/>
                <w:p>
                  <w:pPr>
                    <w:pStyle w:val="Compact"/>
                    <w:jc w:val="right"/>
                    <w:jc w:val="center"/>
                  </w:pPr>
                  <w:r>
                    <w:t xml:space="preserve">-0.007</w:t>
                  </w:r>
                </w:p>
              </w:tc>
              <w:tc>
                <w:tcPr/>
                <w:p>
                  <w:pPr>
                    <w:pStyle w:val="Compact"/>
                    <w:jc w:val="right"/>
                    <w:jc w:val="center"/>
                  </w:pPr>
                  <w:r>
                    <w:t xml:space="preserve">0.002</w:t>
                  </w:r>
                </w:p>
              </w:tc>
              <w:tc>
                <w:tcPr/>
                <w:p>
                  <w:pPr>
                    <w:pStyle w:val="Compact"/>
                    <w:jc w:val="right"/>
                    <w:jc w:val="center"/>
                  </w:pPr>
                  <w:r>
                    <w:t xml:space="preserve">-3.687</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Median Income</w:t>
                  </w:r>
                </w:p>
              </w:tc>
              <w:tc>
                <w:tcPr/>
                <w:p>
                  <w:pPr>
                    <w:pStyle w:val="Compact"/>
                    <w:jc w:val="right"/>
                    <w:jc w:val="center"/>
                  </w:pPr>
                  <w:r>
                    <w:t xml:space="preserve">-0.006</w:t>
                  </w:r>
                </w:p>
              </w:tc>
              <w:tc>
                <w:tcPr/>
                <w:p>
                  <w:pPr>
                    <w:pStyle w:val="Compact"/>
                    <w:jc w:val="right"/>
                    <w:jc w:val="center"/>
                  </w:pPr>
                  <w:r>
                    <w:t xml:space="preserve">0.002</w:t>
                  </w:r>
                </w:p>
              </w:tc>
              <w:tc>
                <w:tcPr/>
                <w:p>
                  <w:pPr>
                    <w:pStyle w:val="Compact"/>
                    <w:jc w:val="right"/>
                    <w:jc w:val="center"/>
                  </w:pPr>
                  <w:r>
                    <w:t xml:space="preserve">-3.144</w:t>
                  </w:r>
                </w:p>
              </w:tc>
              <w:tc>
                <w:tcPr/>
                <w:p>
                  <w:pPr>
                    <w:pStyle w:val="Compact"/>
                    <w:jc w:val="right"/>
                    <w:jc w:val="center"/>
                  </w:pPr>
                  <w:r>
                    <w:t xml:space="preserve">0.002</w:t>
                  </w:r>
                </w:p>
              </w:tc>
            </w:tr>
            <w:tr>
              <w:tc>
                <w:tcPr/>
                <w:p>
                  <w:pPr>
                    <w:pStyle w:val="Compact"/>
                    <w:jc w:val="left"/>
                    <w:jc w:val="center"/>
                  </w:pPr>
                  <w:r>
                    <w:t xml:space="preserve">f3</w:t>
                  </w:r>
                </w:p>
              </w:tc>
              <w:tc>
                <w:tcPr/>
                <w:p>
                  <w:pPr>
                    <w:pStyle w:val="Compact"/>
                    <w:jc w:val="left"/>
                    <w:jc w:val="center"/>
                  </w:pPr>
                  <w:r>
                    <w:t xml:space="preserve">Median Income</w:t>
                  </w:r>
                </w:p>
              </w:tc>
              <w:tc>
                <w:tcPr/>
                <w:p>
                  <w:pPr>
                    <w:pStyle w:val="Compact"/>
                    <w:jc w:val="right"/>
                    <w:jc w:val="center"/>
                  </w:pPr>
                  <w:r>
                    <w:t xml:space="preserve">-0.008</w:t>
                  </w:r>
                </w:p>
              </w:tc>
              <w:tc>
                <w:tcPr/>
                <w:p>
                  <w:pPr>
                    <w:pStyle w:val="Compact"/>
                    <w:jc w:val="right"/>
                    <w:jc w:val="center"/>
                  </w:pPr>
                  <w:r>
                    <w:t xml:space="preserve">0.002</w:t>
                  </w:r>
                </w:p>
              </w:tc>
              <w:tc>
                <w:tcPr/>
                <w:p>
                  <w:pPr>
                    <w:pStyle w:val="Compact"/>
                    <w:jc w:val="right"/>
                    <w:jc w:val="center"/>
                  </w:pPr>
                  <w:r>
                    <w:t xml:space="preserve">-4.003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Median Pop</w:t>
                  </w:r>
                </w:p>
              </w:tc>
              <w:tc>
                <w:tcPr/>
                <w:p>
                  <w:pPr>
                    <w:pStyle w:val="Compact"/>
                    <w:jc w:val="right"/>
                    <w:jc w:val="center"/>
                  </w:pPr>
                  <w:r>
                    <w:t xml:space="preserve">0.021</w:t>
                  </w:r>
                </w:p>
              </w:tc>
              <w:tc>
                <w:tcPr/>
                <w:p>
                  <w:pPr>
                    <w:pStyle w:val="Compact"/>
                    <w:jc w:val="right"/>
                    <w:jc w:val="center"/>
                  </w:pPr>
                  <w:r>
                    <w:t xml:space="preserve">0.007</w:t>
                  </w:r>
                </w:p>
              </w:tc>
              <w:tc>
                <w:tcPr/>
                <w:p>
                  <w:pPr>
                    <w:pStyle w:val="Compact"/>
                    <w:jc w:val="right"/>
                    <w:jc w:val="center"/>
                  </w:pPr>
                  <w:r>
                    <w:t xml:space="preserve">2.967</w:t>
                  </w:r>
                </w:p>
              </w:tc>
              <w:tc>
                <w:tcPr/>
                <w:p>
                  <w:pPr>
                    <w:pStyle w:val="Compact"/>
                    <w:jc w:val="right"/>
                    <w:jc w:val="center"/>
                  </w:pPr>
                  <w:r>
                    <w:t xml:space="preserve">0.003</w:t>
                  </w:r>
                </w:p>
              </w:tc>
            </w:tr>
            <w:tr>
              <w:tc>
                <w:tcPr/>
                <w:p>
                  <w:pPr>
                    <w:pStyle w:val="Compact"/>
                    <w:jc w:val="left"/>
                    <w:jc w:val="center"/>
                  </w:pPr>
                  <w:r>
                    <w:t xml:space="preserve">f2</w:t>
                  </w:r>
                </w:p>
              </w:tc>
              <w:tc>
                <w:tcPr/>
                <w:p>
                  <w:pPr>
                    <w:pStyle w:val="Compact"/>
                    <w:jc w:val="left"/>
                    <w:jc w:val="center"/>
                  </w:pPr>
                  <w:r>
                    <w:t xml:space="preserve">Median Pop</w:t>
                  </w:r>
                </w:p>
              </w:tc>
              <w:tc>
                <w:tcPr/>
                <w:p>
                  <w:pPr>
                    <w:pStyle w:val="Compact"/>
                    <w:jc w:val="right"/>
                    <w:jc w:val="center"/>
                  </w:pPr>
                  <w:r>
                    <w:t xml:space="preserve">0.014</w:t>
                  </w:r>
                </w:p>
              </w:tc>
              <w:tc>
                <w:tcPr/>
                <w:p>
                  <w:pPr>
                    <w:pStyle w:val="Compact"/>
                    <w:jc w:val="right"/>
                    <w:jc w:val="center"/>
                  </w:pPr>
                  <w:r>
                    <w:t xml:space="preserve">0.007</w:t>
                  </w:r>
                </w:p>
              </w:tc>
              <w:tc>
                <w:tcPr/>
                <w:p>
                  <w:pPr>
                    <w:pStyle w:val="Compact"/>
                    <w:jc w:val="right"/>
                    <w:jc w:val="center"/>
                  </w:pPr>
                  <w:r>
                    <w:t xml:space="preserve">1.888</w:t>
                  </w:r>
                </w:p>
              </w:tc>
              <w:tc>
                <w:tcPr/>
                <w:p>
                  <w:pPr>
                    <w:pStyle w:val="Compact"/>
                    <w:jc w:val="right"/>
                    <w:jc w:val="center"/>
                  </w:pPr>
                  <w:r>
                    <w:t xml:space="preserve">0.059</w:t>
                  </w:r>
                </w:p>
              </w:tc>
            </w:tr>
            <w:tr>
              <w:tc>
                <w:tcPr/>
                <w:p>
                  <w:pPr>
                    <w:pStyle w:val="Compact"/>
                    <w:jc w:val="left"/>
                    <w:jc w:val="center"/>
                  </w:pPr>
                  <w:r>
                    <w:t xml:space="preserve">f3</w:t>
                  </w:r>
                </w:p>
              </w:tc>
              <w:tc>
                <w:tcPr/>
                <w:p>
                  <w:pPr>
                    <w:pStyle w:val="Compact"/>
                    <w:jc w:val="left"/>
                    <w:jc w:val="center"/>
                  </w:pPr>
                  <w:r>
                    <w:t xml:space="preserve">Median Pop</w:t>
                  </w:r>
                </w:p>
              </w:tc>
              <w:tc>
                <w:tcPr/>
                <w:p>
                  <w:pPr>
                    <w:pStyle w:val="Compact"/>
                    <w:jc w:val="right"/>
                    <w:jc w:val="center"/>
                  </w:pPr>
                  <w:r>
                    <w:t xml:space="preserve">0.017</w:t>
                  </w:r>
                </w:p>
              </w:tc>
              <w:tc>
                <w:tcPr/>
                <w:p>
                  <w:pPr>
                    <w:pStyle w:val="Compact"/>
                    <w:jc w:val="right"/>
                    <w:jc w:val="center"/>
                  </w:pPr>
                  <w:r>
                    <w:t xml:space="preserve">0.007</w:t>
                  </w:r>
                </w:p>
              </w:tc>
              <w:tc>
                <w:tcPr/>
                <w:p>
                  <w:pPr>
                    <w:pStyle w:val="Compact"/>
                    <w:jc w:val="right"/>
                    <w:jc w:val="center"/>
                  </w:pPr>
                  <w:r>
                    <w:t xml:space="preserve">2.382</w:t>
                  </w:r>
                </w:p>
              </w:tc>
              <w:tc>
                <w:tcPr/>
                <w:p>
                  <w:pPr>
                    <w:pStyle w:val="Compact"/>
                    <w:jc w:val="right"/>
                    <w:jc w:val="center"/>
                  </w:pPr>
                  <w:r>
                    <w:t xml:space="preserve">0.017</w:t>
                  </w:r>
                </w:p>
              </w:tc>
            </w:tr>
          </w:tbl>
          <w:bookmarkEnd w:id="68"/>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Consider first the strong evidence for the Caitlin Clark effect.</w:t>
      </w:r>
      <w:r>
        <w:t xml:space="preserve"> </w:t>
      </w:r>
      <w:r>
        <w:t xml:space="preserve">Even for the smallest coefficient in</w:t>
      </w:r>
      <w:r>
        <w:t xml:space="preserve"> </w:t>
      </w:r>
      <w:hyperlink w:anchor="tbl-coefs">
        <w:r>
          <w:rPr>
            <w:rStyle w:val="Hyperlink"/>
          </w:rPr>
          <w:t xml:space="preserve">Table 3</w:t>
        </w:r>
      </w:hyperlink>
      <w:r>
        <w:t xml:space="preserve">, the expected attendance nearly doubles (i.e., is multiplied by</w:t>
      </w:r>
      <w:r>
        <w:t xml:space="preserve"> </w:t>
      </w:r>
      <m:oMath>
        <m:r>
          <m:rPr>
            <m:sty m:val="p"/>
          </m:rPr>
          <m:t>exp</m:t>
        </m:r>
        <m:r>
          <m:rPr>
            <m:sty m:val="p"/>
          </m:rPr>
          <m:t>(</m:t>
        </m:r>
        <m:r>
          <m:t>0.653</m:t>
        </m:r>
        <m:r>
          <m:rPr>
            <m:sty m:val="p"/>
          </m:rPr>
          <m:t>)</m:t>
        </m:r>
      </m:oMath>
      <w:r>
        <w:t xml:space="preserve"> </w:t>
      </w:r>
      <w:r>
        <w:t xml:space="preserve">= 1.92) when Clark plays in the game, and this is</w:t>
      </w:r>
      <w:r>
        <w:t xml:space="preserve"> </w:t>
      </w:r>
      <w:r>
        <w:rPr>
          <w:i/>
          <w:iCs/>
        </w:rPr>
        <w:t xml:space="preserve">after</w:t>
      </w:r>
      <w:r>
        <w:t xml:space="preserve"> </w:t>
      </w:r>
      <w:r>
        <w:t xml:space="preserve">controlling for the Indiana Fever team effect, the level of fan engagement, and the season effects!</w:t>
      </w:r>
    </w:p>
    <w:p>
      <w:pPr>
        <w:pStyle w:val="BodyText"/>
      </w:pPr>
      <w:r>
        <w:t xml:space="preserve">Conversely, the evidence for the quality of play (</w:t>
      </w:r>
      <m:oMath>
        <m:sSub>
          <m:e>
            <m:r>
              <m:t>f</m:t>
            </m:r>
          </m:e>
          <m:sub>
            <m:r>
              <m:t>1</m:t>
            </m:r>
          </m:sub>
        </m:sSub>
      </m:oMath>
      <w:r>
        <w:t xml:space="preserve">) and uncertainty of outcome (</w:t>
      </w:r>
      <m:oMath>
        <m:sSub>
          <m:e>
            <m:r>
              <m:t>f</m:t>
            </m:r>
          </m:e>
          <m:sub>
            <m:r>
              <m:t>2</m:t>
            </m:r>
          </m:sub>
        </m:sSub>
      </m:oMath>
      <w:r>
        <w:t xml:space="preserve">) hypotheses is weak, with those coefficients barely moving the needle.</w:t>
      </w:r>
      <w:r>
        <w:t xml:space="preserve"> </w:t>
      </w:r>
      <w:r>
        <w:t xml:space="preserve">For the loss aversion hypothesis, a 10 percentage point increase in the probability of the home team winning is associated with a modest 4.31% increase in the expected attendance, after controlling for our other factors.</w:t>
      </w:r>
    </w:p>
    <w:p>
      <w:pPr>
        <w:pStyle w:val="BodyText"/>
      </w:pPr>
      <w:hyperlink w:anchor="tbl-glance">
        <w:r>
          <w:rPr>
            <w:rStyle w:val="Hyperlink"/>
          </w:rPr>
          <w:t xml:space="preserve">Table 4</w:t>
        </w:r>
      </w:hyperlink>
      <w:r>
        <w:t xml:space="preserve"> </w:t>
      </w:r>
      <w:r>
        <w:t xml:space="preserve">characterizes the model fits.</w:t>
      </w:r>
      <w:r>
        <w:t xml:space="preserve"> </w:t>
      </w:r>
      <w:r>
        <w:t xml:space="preserve">We can see that while all models achieve a similar fit, models</w:t>
      </w:r>
      <w:r>
        <w:t xml:space="preserve"> </w:t>
      </w:r>
      <m:oMath>
        <m:sSub>
          <m:e>
            <m:r>
              <m:t>f</m:t>
            </m:r>
          </m:e>
          <m:sub>
            <m:r>
              <m:t>1</m:t>
            </m:r>
          </m:sub>
        </m:sSub>
      </m:oMath>
      <w:r>
        <w:t xml:space="preserve"> </w:t>
      </w:r>
      <w:r>
        <w:t xml:space="preserve">(corresponding to the quality of play hypothesis) and</w:t>
      </w:r>
      <w:r>
        <w:t xml:space="preserve"> </w:t>
      </w:r>
      <m:oMath>
        <m:sSub>
          <m:e>
            <m:r>
              <m:t>f</m:t>
            </m:r>
          </m:e>
          <m:sub>
            <m:r>
              <m:t>3</m:t>
            </m:r>
          </m:sub>
        </m:sSub>
      </m:oMath>
      <w:r>
        <w:t xml:space="preserve"> </w:t>
      </w:r>
      <w:r>
        <w:t xml:space="preserve">(corresponding to the home win probability) are slightly superior by most metrics.</w:t>
      </w:r>
    </w:p>
    <w:tbl>
      <w:tblPr>
        <w:tblStyle w:val="Table"/>
        <w:tblW w:type="pct" w:w="5000"/>
        <w:tblLayout w:type="fixed"/>
        <w:tblLook w:firstRow="0" w:lastRow="0" w:firstColumn="0" w:lastColumn="0" w:noHBand="0" w:noVBand="0" w:val="0000"/>
      </w:tblPr>
      <w:tblGrid>
        <w:gridCol w:w="7920"/>
      </w:tblGrid>
      <w:tr>
        <w:tc>
          <w:tcPr/>
          <w:bookmarkStart w:id="69" w:name="tbl-glance"/>
          <w:p>
            <w:pPr>
              <w:jc w:val="center"/>
            </w:pPr>
            <w:pPr>
              <w:jc w:val="left"/>
              <w:spacing w:before="200"/>
              <w:pStyle w:val="ImageCaption"/>
            </w:pPr>
            <w:r>
              <w:t xml:space="preserve">Table 4: Comparison of models.</w:t>
            </w:r>
          </w:p>
          <w:tbl>
            <w:tblPr>
              <w:tblStyle w:val="Table"/>
              <w:tblW w:type="pct" w:w="5000"/>
              <w:tblLayout w:type="fixed"/>
              <w:tblLook w:firstRow="1" w:lastRow="0" w:firstColumn="0" w:lastColumn="0" w:noHBand="0" w:noVBand="0" w:val="0020"/>
            </w:tblPr>
            <w:tblGrid>
              <w:gridCol w:w="428"/>
              <w:gridCol w:w="713"/>
              <w:gridCol w:w="998"/>
              <w:gridCol w:w="428"/>
              <w:gridCol w:w="713"/>
              <w:gridCol w:w="570"/>
              <w:gridCol w:w="214"/>
              <w:gridCol w:w="713"/>
              <w:gridCol w:w="642"/>
              <w:gridCol w:w="642"/>
              <w:gridCol w:w="642"/>
              <w:gridCol w:w="856"/>
              <w:gridCol w:w="356"/>
            </w:tblGrid>
            <w:tr>
              <w:trPr>
                <w:tblHeader w:val="on"/>
              </w:trPr>
              <w:tc>
                <w:tcPr/>
                <w:p>
                  <w:pPr>
                    <w:pStyle w:val="Compact"/>
                    <w:jc w:val="left"/>
                    <w:jc w:val="center"/>
                  </w:pPr>
                  <w:r>
                    <w:t xml:space="preserve">model</w:t>
                  </w:r>
                </w:p>
              </w:tc>
              <w:tc>
                <w:tcPr/>
                <w:p>
                  <w:pPr>
                    <w:pStyle w:val="Compact"/>
                    <w:jc w:val="right"/>
                    <w:jc w:val="center"/>
                  </w:pPr>
                  <w:r>
                    <w:t xml:space="preserve">r.squared</w:t>
                  </w:r>
                </w:p>
              </w:tc>
              <w:tc>
                <w:tcPr/>
                <w:p>
                  <w:pPr>
                    <w:pStyle w:val="Compact"/>
                    <w:jc w:val="right"/>
                    <w:jc w:val="center"/>
                  </w:pPr>
                  <w:r>
                    <w:t xml:space="preserve">adj.r.squared</w:t>
                  </w:r>
                </w:p>
              </w:tc>
              <w:tc>
                <w:tcPr/>
                <w:p>
                  <w:pPr>
                    <w:pStyle w:val="Compact"/>
                    <w:jc w:val="right"/>
                    <w:jc w:val="center"/>
                  </w:pPr>
                  <w:r>
                    <w:t xml:space="preserve">sigma</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df</w:t>
                  </w:r>
                </w:p>
              </w:tc>
              <w:tc>
                <w:tcPr/>
                <w:p>
                  <w:pPr>
                    <w:pStyle w:val="Compact"/>
                    <w:jc w:val="right"/>
                    <w:jc w:val="center"/>
                  </w:pPr>
                  <w:r>
                    <w:t xml:space="preserve">logLik</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deviance</w:t>
                  </w:r>
                </w:p>
              </w:tc>
              <w:tc>
                <w:tcPr/>
                <w:p>
                  <w:pPr>
                    <w:pStyle w:val="Compact"/>
                    <w:jc w:val="right"/>
                    <w:jc w:val="center"/>
                  </w:pPr>
                  <w:r>
                    <w:t xml:space="preserve">df.residual</w:t>
                  </w:r>
                </w:p>
              </w:tc>
              <w:tc>
                <w:tcPr/>
                <w:p>
                  <w:pPr>
                    <w:pStyle w:val="Compact"/>
                    <w:jc w:val="right"/>
                    <w:jc w:val="center"/>
                  </w:pPr>
                  <w:r>
                    <w:t xml:space="preserve">nobs</w:t>
                  </w:r>
                </w:p>
              </w:tc>
            </w:tr>
            <w:tr>
              <w:tc>
                <w:tcPr/>
                <w:p>
                  <w:pPr>
                    <w:pStyle w:val="Compact"/>
                    <w:jc w:val="left"/>
                    <w:jc w:val="center"/>
                  </w:pPr>
                  <w:r>
                    <w:t xml:space="preserve">f1</w:t>
                  </w:r>
                </w:p>
              </w:tc>
              <w:tc>
                <w:tcPr/>
                <w:p>
                  <w:pPr>
                    <w:pStyle w:val="Compact"/>
                    <w:jc w:val="right"/>
                    <w:jc w:val="center"/>
                  </w:pPr>
                  <w:r>
                    <w:t xml:space="preserve">0.436</w:t>
                  </w:r>
                </w:p>
              </w:tc>
              <w:tc>
                <w:tcPr/>
                <w:p>
                  <w:pPr>
                    <w:pStyle w:val="Compact"/>
                    <w:jc w:val="right"/>
                    <w:jc w:val="center"/>
                  </w:pPr>
                  <w:r>
                    <w:t xml:space="preserve">0.427</w:t>
                  </w:r>
                </w:p>
              </w:tc>
              <w:tc>
                <w:tcPr/>
                <w:p>
                  <w:pPr>
                    <w:pStyle w:val="Compact"/>
                    <w:jc w:val="right"/>
                    <w:jc w:val="center"/>
                  </w:pPr>
                  <w:r>
                    <w:t xml:space="preserve">0.318</w:t>
                  </w:r>
                </w:p>
              </w:tc>
              <w:tc>
                <w:tcPr/>
                <w:p>
                  <w:pPr>
                    <w:pStyle w:val="Compact"/>
                    <w:jc w:val="right"/>
                    <w:jc w:val="center"/>
                  </w:pPr>
                  <w:r>
                    <w:t xml:space="preserve">49.459</w:t>
                  </w:r>
                </w:p>
              </w:tc>
              <w:tc>
                <w:tcPr/>
                <w:p>
                  <w:pPr>
                    <w:pStyle w:val="Compact"/>
                    <w:jc w:val="right"/>
                    <w:jc w:val="center"/>
                  </w:pPr>
                  <w:r>
                    <w:t xml:space="preserve">0</w:t>
                  </w:r>
                </w:p>
              </w:tc>
              <w:tc>
                <w:tcPr/>
                <w:p>
                  <w:pPr>
                    <w:pStyle w:val="Compact"/>
                    <w:jc w:val="right"/>
                    <w:jc w:val="center"/>
                  </w:pPr>
                  <w:r>
                    <w:t xml:space="preserve">78</w:t>
                  </w:r>
                </w:p>
              </w:tc>
              <w:tc>
                <w:tcPr/>
                <w:p>
                  <w:pPr>
                    <w:pStyle w:val="Compact"/>
                    <w:jc w:val="right"/>
                    <w:jc w:val="center"/>
                  </w:pPr>
                  <w:r>
                    <w:t xml:space="preserve">-1337.102</w:t>
                  </w:r>
                </w:p>
              </w:tc>
              <w:tc>
                <w:tcPr/>
                <w:p>
                  <w:pPr>
                    <w:pStyle w:val="Compact"/>
                    <w:jc w:val="right"/>
                    <w:jc w:val="center"/>
                  </w:pPr>
                  <w:r>
                    <w:t xml:space="preserve">2834.204</w:t>
                  </w:r>
                </w:p>
              </w:tc>
              <w:tc>
                <w:tcPr/>
                <w:p>
                  <w:pPr>
                    <w:pStyle w:val="Compact"/>
                    <w:jc w:val="right"/>
                    <w:jc w:val="center"/>
                  </w:pPr>
                  <w:r>
                    <w:t xml:space="preserve">3356.582</w:t>
                  </w:r>
                </w:p>
              </w:tc>
              <w:tc>
                <w:tcPr/>
                <w:p>
                  <w:pPr>
                    <w:pStyle w:val="Compact"/>
                    <w:jc w:val="right"/>
                    <w:jc w:val="center"/>
                  </w:pPr>
                  <w:r>
                    <w:t xml:space="preserve">502.715</w:t>
                  </w:r>
                </w:p>
              </w:tc>
              <w:tc>
                <w:tcPr/>
                <w:p>
                  <w:pPr>
                    <w:pStyle w:val="Compact"/>
                    <w:jc w:val="right"/>
                    <w:jc w:val="center"/>
                  </w:pPr>
                  <w:r>
                    <w:t xml:space="preserve">4984</w:t>
                  </w:r>
                </w:p>
              </w:tc>
              <w:tc>
                <w:tcPr/>
                <w:p>
                  <w:pPr>
                    <w:pStyle w:val="Compact"/>
                    <w:jc w:val="right"/>
                    <w:jc w:val="center"/>
                  </w:pPr>
                  <w:r>
                    <w:t xml:space="preserve">5063</w:t>
                  </w:r>
                </w:p>
              </w:tc>
            </w:tr>
            <w:tr>
              <w:tc>
                <w:tcPr/>
                <w:p>
                  <w:pPr>
                    <w:pStyle w:val="Compact"/>
                    <w:jc w:val="left"/>
                    <w:jc w:val="center"/>
                  </w:pPr>
                  <w:r>
                    <w:t xml:space="preserve">f2</w:t>
                  </w:r>
                </w:p>
              </w:tc>
              <w:tc>
                <w:tcPr/>
                <w:p>
                  <w:pPr>
                    <w:pStyle w:val="Compact"/>
                    <w:jc w:val="right"/>
                    <w:jc w:val="center"/>
                  </w:pPr>
                  <w:r>
                    <w:t xml:space="preserve">0.394</w:t>
                  </w:r>
                </w:p>
              </w:tc>
              <w:tc>
                <w:tcPr/>
                <w:p>
                  <w:pPr>
                    <w:pStyle w:val="Compact"/>
                    <w:jc w:val="right"/>
                    <w:jc w:val="center"/>
                  </w:pPr>
                  <w:r>
                    <w:t xml:space="preserve">0.384</w:t>
                  </w:r>
                </w:p>
              </w:tc>
              <w:tc>
                <w:tcPr/>
                <w:p>
                  <w:pPr>
                    <w:pStyle w:val="Compact"/>
                    <w:jc w:val="right"/>
                    <w:jc w:val="center"/>
                  </w:pPr>
                  <w:r>
                    <w:t xml:space="preserve">0.329</w:t>
                  </w:r>
                </w:p>
              </w:tc>
              <w:tc>
                <w:tcPr/>
                <w:p>
                  <w:pPr>
                    <w:pStyle w:val="Compact"/>
                    <w:jc w:val="right"/>
                    <w:jc w:val="center"/>
                  </w:pPr>
                  <w:r>
                    <w:t xml:space="preserve">41.460</w:t>
                  </w:r>
                </w:p>
              </w:tc>
              <w:tc>
                <w:tcPr/>
                <w:p>
                  <w:pPr>
                    <w:pStyle w:val="Compact"/>
                    <w:jc w:val="right"/>
                    <w:jc w:val="center"/>
                  </w:pPr>
                  <w:r>
                    <w:t xml:space="preserve">0</w:t>
                  </w:r>
                </w:p>
              </w:tc>
              <w:tc>
                <w:tcPr/>
                <w:p>
                  <w:pPr>
                    <w:pStyle w:val="Compact"/>
                    <w:jc w:val="right"/>
                    <w:jc w:val="center"/>
                  </w:pPr>
                  <w:r>
                    <w:t xml:space="preserve">78</w:t>
                  </w:r>
                </w:p>
              </w:tc>
              <w:tc>
                <w:tcPr/>
                <w:p>
                  <w:pPr>
                    <w:pStyle w:val="Compact"/>
                    <w:jc w:val="right"/>
                    <w:jc w:val="center"/>
                  </w:pPr>
                  <w:r>
                    <w:t xml:space="preserve">-1522.340</w:t>
                  </w:r>
                </w:p>
              </w:tc>
              <w:tc>
                <w:tcPr/>
                <w:p>
                  <w:pPr>
                    <w:pStyle w:val="Compact"/>
                    <w:jc w:val="right"/>
                    <w:jc w:val="center"/>
                  </w:pPr>
                  <w:r>
                    <w:t xml:space="preserve">3204.680</w:t>
                  </w:r>
                </w:p>
              </w:tc>
              <w:tc>
                <w:tcPr/>
                <w:p>
                  <w:pPr>
                    <w:pStyle w:val="Compact"/>
                    <w:jc w:val="right"/>
                    <w:jc w:val="center"/>
                  </w:pPr>
                  <w:r>
                    <w:t xml:space="preserve">3727.057</w:t>
                  </w:r>
                </w:p>
              </w:tc>
              <w:tc>
                <w:tcPr/>
                <w:p>
                  <w:pPr>
                    <w:pStyle w:val="Compact"/>
                    <w:jc w:val="right"/>
                    <w:jc w:val="center"/>
                  </w:pPr>
                  <w:r>
                    <w:t xml:space="preserve">540.879</w:t>
                  </w:r>
                </w:p>
              </w:tc>
              <w:tc>
                <w:tcPr/>
                <w:p>
                  <w:pPr>
                    <w:pStyle w:val="Compact"/>
                    <w:jc w:val="right"/>
                    <w:jc w:val="center"/>
                  </w:pPr>
                  <w:r>
                    <w:t xml:space="preserve">4984</w:t>
                  </w:r>
                </w:p>
              </w:tc>
              <w:tc>
                <w:tcPr/>
                <w:p>
                  <w:pPr>
                    <w:pStyle w:val="Compact"/>
                    <w:jc w:val="right"/>
                    <w:jc w:val="center"/>
                  </w:pPr>
                  <w:r>
                    <w:t xml:space="preserve">5063</w:t>
                  </w:r>
                </w:p>
              </w:tc>
            </w:tr>
            <w:tr>
              <w:tc>
                <w:tcPr/>
                <w:p>
                  <w:pPr>
                    <w:pStyle w:val="Compact"/>
                    <w:jc w:val="left"/>
                    <w:jc w:val="center"/>
                  </w:pPr>
                  <w:r>
                    <w:t xml:space="preserve">f3</w:t>
                  </w:r>
                </w:p>
              </w:tc>
              <w:tc>
                <w:tcPr/>
                <w:p>
                  <w:pPr>
                    <w:pStyle w:val="Compact"/>
                    <w:jc w:val="right"/>
                    <w:jc w:val="center"/>
                  </w:pPr>
                  <w:r>
                    <w:t xml:space="preserve">0.436</w:t>
                  </w:r>
                </w:p>
              </w:tc>
              <w:tc>
                <w:tcPr/>
                <w:p>
                  <w:pPr>
                    <w:pStyle w:val="Compact"/>
                    <w:jc w:val="right"/>
                    <w:jc w:val="center"/>
                  </w:pPr>
                  <w:r>
                    <w:t xml:space="preserve">0.428</w:t>
                  </w:r>
                </w:p>
              </w:tc>
              <w:tc>
                <w:tcPr/>
                <w:p>
                  <w:pPr>
                    <w:pStyle w:val="Compact"/>
                    <w:jc w:val="right"/>
                    <w:jc w:val="center"/>
                  </w:pPr>
                  <w:r>
                    <w:t xml:space="preserve">0.318</w:t>
                  </w:r>
                </w:p>
              </w:tc>
              <w:tc>
                <w:tcPr/>
                <w:p>
                  <w:pPr>
                    <w:pStyle w:val="Compact"/>
                    <w:jc w:val="right"/>
                    <w:jc w:val="center"/>
                  </w:pPr>
                  <w:r>
                    <w:t xml:space="preserve">49.471</w:t>
                  </w:r>
                </w:p>
              </w:tc>
              <w:tc>
                <w:tcPr/>
                <w:p>
                  <w:pPr>
                    <w:pStyle w:val="Compact"/>
                    <w:jc w:val="right"/>
                    <w:jc w:val="center"/>
                  </w:pPr>
                  <w:r>
                    <w:t xml:space="preserve">0</w:t>
                  </w:r>
                </w:p>
              </w:tc>
              <w:tc>
                <w:tcPr/>
                <w:p>
                  <w:pPr>
                    <w:pStyle w:val="Compact"/>
                    <w:jc w:val="right"/>
                    <w:jc w:val="center"/>
                  </w:pPr>
                  <w:r>
                    <w:t xml:space="preserve">78</w:t>
                  </w:r>
                </w:p>
              </w:tc>
              <w:tc>
                <w:tcPr/>
                <w:p>
                  <w:pPr>
                    <w:pStyle w:val="Compact"/>
                    <w:jc w:val="right"/>
                    <w:jc w:val="center"/>
                  </w:pPr>
                  <w:r>
                    <w:t xml:space="preserve">-1336.828</w:t>
                  </w:r>
                </w:p>
              </w:tc>
              <w:tc>
                <w:tcPr/>
                <w:p>
                  <w:pPr>
                    <w:pStyle w:val="Compact"/>
                    <w:jc w:val="right"/>
                    <w:jc w:val="center"/>
                  </w:pPr>
                  <w:r>
                    <w:t xml:space="preserve">2833.656</w:t>
                  </w:r>
                </w:p>
              </w:tc>
              <w:tc>
                <w:tcPr/>
                <w:p>
                  <w:pPr>
                    <w:pStyle w:val="Compact"/>
                    <w:jc w:val="right"/>
                    <w:jc w:val="center"/>
                  </w:pPr>
                  <w:r>
                    <w:t xml:space="preserve">3356.033</w:t>
                  </w:r>
                </w:p>
              </w:tc>
              <w:tc>
                <w:tcPr/>
                <w:p>
                  <w:pPr>
                    <w:pStyle w:val="Compact"/>
                    <w:jc w:val="right"/>
                    <w:jc w:val="center"/>
                  </w:pPr>
                  <w:r>
                    <w:t xml:space="preserve">502.660</w:t>
                  </w:r>
                </w:p>
              </w:tc>
              <w:tc>
                <w:tcPr/>
                <w:p>
                  <w:pPr>
                    <w:pStyle w:val="Compact"/>
                    <w:jc w:val="right"/>
                    <w:jc w:val="center"/>
                  </w:pPr>
                  <w:r>
                    <w:t xml:space="preserve">4984</w:t>
                  </w:r>
                </w:p>
              </w:tc>
              <w:tc>
                <w:tcPr/>
                <w:p>
                  <w:pPr>
                    <w:pStyle w:val="Compact"/>
                    <w:jc w:val="right"/>
                    <w:jc w:val="center"/>
                  </w:pPr>
                  <w:r>
                    <w:t xml:space="preserve">5063</w:t>
                  </w:r>
                </w:p>
              </w:tc>
            </w:tr>
          </w:tbl>
          <w:bookmarkEnd w:id="69"/>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season-coefs">
        <w:r>
          <w:rPr>
            <w:rStyle w:val="Hyperlink"/>
          </w:rPr>
          <w:t xml:space="preserve">Figure 9</w:t>
        </w:r>
      </w:hyperlink>
      <w:r>
        <w:t xml:space="preserve"> </w:t>
      </w:r>
      <w:r>
        <w:t xml:space="preserve">shows that after controlling for the Caitlin Clark effect, expected attendance is only just returning its 1997 baseline in the most recent season.</w:t>
      </w:r>
      <w:r>
        <w:t xml:space="preserve"> </w:t>
      </w:r>
      <w:r>
        <w:t xml:space="preserve">This is a mixed blessing.</w:t>
      </w:r>
      <w:r>
        <w:t xml:space="preserve"> </w:t>
      </w:r>
      <w:r>
        <w:t xml:space="preserve">On the one hand, even after controlling for Clark, league expected attendance has fully recovered from the COVID-19 pandemic and the malaise of the early 2000s and 2010s.</w:t>
      </w:r>
      <w:r>
        <w:t xml:space="preserve"> </w:t>
      </w:r>
      <w:r>
        <w:t xml:space="preserve">On the other hand, it seems unlikely that the league would have achieved record high attendance without Clark.</w:t>
      </w:r>
    </w:p>
    <w:bookmarkStart w:id="74" w:name="cell-fig-season-coefs"/>
    <w:tbl>
      <w:tblPr>
        <w:tblStyle w:val="Table"/>
        <w:tblW w:type="pct" w:w="5000"/>
        <w:tblLayout w:type="fixed"/>
        <w:tblLook w:firstRow="0" w:lastRow="0" w:firstColumn="0" w:lastColumn="0" w:noHBand="0" w:noVBand="0" w:val="0000"/>
      </w:tblPr>
      <w:tblGrid>
        <w:gridCol w:w="7920"/>
      </w:tblGrid>
      <w:tr>
        <w:tc>
          <w:tcPr/>
          <w:bookmarkStart w:id="73" w:name="fig-season-coefs"/>
          <w:p>
            <w:pPr>
              <w:pStyle w:val="Compact"/>
              <w:jc w:val="center"/>
            </w:pPr>
            <w:r>
              <w:drawing>
                <wp:inline>
                  <wp:extent cx="4620126" cy="3696101"/>
                  <wp:effectExtent b="0" l="0" r="0" t="0"/>
                  <wp:docPr descr="" title="" id="71" name="Picture"/>
                  <a:graphic>
                    <a:graphicData uri="http://schemas.openxmlformats.org/drawingml/2006/picture">
                      <pic:pic>
                        <pic:nvPicPr>
                          <pic:cNvPr descr="index_files/figure-docx/fig-season-coefs-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Estimated season-level fixed effects for natural logarithm of attendance models.</w:t>
            </w:r>
          </w:p>
          <w:bookmarkEnd w:id="7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74"/>
    <w:p>
      <w:pPr>
        <w:pStyle w:val="BodyText"/>
      </w:pPr>
      <w:hyperlink w:anchor="fig-season-slopes">
        <w:r>
          <w:rPr>
            <w:rStyle w:val="Hyperlink"/>
          </w:rPr>
          <w:t xml:space="preserve">Figure 10</w:t>
        </w:r>
      </w:hyperlink>
      <w:r>
        <w:t xml:space="preserve"> </w:t>
      </w:r>
      <w:r>
        <w:t xml:space="preserve">shows a general increase in the slope of the interaction terms in all three models in recent years.</w:t>
      </w:r>
      <w:r>
        <w:t xml:space="preserve"> </w:t>
      </w:r>
      <w:r>
        <w:t xml:space="preserve">For all three models, these change in slope coefficients were decidedly negative until around 2015.</w:t>
      </w:r>
      <w:r>
        <w:t xml:space="preserve"> </w:t>
      </w:r>
      <w:r>
        <w:t xml:space="preserve">This suggests that the relationship between attendance and fan engagement was more moderate during those years.</w:t>
      </w:r>
      <w:r>
        <w:t xml:space="preserve"> </w:t>
      </w:r>
      <w:r>
        <w:t xml:space="preserve">(Note that for all three models, the main effect of the fan engagement term in</w:t>
      </w:r>
      <w:r>
        <w:t xml:space="preserve"> </w:t>
      </w:r>
      <w:hyperlink w:anchor="tbl-coefs">
        <w:r>
          <w:rPr>
            <w:rStyle w:val="Hyperlink"/>
          </w:rPr>
          <w:t xml:space="preserve">Table 3</w:t>
        </w:r>
      </w:hyperlink>
      <w:r>
        <w:t xml:space="preserve"> </w:t>
      </w:r>
      <w:r>
        <w:t xml:space="preserve">is positive.)</w:t>
      </w:r>
      <w:r>
        <w:t xml:space="preserve"> </w:t>
      </w:r>
      <w:r>
        <w:t xml:space="preserve">While the change in slope associated with model</w:t>
      </w:r>
      <w:r>
        <w:t xml:space="preserve"> </w:t>
      </w:r>
      <m:oMath>
        <m:sSub>
          <m:e>
            <m:r>
              <m:t>f</m:t>
            </m:r>
          </m:e>
          <m:sub>
            <m:r>
              <m:t>1</m:t>
            </m:r>
          </m:sub>
        </m:sSub>
      </m:oMath>
      <w:r>
        <w:t xml:space="preserve"> </w:t>
      </w:r>
      <w:r>
        <w:t xml:space="preserve">is still negative, it is closer to zero than it has been in the past.</w:t>
      </w:r>
      <w:r>
        <w:t xml:space="preserve"> </w:t>
      </w:r>
      <w:r>
        <w:t xml:space="preserve">The changes in slope associated with models</w:t>
      </w:r>
      <w:r>
        <w:t xml:space="preserve"> </w:t>
      </w:r>
      <m:oMath>
        <m:sSub>
          <m:e>
            <m:r>
              <m:t>f</m:t>
            </m:r>
          </m:e>
          <m:sub>
            <m:r>
              <m:t>2</m:t>
            </m:r>
          </m:sub>
        </m:sSub>
      </m:oMath>
      <w:r>
        <w:t xml:space="preserve"> </w:t>
      </w:r>
      <w:r>
        <w:t xml:space="preserve">and</w:t>
      </w:r>
      <w:r>
        <w:t xml:space="preserve"> </w:t>
      </w:r>
      <m:oMath>
        <m:sSub>
          <m:e>
            <m:r>
              <m:t>f</m:t>
            </m:r>
          </m:e>
          <m:sub>
            <m:r>
              <m:t>3</m:t>
            </m:r>
          </m:sub>
        </m:sSub>
      </m:oMath>
      <w:r>
        <w:t xml:space="preserve"> </w:t>
      </w:r>
      <w:r>
        <w:t xml:space="preserve">are now positive, although it is difficult to assess the long-term trend due to the pandemic being only a few years past.</w:t>
      </w:r>
    </w:p>
    <w:bookmarkStart w:id="79" w:name="cell-fig-season-slopes"/>
    <w:tbl>
      <w:tblPr>
        <w:tblStyle w:val="Table"/>
        <w:tblW w:type="pct" w:w="5000"/>
        <w:tblLayout w:type="fixed"/>
        <w:tblLook w:firstRow="0" w:lastRow="0" w:firstColumn="0" w:lastColumn="0" w:noHBand="0" w:noVBand="0" w:val="0000"/>
      </w:tblPr>
      <w:tblGrid>
        <w:gridCol w:w="7920"/>
      </w:tblGrid>
      <w:tr>
        <w:tc>
          <w:tcPr/>
          <w:bookmarkStart w:id="78" w:name="fig-season-slopes"/>
          <w:p>
            <w:pPr>
              <w:pStyle w:val="Compact"/>
              <w:jc w:val="center"/>
            </w:pPr>
            <w:r>
              <w:drawing>
                <wp:inline>
                  <wp:extent cx="4620126" cy="3696101"/>
                  <wp:effectExtent b="0" l="0" r="0" t="0"/>
                  <wp:docPr descr="" title="" id="76" name="Picture"/>
                  <a:graphic>
                    <a:graphicData uri="http://schemas.openxmlformats.org/drawingml/2006/picture">
                      <pic:pic>
                        <pic:nvPicPr>
                          <pic:cNvPr descr="index_files/figure-docx/fig-season-slopes-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Estimated season-level changes in slopes for natural logarithm of attendance models.</w:t>
            </w:r>
          </w:p>
          <w:bookmarkEnd w:id="7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79"/>
    <w:bookmarkEnd w:id="80"/>
    <w:bookmarkStart w:id="93" w:name="percentage-of-arena-capacity"/>
    <w:p>
      <w:pPr>
        <w:pStyle w:val="Heading3"/>
      </w:pPr>
      <w:r>
        <w:t xml:space="preserve">4.2 Percentage of Arena Capacity</w:t>
      </w:r>
    </w:p>
    <w:p>
      <w:pPr>
        <w:pStyle w:val="FirstParagraph"/>
      </w:pPr>
      <w:r>
        <w:t xml:space="preserve">Because our response variable</w:t>
      </w:r>
      <w:r>
        <w:t xml:space="preserve"> </w:t>
      </w:r>
      <m:oMath>
        <m:r>
          <m:t>γ</m:t>
        </m:r>
      </m:oMath>
      <w:r>
        <w:t xml:space="preserve"> </w:t>
      </w:r>
      <w:r>
        <w:t xml:space="preserve">is constrained between 0 and 1, but has significant mass at 1 exactly, we fit a Papke-Wooldridge fractional response model</w:t>
      </w:r>
      <w:r>
        <w:t xml:space="preserve"> </w:t>
      </w:r>
      <w:r>
        <w:t xml:space="preserve">(Papke and Wooldridge 1996)</w:t>
      </w:r>
      <w:r>
        <w:t xml:space="preserve"> </w:t>
      </w:r>
      <w:r>
        <w:t xml:space="preserve">with HC1 sandwich estimators for the covariance matrix.</w:t>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coefs2">
        <w:r>
          <w:rPr>
            <w:rStyle w:val="Hyperlink"/>
          </w:rPr>
          <w:t xml:space="preserve">Table 5</w:t>
        </w:r>
      </w:hyperlink>
      <w:r>
        <w:t xml:space="preserve"> </w:t>
      </w:r>
      <w:r>
        <w:t xml:space="preserve">reports the coefficients from the percentage of arena capacity models.</w:t>
      </w:r>
    </w:p>
    <w:tbl>
      <w:tblPr>
        <w:tblStyle w:val="Table"/>
        <w:tblW w:type="pct" w:w="5000"/>
        <w:tblLayout w:type="fixed"/>
        <w:tblLook w:firstRow="0" w:lastRow="0" w:firstColumn="0" w:lastColumn="0" w:noHBand="0" w:noVBand="0" w:val="0000"/>
      </w:tblPr>
      <w:tblGrid>
        <w:gridCol w:w="7920"/>
      </w:tblGrid>
      <w:tr>
        <w:tc>
          <w:tcPr/>
          <w:bookmarkStart w:id="81" w:name="tbl-coefs2"/>
          <w:p>
            <w:pPr>
              <w:jc w:val="center"/>
            </w:pPr>
            <w:pPr>
              <w:jc w:val="left"/>
              <w:spacing w:before="200"/>
              <w:pStyle w:val="ImageCaption"/>
            </w:pPr>
            <w:r>
              <w:t xml:space="preserve">Table 5: Table of coefficients from percentage of arena capacity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Statistic</w:t>
                  </w:r>
                </w:p>
              </w:tc>
              <w:tc>
                <w:tcPr/>
                <w:p>
                  <w:pPr>
                    <w:pStyle w:val="Compact"/>
                    <w:jc w:val="right"/>
                    <w:jc w:val="center"/>
                  </w:pPr>
                  <w:r>
                    <w:t xml:space="preserve">P Value</w:t>
                  </w:r>
                </w:p>
              </w:tc>
            </w:tr>
            <w:tr>
              <w:tc>
                <w:tcPr/>
                <w:p>
                  <w:pPr>
                    <w:pStyle w:val="Compact"/>
                    <w:jc w:val="left"/>
                    <w:jc w:val="center"/>
                  </w:pPr>
                  <w:r>
                    <w:t xml:space="preserve">f1</w:t>
                  </w:r>
                </w:p>
              </w:tc>
              <w:tc>
                <w:tcPr/>
                <w:p>
                  <w:pPr>
                    <w:pStyle w:val="Compact"/>
                    <w:jc w:val="left"/>
                    <w:jc w:val="center"/>
                  </w:pPr>
                  <w:r>
                    <w:t xml:space="preserve">(Intercept)</w:t>
                  </w:r>
                </w:p>
              </w:tc>
              <w:tc>
                <w:tcPr/>
                <w:p>
                  <w:pPr>
                    <w:pStyle w:val="Compact"/>
                    <w:jc w:val="right"/>
                    <w:jc w:val="center"/>
                  </w:pPr>
                  <w:r>
                    <w:t xml:space="preserve">0.042</w:t>
                  </w:r>
                </w:p>
              </w:tc>
              <w:tc>
                <w:tcPr/>
                <w:p>
                  <w:pPr>
                    <w:pStyle w:val="Compact"/>
                    <w:jc w:val="right"/>
                    <w:jc w:val="center"/>
                  </w:pPr>
                  <w:r>
                    <w:t xml:space="preserve">0.306</w:t>
                  </w:r>
                </w:p>
              </w:tc>
              <w:tc>
                <w:tcPr/>
                <w:p>
                  <w:pPr>
                    <w:pStyle w:val="Compact"/>
                    <w:jc w:val="right"/>
                    <w:jc w:val="center"/>
                  </w:pPr>
                  <w:r>
                    <w:t xml:space="preserve">0.137</w:t>
                  </w:r>
                </w:p>
              </w:tc>
              <w:tc>
                <w:tcPr/>
                <w:p>
                  <w:pPr>
                    <w:pStyle w:val="Compact"/>
                    <w:jc w:val="right"/>
                    <w:jc w:val="center"/>
                  </w:pPr>
                  <w:r>
                    <w:t xml:space="preserve">0.891</w:t>
                  </w:r>
                </w:p>
              </w:tc>
            </w:tr>
            <w:tr>
              <w:tc>
                <w:tcPr/>
                <w:p>
                  <w:pPr>
                    <w:pStyle w:val="Compact"/>
                    <w:jc w:val="left"/>
                    <w:jc w:val="center"/>
                  </w:pPr>
                  <w:r>
                    <w:t xml:space="preserve">f2</w:t>
                  </w:r>
                </w:p>
              </w:tc>
              <w:tc>
                <w:tcPr/>
                <w:p>
                  <w:pPr>
                    <w:pStyle w:val="Compact"/>
                    <w:jc w:val="left"/>
                    <w:jc w:val="center"/>
                  </w:pPr>
                  <w:r>
                    <w:t xml:space="preserve">(Intercept)</w:t>
                  </w:r>
                </w:p>
              </w:tc>
              <w:tc>
                <w:tcPr/>
                <w:p>
                  <w:pPr>
                    <w:pStyle w:val="Compact"/>
                    <w:jc w:val="right"/>
                    <w:jc w:val="center"/>
                  </w:pPr>
                  <w:r>
                    <w:t xml:space="preserve">0.307</w:t>
                  </w:r>
                </w:p>
              </w:tc>
              <w:tc>
                <w:tcPr/>
                <w:p>
                  <w:pPr>
                    <w:pStyle w:val="Compact"/>
                    <w:jc w:val="right"/>
                    <w:jc w:val="center"/>
                  </w:pPr>
                  <w:r>
                    <w:t xml:space="preserve">0.374</w:t>
                  </w:r>
                </w:p>
              </w:tc>
              <w:tc>
                <w:tcPr/>
                <w:p>
                  <w:pPr>
                    <w:pStyle w:val="Compact"/>
                    <w:jc w:val="right"/>
                    <w:jc w:val="center"/>
                  </w:pPr>
                  <w:r>
                    <w:t xml:space="preserve">0.821</w:t>
                  </w:r>
                </w:p>
              </w:tc>
              <w:tc>
                <w:tcPr/>
                <w:p>
                  <w:pPr>
                    <w:pStyle w:val="Compact"/>
                    <w:jc w:val="right"/>
                    <w:jc w:val="center"/>
                  </w:pPr>
                  <w:r>
                    <w:t xml:space="preserve">0.412</w:t>
                  </w:r>
                </w:p>
              </w:tc>
            </w:tr>
            <w:tr>
              <w:tc>
                <w:tcPr/>
                <w:p>
                  <w:pPr>
                    <w:pStyle w:val="Compact"/>
                    <w:jc w:val="left"/>
                    <w:jc w:val="center"/>
                  </w:pPr>
                  <w:r>
                    <w:t xml:space="preserve">f3</w:t>
                  </w:r>
                </w:p>
              </w:tc>
              <w:tc>
                <w:tcPr/>
                <w:p>
                  <w:pPr>
                    <w:pStyle w:val="Compact"/>
                    <w:jc w:val="left"/>
                    <w:jc w:val="center"/>
                  </w:pPr>
                  <w:r>
                    <w:t xml:space="preserve">(Intercept)</w:t>
                  </w:r>
                </w:p>
              </w:tc>
              <w:tc>
                <w:tcPr/>
                <w:p>
                  <w:pPr>
                    <w:pStyle w:val="Compact"/>
                    <w:jc w:val="right"/>
                    <w:jc w:val="center"/>
                  </w:pPr>
                  <w:r>
                    <w:t xml:space="preserve">0.050</w:t>
                  </w:r>
                </w:p>
              </w:tc>
              <w:tc>
                <w:tcPr/>
                <w:p>
                  <w:pPr>
                    <w:pStyle w:val="Compact"/>
                    <w:jc w:val="right"/>
                    <w:jc w:val="center"/>
                  </w:pPr>
                  <w:r>
                    <w:t xml:space="preserve">0.320</w:t>
                  </w:r>
                </w:p>
              </w:tc>
              <w:tc>
                <w:tcPr/>
                <w:p>
                  <w:pPr>
                    <w:pStyle w:val="Compact"/>
                    <w:jc w:val="right"/>
                    <w:jc w:val="center"/>
                  </w:pPr>
                  <w:r>
                    <w:t xml:space="preserve">0.157</w:t>
                  </w:r>
                </w:p>
              </w:tc>
              <w:tc>
                <w:tcPr/>
                <w:p>
                  <w:pPr>
                    <w:pStyle w:val="Compact"/>
                    <w:jc w:val="right"/>
                    <w:jc w:val="center"/>
                  </w:pPr>
                  <w:r>
                    <w:t xml:space="preserve">0.875</w:t>
                  </w:r>
                </w:p>
              </w:tc>
            </w:tr>
            <w:tr>
              <w:tc>
                <w:tcPr/>
                <w:p>
                  <w:pPr>
                    <w:pStyle w:val="Compact"/>
                    <w:jc w:val="left"/>
                    <w:jc w:val="center"/>
                  </w:pPr>
                  <w:r>
                    <w:t xml:space="preserve">f1</w:t>
                  </w:r>
                </w:p>
              </w:tc>
              <w:tc>
                <w:tcPr/>
                <w:p>
                  <w:pPr>
                    <w:pStyle w:val="Compact"/>
                    <w:jc w:val="left"/>
                    <w:jc w:val="center"/>
                  </w:pPr>
                  <w:r>
                    <w:t xml:space="preserve">Caitlin Clark</w:t>
                  </w:r>
                </w:p>
              </w:tc>
              <w:tc>
                <w:tcPr/>
                <w:p>
                  <w:pPr>
                    <w:pStyle w:val="Compact"/>
                    <w:jc w:val="right"/>
                    <w:jc w:val="center"/>
                  </w:pPr>
                  <w:r>
                    <w:t xml:space="preserve">2.827</w:t>
                  </w:r>
                </w:p>
              </w:tc>
              <w:tc>
                <w:tcPr/>
                <w:p>
                  <w:pPr>
                    <w:pStyle w:val="Compact"/>
                    <w:jc w:val="right"/>
                    <w:jc w:val="center"/>
                  </w:pPr>
                  <w:r>
                    <w:t xml:space="preserve">0.262</w:t>
                  </w:r>
                </w:p>
              </w:tc>
              <w:tc>
                <w:tcPr/>
                <w:p>
                  <w:pPr>
                    <w:pStyle w:val="Compact"/>
                    <w:jc w:val="right"/>
                    <w:jc w:val="center"/>
                  </w:pPr>
                  <w:r>
                    <w:t xml:space="preserve">10.777</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Caitlin Clark</w:t>
                  </w:r>
                </w:p>
              </w:tc>
              <w:tc>
                <w:tcPr/>
                <w:p>
                  <w:pPr>
                    <w:pStyle w:val="Compact"/>
                    <w:jc w:val="right"/>
                    <w:jc w:val="center"/>
                  </w:pPr>
                  <w:r>
                    <w:t xml:space="preserve">2.902</w:t>
                  </w:r>
                </w:p>
              </w:tc>
              <w:tc>
                <w:tcPr/>
                <w:p>
                  <w:pPr>
                    <w:pStyle w:val="Compact"/>
                    <w:jc w:val="right"/>
                    <w:jc w:val="center"/>
                  </w:pPr>
                  <w:r>
                    <w:t xml:space="preserve">0.260</w:t>
                  </w:r>
                </w:p>
              </w:tc>
              <w:tc>
                <w:tcPr/>
                <w:p>
                  <w:pPr>
                    <w:pStyle w:val="Compact"/>
                    <w:jc w:val="right"/>
                    <w:jc w:val="center"/>
                  </w:pPr>
                  <w:r>
                    <w:t xml:space="preserve">11.181</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Caitlin Clark</w:t>
                  </w:r>
                </w:p>
              </w:tc>
              <w:tc>
                <w:tcPr/>
                <w:p>
                  <w:pPr>
                    <w:pStyle w:val="Compact"/>
                    <w:jc w:val="right"/>
                    <w:jc w:val="center"/>
                  </w:pPr>
                  <w:r>
                    <w:t xml:space="preserve">2.872</w:t>
                  </w:r>
                </w:p>
              </w:tc>
              <w:tc>
                <w:tcPr/>
                <w:p>
                  <w:pPr>
                    <w:pStyle w:val="Compact"/>
                    <w:jc w:val="right"/>
                    <w:jc w:val="center"/>
                  </w:pPr>
                  <w:r>
                    <w:t xml:space="preserve">0.261</w:t>
                  </w:r>
                </w:p>
              </w:tc>
              <w:tc>
                <w:tcPr/>
                <w:p>
                  <w:pPr>
                    <w:pStyle w:val="Compact"/>
                    <w:jc w:val="right"/>
                    <w:jc w:val="center"/>
                  </w:pPr>
                  <w:r>
                    <w:t xml:space="preserve">10.996</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F1: Fan Engagment</w:t>
                  </w:r>
                </w:p>
              </w:tc>
              <w:tc>
                <w:tcPr/>
                <w:p>
                  <w:pPr>
                    <w:pStyle w:val="Compact"/>
                    <w:jc w:val="right"/>
                    <w:jc w:val="center"/>
                  </w:pPr>
                  <w:r>
                    <w:t xml:space="preserve">0.005</w:t>
                  </w:r>
                </w:p>
              </w:tc>
              <w:tc>
                <w:tcPr/>
                <w:p>
                  <w:pPr>
                    <w:pStyle w:val="Compact"/>
                    <w:jc w:val="right"/>
                    <w:jc w:val="center"/>
                  </w:pPr>
                  <w:r>
                    <w:t xml:space="preserve">0.001</w:t>
                  </w:r>
                </w:p>
              </w:tc>
              <w:tc>
                <w:tcPr/>
                <w:p>
                  <w:pPr>
                    <w:pStyle w:val="Compact"/>
                    <w:jc w:val="right"/>
                    <w:jc w:val="center"/>
                  </w:pPr>
                  <w:r>
                    <w:t xml:space="preserve">4.249</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F2: Fan Engagment</w:t>
                  </w:r>
                </w:p>
              </w:tc>
              <w:tc>
                <w:tcPr/>
                <w:p>
                  <w:pPr>
                    <w:pStyle w:val="Compact"/>
                    <w:jc w:val="right"/>
                    <w:jc w:val="center"/>
                  </w:pPr>
                  <w:r>
                    <w:t xml:space="preserve">-0.001</w:t>
                  </w:r>
                </w:p>
              </w:tc>
              <w:tc>
                <w:tcPr/>
                <w:p>
                  <w:pPr>
                    <w:pStyle w:val="Compact"/>
                    <w:jc w:val="right"/>
                    <w:jc w:val="center"/>
                  </w:pPr>
                  <w:r>
                    <w:t xml:space="preserve">0.003</w:t>
                  </w:r>
                </w:p>
              </w:tc>
              <w:tc>
                <w:tcPr/>
                <w:p>
                  <w:pPr>
                    <w:pStyle w:val="Compact"/>
                    <w:jc w:val="right"/>
                    <w:jc w:val="center"/>
                  </w:pPr>
                  <w:r>
                    <w:t xml:space="preserve">-0.427</w:t>
                  </w:r>
                </w:p>
              </w:tc>
              <w:tc>
                <w:tcPr/>
                <w:p>
                  <w:pPr>
                    <w:pStyle w:val="Compact"/>
                    <w:jc w:val="right"/>
                    <w:jc w:val="center"/>
                  </w:pPr>
                  <w:r>
                    <w:t xml:space="preserve">0.670</w:t>
                  </w:r>
                </w:p>
              </w:tc>
            </w:tr>
            <w:tr>
              <w:tc>
                <w:tcPr/>
                <w:p>
                  <w:pPr>
                    <w:pStyle w:val="Compact"/>
                    <w:jc w:val="left"/>
                    <w:jc w:val="center"/>
                  </w:pPr>
                  <w:r>
                    <w:t xml:space="preserve">f3</w:t>
                  </w:r>
                </w:p>
              </w:tc>
              <w:tc>
                <w:tcPr/>
                <w:p>
                  <w:pPr>
                    <w:pStyle w:val="Compact"/>
                    <w:jc w:val="left"/>
                    <w:jc w:val="center"/>
                  </w:pPr>
                  <w:r>
                    <w:t xml:space="preserve">F3: Fan Engagment</w:t>
                  </w:r>
                </w:p>
              </w:tc>
              <w:tc>
                <w:tcPr/>
                <w:p>
                  <w:pPr>
                    <w:pStyle w:val="Compact"/>
                    <w:jc w:val="right"/>
                    <w:jc w:val="center"/>
                  </w:pPr>
                  <w:r>
                    <w:t xml:space="preserve">2.358</w:t>
                  </w:r>
                </w:p>
              </w:tc>
              <w:tc>
                <w:tcPr/>
                <w:p>
                  <w:pPr>
                    <w:pStyle w:val="Compact"/>
                    <w:jc w:val="right"/>
                    <w:jc w:val="center"/>
                  </w:pPr>
                  <w:r>
                    <w:t xml:space="preserve">0.899</w:t>
                  </w:r>
                </w:p>
              </w:tc>
              <w:tc>
                <w:tcPr/>
                <w:p>
                  <w:pPr>
                    <w:pStyle w:val="Compact"/>
                    <w:jc w:val="right"/>
                    <w:jc w:val="center"/>
                  </w:pPr>
                  <w:r>
                    <w:t xml:space="preserve">2.624</w:t>
                  </w:r>
                </w:p>
              </w:tc>
              <w:tc>
                <w:tcPr/>
                <w:p>
                  <w:pPr>
                    <w:pStyle w:val="Compact"/>
                    <w:jc w:val="right"/>
                    <w:jc w:val="center"/>
                  </w:pPr>
                  <w:r>
                    <w:t xml:space="preserve">0.009</w:t>
                  </w:r>
                </w:p>
              </w:tc>
            </w:tr>
            <w:tr>
              <w:tc>
                <w:tcPr/>
                <w:p>
                  <w:pPr>
                    <w:pStyle w:val="Compact"/>
                    <w:jc w:val="left"/>
                    <w:jc w:val="center"/>
                  </w:pPr>
                  <w:r>
                    <w:t xml:space="preserve">f1</w:t>
                  </w:r>
                </w:p>
              </w:tc>
              <w:tc>
                <w:tcPr/>
                <w:p>
                  <w:pPr>
                    <w:pStyle w:val="Compact"/>
                    <w:jc w:val="left"/>
                    <w:jc w:val="center"/>
                  </w:pPr>
                  <w:r>
                    <w:t xml:space="preserve">Median Income</w:t>
                  </w:r>
                </w:p>
              </w:tc>
              <w:tc>
                <w:tcPr/>
                <w:p>
                  <w:pPr>
                    <w:pStyle w:val="Compact"/>
                    <w:jc w:val="right"/>
                    <w:jc w:val="center"/>
                  </w:pPr>
                  <w:r>
                    <w:t xml:space="preserve">0.019</w:t>
                  </w:r>
                </w:p>
              </w:tc>
              <w:tc>
                <w:tcPr/>
                <w:p>
                  <w:pPr>
                    <w:pStyle w:val="Compact"/>
                    <w:jc w:val="right"/>
                    <w:jc w:val="center"/>
                  </w:pPr>
                  <w:r>
                    <w:t xml:space="preserve">0.005</w:t>
                  </w:r>
                </w:p>
              </w:tc>
              <w:tc>
                <w:tcPr/>
                <w:p>
                  <w:pPr>
                    <w:pStyle w:val="Compact"/>
                    <w:jc w:val="right"/>
                    <w:jc w:val="center"/>
                  </w:pPr>
                  <w:r>
                    <w:t xml:space="preserve">4.131</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Median Income</w:t>
                  </w:r>
                </w:p>
              </w:tc>
              <w:tc>
                <w:tcPr/>
                <w:p>
                  <w:pPr>
                    <w:pStyle w:val="Compact"/>
                    <w:jc w:val="right"/>
                    <w:jc w:val="center"/>
                  </w:pPr>
                  <w:r>
                    <w:t xml:space="preserve">0.016</w:t>
                  </w:r>
                </w:p>
              </w:tc>
              <w:tc>
                <w:tcPr/>
                <w:p>
                  <w:pPr>
                    <w:pStyle w:val="Compact"/>
                    <w:jc w:val="right"/>
                    <w:jc w:val="center"/>
                  </w:pPr>
                  <w:r>
                    <w:t xml:space="preserve">0.005</w:t>
                  </w:r>
                </w:p>
              </w:tc>
              <w:tc>
                <w:tcPr/>
                <w:p>
                  <w:pPr>
                    <w:pStyle w:val="Compact"/>
                    <w:jc w:val="right"/>
                    <w:jc w:val="center"/>
                  </w:pPr>
                  <w:r>
                    <w:t xml:space="preserve">3.531</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Median Income</w:t>
                  </w:r>
                </w:p>
              </w:tc>
              <w:tc>
                <w:tcPr/>
                <w:p>
                  <w:pPr>
                    <w:pStyle w:val="Compact"/>
                    <w:jc w:val="right"/>
                    <w:jc w:val="center"/>
                  </w:pPr>
                  <w:r>
                    <w:t xml:space="preserve">0.018</w:t>
                  </w:r>
                </w:p>
              </w:tc>
              <w:tc>
                <w:tcPr/>
                <w:p>
                  <w:pPr>
                    <w:pStyle w:val="Compact"/>
                    <w:jc w:val="right"/>
                    <w:jc w:val="center"/>
                  </w:pPr>
                  <w:r>
                    <w:t xml:space="preserve">0.005</w:t>
                  </w:r>
                </w:p>
              </w:tc>
              <w:tc>
                <w:tcPr/>
                <w:p>
                  <w:pPr>
                    <w:pStyle w:val="Compact"/>
                    <w:jc w:val="right"/>
                    <w:jc w:val="center"/>
                  </w:pPr>
                  <w:r>
                    <w:t xml:space="preserve">3.790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Median Pop</w:t>
                  </w:r>
                </w:p>
              </w:tc>
              <w:tc>
                <w:tcPr/>
                <w:p>
                  <w:pPr>
                    <w:pStyle w:val="Compact"/>
                    <w:jc w:val="right"/>
                    <w:jc w:val="center"/>
                  </w:pPr>
                  <w:r>
                    <w:t xml:space="preserve">-0.098</w:t>
                  </w:r>
                </w:p>
              </w:tc>
              <w:tc>
                <w:tcPr/>
                <w:p>
                  <w:pPr>
                    <w:pStyle w:val="Compact"/>
                    <w:jc w:val="right"/>
                    <w:jc w:val="center"/>
                  </w:pPr>
                  <w:r>
                    <w:t xml:space="preserve">0.015</w:t>
                  </w:r>
                </w:p>
              </w:tc>
              <w:tc>
                <w:tcPr/>
                <w:p>
                  <w:pPr>
                    <w:pStyle w:val="Compact"/>
                    <w:jc w:val="right"/>
                    <w:jc w:val="center"/>
                  </w:pPr>
                  <w:r>
                    <w:t xml:space="preserve">-6.628</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Median Pop</w:t>
                  </w:r>
                </w:p>
              </w:tc>
              <w:tc>
                <w:tcPr/>
                <w:p>
                  <w:pPr>
                    <w:pStyle w:val="Compact"/>
                    <w:jc w:val="right"/>
                    <w:jc w:val="center"/>
                  </w:pPr>
                  <w:r>
                    <w:t xml:space="preserve">-0.095</w:t>
                  </w:r>
                </w:p>
              </w:tc>
              <w:tc>
                <w:tcPr/>
                <w:p>
                  <w:pPr>
                    <w:pStyle w:val="Compact"/>
                    <w:jc w:val="right"/>
                    <w:jc w:val="center"/>
                  </w:pPr>
                  <w:r>
                    <w:t xml:space="preserve">0.014</w:t>
                  </w:r>
                </w:p>
              </w:tc>
              <w:tc>
                <w:tcPr/>
                <w:p>
                  <w:pPr>
                    <w:pStyle w:val="Compact"/>
                    <w:jc w:val="right"/>
                    <w:jc w:val="center"/>
                  </w:pPr>
                  <w:r>
                    <w:t xml:space="preserve">-6.551</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Median Pop</w:t>
                  </w:r>
                </w:p>
              </w:tc>
              <w:tc>
                <w:tcPr/>
                <w:p>
                  <w:pPr>
                    <w:pStyle w:val="Compact"/>
                    <w:jc w:val="right"/>
                    <w:jc w:val="center"/>
                  </w:pPr>
                  <w:r>
                    <w:t xml:space="preserve">-0.102</w:t>
                  </w:r>
                </w:p>
              </w:tc>
              <w:tc>
                <w:tcPr/>
                <w:p>
                  <w:pPr>
                    <w:pStyle w:val="Compact"/>
                    <w:jc w:val="right"/>
                    <w:jc w:val="center"/>
                  </w:pPr>
                  <w:r>
                    <w:t xml:space="preserve">0.015</w:t>
                  </w:r>
                </w:p>
              </w:tc>
              <w:tc>
                <w:tcPr/>
                <w:p>
                  <w:pPr>
                    <w:pStyle w:val="Compact"/>
                    <w:jc w:val="right"/>
                    <w:jc w:val="center"/>
                  </w:pPr>
                  <w:r>
                    <w:t xml:space="preserve">-6.797</w:t>
                  </w:r>
                </w:p>
              </w:tc>
              <w:tc>
                <w:tcPr/>
                <w:p>
                  <w:pPr>
                    <w:pStyle w:val="Compact"/>
                    <w:jc w:val="right"/>
                    <w:jc w:val="center"/>
                  </w:pPr>
                  <w:r>
                    <w:t xml:space="preserve">0.000</w:t>
                  </w:r>
                </w:p>
              </w:tc>
            </w:tr>
          </w:tbl>
          <w:bookmarkEnd w:id="81"/>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glance2">
        <w:r>
          <w:rPr>
            <w:rStyle w:val="Hyperlink"/>
          </w:rPr>
          <w:t xml:space="preserve">Table 6</w:t>
        </w:r>
      </w:hyperlink>
      <w:r>
        <w:t xml:space="preserve"> </w:t>
      </w:r>
      <w:r>
        <w:t xml:space="preserve">shows the model fit metrics for the percentage of arena capacity models.</w:t>
      </w:r>
    </w:p>
    <w:tbl>
      <w:tblPr>
        <w:tblStyle w:val="Table"/>
        <w:tblW w:type="pct" w:w="5000"/>
        <w:tblLayout w:type="fixed"/>
        <w:tblLook w:firstRow="0" w:lastRow="0" w:firstColumn="0" w:lastColumn="0" w:noHBand="0" w:noVBand="0" w:val="0000"/>
      </w:tblPr>
      <w:tblGrid>
        <w:gridCol w:w="7920"/>
      </w:tblGrid>
      <w:tr>
        <w:tc>
          <w:tcPr/>
          <w:bookmarkStart w:id="82" w:name="tbl-glance2"/>
          <w:p>
            <w:pPr>
              <w:jc w:val="center"/>
            </w:pPr>
            <w:pPr>
              <w:jc w:val="left"/>
              <w:spacing w:before="200"/>
              <w:pStyle w:val="ImageCaption"/>
            </w:pPr>
            <w:r>
              <w:t xml:space="preserve">Table 6: Comparison of percentage of arena capacity models.</w:t>
            </w:r>
          </w:p>
          <w:tbl>
            <w:tblPr>
              <w:tblStyle w:val="Table"/>
              <w:tblW w:type="pct" w:w="5000"/>
              <w:tblLayout w:type="fixed"/>
              <w:tblLook w:firstRow="1" w:lastRow="0" w:firstColumn="0" w:lastColumn="0" w:noHBand="0" w:noVBand="0" w:val="0020"/>
            </w:tblPr>
            <w:tblGrid>
              <w:gridCol w:w="579"/>
              <w:gridCol w:w="1352"/>
              <w:gridCol w:w="772"/>
              <w:gridCol w:w="965"/>
              <w:gridCol w:w="869"/>
              <w:gridCol w:w="869"/>
              <w:gridCol w:w="869"/>
              <w:gridCol w:w="1159"/>
              <w:gridCol w:w="482"/>
            </w:tblGrid>
            <w:tr>
              <w:trPr>
                <w:tblHeader w:val="on"/>
              </w:trPr>
              <w:tc>
                <w:tcPr/>
                <w:p>
                  <w:pPr>
                    <w:pStyle w:val="Compact"/>
                    <w:jc w:val="left"/>
                    <w:jc w:val="center"/>
                  </w:pPr>
                  <w:r>
                    <w:t xml:space="preserve">model</w:t>
                  </w:r>
                </w:p>
              </w:tc>
              <w:tc>
                <w:tcPr/>
                <w:p>
                  <w:pPr>
                    <w:pStyle w:val="Compact"/>
                    <w:jc w:val="right"/>
                    <w:jc w:val="center"/>
                  </w:pPr>
                  <w:r>
                    <w:t xml:space="preserve">null.deviance</w:t>
                  </w:r>
                </w:p>
              </w:tc>
              <w:tc>
                <w:tcPr/>
                <w:p>
                  <w:pPr>
                    <w:pStyle w:val="Compact"/>
                    <w:jc w:val="right"/>
                    <w:jc w:val="center"/>
                  </w:pPr>
                  <w:r>
                    <w:t xml:space="preserve">df.null</w:t>
                  </w:r>
                </w:p>
              </w:tc>
              <w:tc>
                <w:tcPr/>
                <w:p>
                  <w:pPr>
                    <w:pStyle w:val="Compact"/>
                    <w:jc w:val="right"/>
                    <w:jc w:val="center"/>
                  </w:pPr>
                  <w:r>
                    <w:t xml:space="preserve">logLik</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deviance</w:t>
                  </w:r>
                </w:p>
              </w:tc>
              <w:tc>
                <w:tcPr/>
                <w:p>
                  <w:pPr>
                    <w:pStyle w:val="Compact"/>
                    <w:jc w:val="right"/>
                    <w:jc w:val="center"/>
                  </w:pPr>
                  <w:r>
                    <w:t xml:space="preserve">df.residual</w:t>
                  </w:r>
                </w:p>
              </w:tc>
              <w:tc>
                <w:tcPr/>
                <w:p>
                  <w:pPr>
                    <w:pStyle w:val="Compact"/>
                    <w:jc w:val="right"/>
                    <w:jc w:val="center"/>
                  </w:pPr>
                  <w:r>
                    <w:t xml:space="preserve">nobs</w:t>
                  </w:r>
                </w:p>
              </w:tc>
            </w:tr>
            <w:tr>
              <w:tc>
                <w:tcPr/>
                <w:p>
                  <w:pPr>
                    <w:pStyle w:val="Compact"/>
                    <w:jc w:val="left"/>
                    <w:jc w:val="center"/>
                  </w:pPr>
                  <w:r>
                    <w:t xml:space="preserve">f1</w:t>
                  </w:r>
                </w:p>
              </w:tc>
              <w:tc>
                <w:tcPr/>
                <w:p>
                  <w:pPr>
                    <w:pStyle w:val="Compact"/>
                    <w:jc w:val="right"/>
                    <w:jc w:val="center"/>
                  </w:pPr>
                  <w:r>
                    <w:t xml:space="preserve">916.6665</w:t>
                  </w:r>
                </w:p>
              </w:tc>
              <w:tc>
                <w:tcPr/>
                <w:p>
                  <w:pPr>
                    <w:pStyle w:val="Compact"/>
                    <w:jc w:val="right"/>
                    <w:jc w:val="center"/>
                  </w:pPr>
                  <w:r>
                    <w:t xml:space="preserve">5062</w:t>
                  </w:r>
                </w:p>
              </w:tc>
              <w:tc>
                <w:tcPr/>
                <w:p>
                  <w:pPr>
                    <w:pStyle w:val="Compact"/>
                    <w:jc w:val="right"/>
                    <w:jc w:val="center"/>
                  </w:pPr>
                  <w:r>
                    <w:t xml:space="preserve">-2973.023</w:t>
                  </w:r>
                </w:p>
              </w:tc>
              <w:tc>
                <w:tcPr/>
                <w:p>
                  <w:pPr>
                    <w:pStyle w:val="Compact"/>
                    <w:jc w:val="right"/>
                    <w:jc w:val="center"/>
                  </w:pPr>
                  <w:r>
                    <w:t xml:space="preserve">6104.046</w:t>
                  </w:r>
                </w:p>
              </w:tc>
              <w:tc>
                <w:tcPr/>
                <w:p>
                  <w:pPr>
                    <w:pStyle w:val="Compact"/>
                    <w:jc w:val="right"/>
                    <w:jc w:val="center"/>
                  </w:pPr>
                  <w:r>
                    <w:t xml:space="preserve">6619.894</w:t>
                  </w:r>
                </w:p>
              </w:tc>
              <w:tc>
                <w:tcPr/>
                <w:p>
                  <w:pPr>
                    <w:pStyle w:val="Compact"/>
                    <w:jc w:val="right"/>
                    <w:jc w:val="center"/>
                  </w:pPr>
                  <w:r>
                    <w:t xml:space="preserve">559.5177</w:t>
                  </w:r>
                </w:p>
              </w:tc>
              <w:tc>
                <w:tcPr/>
                <w:p>
                  <w:pPr>
                    <w:pStyle w:val="Compact"/>
                    <w:jc w:val="right"/>
                    <w:jc w:val="center"/>
                  </w:pPr>
                  <w:r>
                    <w:t xml:space="preserve">4984</w:t>
                  </w:r>
                </w:p>
              </w:tc>
              <w:tc>
                <w:tcPr/>
                <w:p>
                  <w:pPr>
                    <w:pStyle w:val="Compact"/>
                    <w:jc w:val="right"/>
                    <w:jc w:val="center"/>
                  </w:pPr>
                  <w:r>
                    <w:t xml:space="preserve">5063</w:t>
                  </w:r>
                </w:p>
              </w:tc>
            </w:tr>
            <w:tr>
              <w:tc>
                <w:tcPr/>
                <w:p>
                  <w:pPr>
                    <w:pStyle w:val="Compact"/>
                    <w:jc w:val="left"/>
                    <w:jc w:val="center"/>
                  </w:pPr>
                  <w:r>
                    <w:t xml:space="preserve">f2</w:t>
                  </w:r>
                </w:p>
              </w:tc>
              <w:tc>
                <w:tcPr/>
                <w:p>
                  <w:pPr>
                    <w:pStyle w:val="Compact"/>
                    <w:jc w:val="right"/>
                    <w:jc w:val="center"/>
                  </w:pPr>
                  <w:r>
                    <w:t xml:space="preserve">916.6665</w:t>
                  </w:r>
                </w:p>
              </w:tc>
              <w:tc>
                <w:tcPr/>
                <w:p>
                  <w:pPr>
                    <w:pStyle w:val="Compact"/>
                    <w:jc w:val="right"/>
                    <w:jc w:val="center"/>
                  </w:pPr>
                  <w:r>
                    <w:t xml:space="preserve">5062</w:t>
                  </w:r>
                </w:p>
              </w:tc>
              <w:tc>
                <w:tcPr/>
                <w:p>
                  <w:pPr>
                    <w:pStyle w:val="Compact"/>
                    <w:jc w:val="right"/>
                    <w:jc w:val="center"/>
                  </w:pPr>
                  <w:r>
                    <w:t xml:space="preserve">-2999.275</w:t>
                  </w:r>
                </w:p>
              </w:tc>
              <w:tc>
                <w:tcPr/>
                <w:p>
                  <w:pPr>
                    <w:pStyle w:val="Compact"/>
                    <w:jc w:val="right"/>
                    <w:jc w:val="center"/>
                  </w:pPr>
                  <w:r>
                    <w:t xml:space="preserve">6156.550</w:t>
                  </w:r>
                </w:p>
              </w:tc>
              <w:tc>
                <w:tcPr/>
                <w:p>
                  <w:pPr>
                    <w:pStyle w:val="Compact"/>
                    <w:jc w:val="right"/>
                    <w:jc w:val="center"/>
                  </w:pPr>
                  <w:r>
                    <w:t xml:space="preserve">6672.398</w:t>
                  </w:r>
                </w:p>
              </w:tc>
              <w:tc>
                <w:tcPr/>
                <w:p>
                  <w:pPr>
                    <w:pStyle w:val="Compact"/>
                    <w:jc w:val="right"/>
                    <w:jc w:val="center"/>
                  </w:pPr>
                  <w:r>
                    <w:t xml:space="preserve">574.1421</w:t>
                  </w:r>
                </w:p>
              </w:tc>
              <w:tc>
                <w:tcPr/>
                <w:p>
                  <w:pPr>
                    <w:pStyle w:val="Compact"/>
                    <w:jc w:val="right"/>
                    <w:jc w:val="center"/>
                  </w:pPr>
                  <w:r>
                    <w:t xml:space="preserve">4984</w:t>
                  </w:r>
                </w:p>
              </w:tc>
              <w:tc>
                <w:tcPr/>
                <w:p>
                  <w:pPr>
                    <w:pStyle w:val="Compact"/>
                    <w:jc w:val="right"/>
                    <w:jc w:val="center"/>
                  </w:pPr>
                  <w:r>
                    <w:t xml:space="preserve">5063</w:t>
                  </w:r>
                </w:p>
              </w:tc>
            </w:tr>
            <w:tr>
              <w:tc>
                <w:tcPr/>
                <w:p>
                  <w:pPr>
                    <w:pStyle w:val="Compact"/>
                    <w:jc w:val="left"/>
                    <w:jc w:val="center"/>
                  </w:pPr>
                  <w:r>
                    <w:t xml:space="preserve">f3</w:t>
                  </w:r>
                </w:p>
              </w:tc>
              <w:tc>
                <w:tcPr/>
                <w:p>
                  <w:pPr>
                    <w:pStyle w:val="Compact"/>
                    <w:jc w:val="right"/>
                    <w:jc w:val="center"/>
                  </w:pPr>
                  <w:r>
                    <w:t xml:space="preserve">916.6665</w:t>
                  </w:r>
                </w:p>
              </w:tc>
              <w:tc>
                <w:tcPr/>
                <w:p>
                  <w:pPr>
                    <w:pStyle w:val="Compact"/>
                    <w:jc w:val="right"/>
                    <w:jc w:val="center"/>
                  </w:pPr>
                  <w:r>
                    <w:t xml:space="preserve">5062</w:t>
                  </w:r>
                </w:p>
              </w:tc>
              <w:tc>
                <w:tcPr/>
                <w:p>
                  <w:pPr>
                    <w:pStyle w:val="Compact"/>
                    <w:jc w:val="right"/>
                    <w:jc w:val="center"/>
                  </w:pPr>
                  <w:r>
                    <w:t xml:space="preserve">-2986.255</w:t>
                  </w:r>
                </w:p>
              </w:tc>
              <w:tc>
                <w:tcPr/>
                <w:p>
                  <w:pPr>
                    <w:pStyle w:val="Compact"/>
                    <w:jc w:val="right"/>
                    <w:jc w:val="center"/>
                  </w:pPr>
                  <w:r>
                    <w:t xml:space="preserve">6130.510</w:t>
                  </w:r>
                </w:p>
              </w:tc>
              <w:tc>
                <w:tcPr/>
                <w:p>
                  <w:pPr>
                    <w:pStyle w:val="Compact"/>
                    <w:jc w:val="right"/>
                    <w:jc w:val="center"/>
                  </w:pPr>
                  <w:r>
                    <w:t xml:space="preserve">6646.358</w:t>
                  </w:r>
                </w:p>
              </w:tc>
              <w:tc>
                <w:tcPr/>
                <w:p>
                  <w:pPr>
                    <w:pStyle w:val="Compact"/>
                    <w:jc w:val="right"/>
                    <w:jc w:val="center"/>
                  </w:pPr>
                  <w:r>
                    <w:t xml:space="preserve">564.3610</w:t>
                  </w:r>
                </w:p>
              </w:tc>
              <w:tc>
                <w:tcPr/>
                <w:p>
                  <w:pPr>
                    <w:pStyle w:val="Compact"/>
                    <w:jc w:val="right"/>
                    <w:jc w:val="center"/>
                  </w:pPr>
                  <w:r>
                    <w:t xml:space="preserve">4984</w:t>
                  </w:r>
                </w:p>
              </w:tc>
              <w:tc>
                <w:tcPr/>
                <w:p>
                  <w:pPr>
                    <w:pStyle w:val="Compact"/>
                    <w:jc w:val="right"/>
                    <w:jc w:val="center"/>
                  </w:pPr>
                  <w:r>
                    <w:t xml:space="preserve">5063</w:t>
                  </w:r>
                </w:p>
              </w:tc>
            </w:tr>
          </w:tbl>
          <w:bookmarkEnd w:id="82"/>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anova2">
        <w:r>
          <w:rPr>
            <w:rStyle w:val="Hyperlink"/>
          </w:rPr>
          <w:t xml:space="preserve">Table 8</w:t>
        </w:r>
      </w:hyperlink>
      <w:r>
        <w:t xml:space="preserve"> </w:t>
      </w:r>
      <w:r>
        <w:t xml:space="preserve">shows the analysis of variance for the percentage of arena capacity models.</w:t>
      </w:r>
    </w:p>
    <w:p>
      <w:pPr>
        <w:pStyle w:val="BodyText"/>
      </w:pPr>
      <w:hyperlink w:anchor="fig-season-coefs2">
        <w:r>
          <w:rPr>
            <w:rStyle w:val="Hyperlink"/>
          </w:rPr>
          <w:t xml:space="preserve">Figure 11</w:t>
        </w:r>
      </w:hyperlink>
      <w:r>
        <w:t xml:space="preserve"> </w:t>
      </w:r>
      <w:r>
        <w:t xml:space="preserve">shows that…</w:t>
      </w:r>
    </w:p>
    <w:bookmarkStart w:id="87" w:name="cell-fig-season-coefs2"/>
    <w:tbl>
      <w:tblPr>
        <w:tblStyle w:val="Table"/>
        <w:tblW w:type="pct" w:w="5000"/>
        <w:tblLayout w:type="fixed"/>
        <w:tblLook w:firstRow="0" w:lastRow="0" w:firstColumn="0" w:lastColumn="0" w:noHBand="0" w:noVBand="0" w:val="0000"/>
      </w:tblPr>
      <w:tblGrid>
        <w:gridCol w:w="7920"/>
      </w:tblGrid>
      <w:tr>
        <w:tc>
          <w:tcPr/>
          <w:bookmarkStart w:id="86" w:name="fig-season-coefs2"/>
          <w:p>
            <w:pPr>
              <w:pStyle w:val="Compact"/>
              <w:jc w:val="center"/>
            </w:pPr>
            <w:r>
              <w:drawing>
                <wp:inline>
                  <wp:extent cx="4620126" cy="3696101"/>
                  <wp:effectExtent b="0" l="0" r="0" t="0"/>
                  <wp:docPr descr="" title="" id="84" name="Picture"/>
                  <a:graphic>
                    <a:graphicData uri="http://schemas.openxmlformats.org/drawingml/2006/picture">
                      <pic:pic>
                        <pic:nvPicPr>
                          <pic:cNvPr descr="index_files/figure-docx/fig-season-coefs2-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Estimated season-level fixed effects for percentage of arena capacity models.</w:t>
            </w:r>
          </w:p>
          <w:bookmarkEnd w:id="86"/>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87"/>
    <w:p>
      <w:pPr>
        <w:pStyle w:val="BodyText"/>
      </w:pPr>
      <w:hyperlink w:anchor="fig-season-slopes2">
        <w:r>
          <w:rPr>
            <w:rStyle w:val="Hyperlink"/>
          </w:rPr>
          <w:t xml:space="preserve">Figure 12</w:t>
        </w:r>
      </w:hyperlink>
      <w:r>
        <w:t xml:space="preserve"> </w:t>
      </w:r>
      <w:r>
        <w:t xml:space="preserve">shows that…</w:t>
      </w:r>
    </w:p>
    <w:bookmarkStart w:id="92" w:name="cell-fig-season-slopes2"/>
    <w:tbl>
      <w:tblPr>
        <w:tblStyle w:val="Table"/>
        <w:tblW w:type="pct" w:w="5000"/>
        <w:tblLayout w:type="fixed"/>
        <w:tblLook w:firstRow="0" w:lastRow="0" w:firstColumn="0" w:lastColumn="0" w:noHBand="0" w:noVBand="0" w:val="0000"/>
      </w:tblPr>
      <w:tblGrid>
        <w:gridCol w:w="7920"/>
      </w:tblGrid>
      <w:tr>
        <w:tc>
          <w:tcPr/>
          <w:bookmarkStart w:id="91" w:name="fig-season-slopes2"/>
          <w:p>
            <w:pPr>
              <w:pStyle w:val="Compact"/>
              <w:jc w:val="center"/>
            </w:pPr>
            <w:r>
              <w:drawing>
                <wp:inline>
                  <wp:extent cx="4620126" cy="3696101"/>
                  <wp:effectExtent b="0" l="0" r="0" t="0"/>
                  <wp:docPr descr="" title="" id="89" name="Picture"/>
                  <a:graphic>
                    <a:graphicData uri="http://schemas.openxmlformats.org/drawingml/2006/picture">
                      <pic:pic>
                        <pic:nvPicPr>
                          <pic:cNvPr descr="index_files/figure-docx/fig-season-slopes2-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season-level changes in slopes for percentage of arena capacity models.</w:t>
            </w:r>
          </w:p>
          <w:bookmarkEnd w:id="91"/>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92"/>
    <w:bookmarkEnd w:id="93"/>
    <w:bookmarkEnd w:id="94"/>
    <w:bookmarkStart w:id="98" w:name="conclusion"/>
    <w:p>
      <w:pPr>
        <w:pStyle w:val="Heading2"/>
      </w:pPr>
      <w:r>
        <w:t xml:space="preserve">5 Conclusion</w:t>
      </w:r>
    </w:p>
    <w:bookmarkStart w:id="95" w:name="limitations"/>
    <w:p>
      <w:pPr>
        <w:pStyle w:val="Heading3"/>
      </w:pPr>
      <w:r>
        <w:t xml:space="preserve">5.1 Limitations</w:t>
      </w:r>
    </w:p>
    <w:p>
      <w:pPr>
        <w:pStyle w:val="FirstParagraph"/>
      </w:pPr>
      <w:r>
        <w:t xml:space="preserve">Because the percentage of arena capacity data is right-censored, we considered a Tobit regression model</w:t>
      </w:r>
      <w:r>
        <w:t xml:space="preserve"> </w:t>
      </w:r>
      <w:r>
        <w:t xml:space="preserve">(McDonald and Moffitt 1980)</w:t>
      </w:r>
      <w:r>
        <w:t xml:space="preserve">, but our residuals violated the normality and homoskedasticity conditions.</w:t>
      </w:r>
      <w:r>
        <w:t xml:space="preserve"> </w:t>
      </w:r>
      <w:r>
        <w:t xml:space="preserve">We also considered fitting a Beta regression model with a logit link function, and converting the fixed effects for seasons to random effects, but those models didn’t converge.</w:t>
      </w:r>
    </w:p>
    <w:bookmarkEnd w:id="95"/>
    <w:bookmarkStart w:id="96" w:name="future-work"/>
    <w:p>
      <w:pPr>
        <w:pStyle w:val="Heading3"/>
      </w:pPr>
      <w:r>
        <w:t xml:space="preserve">5.2 Future work</w:t>
      </w:r>
    </w:p>
    <w:bookmarkEnd w:id="96"/>
    <w:bookmarkStart w:id="97" w:name="discussion"/>
    <w:p>
      <w:pPr>
        <w:pStyle w:val="Heading3"/>
      </w:pPr>
      <w:r>
        <w:t xml:space="preserve">5.3 Discussion</w:t>
      </w:r>
    </w:p>
    <w:bookmarkEnd w:id="97"/>
    <w:bookmarkEnd w:id="98"/>
    <w:bookmarkStart w:id="153" w:name="references"/>
    <w:p>
      <w:pPr>
        <w:pStyle w:val="Heading2"/>
      </w:pPr>
      <w:r>
        <w:t xml:space="preserve">References</w:t>
      </w:r>
    </w:p>
    <w:bookmarkStart w:id="152" w:name="refs"/>
    <w:bookmarkStart w:id="100" w:name="ref-AcrossTheTimeline_WNBA_Attendance"/>
    <w:p>
      <w:pPr>
        <w:pStyle w:val="Bibliography"/>
      </w:pPr>
      <w:r>
        <w:t xml:space="preserve">Across the Timeline. n.d.</w:t>
      </w:r>
      <w:r>
        <w:t xml:space="preserve"> </w:t>
      </w:r>
      <w:r>
        <w:rPr>
          <w:i/>
          <w:iCs/>
        </w:rPr>
        <w:t xml:space="preserve">WNBA Attendance — Across the Timeline</w:t>
      </w:r>
      <w:r>
        <w:t xml:space="preserve">. Across the Timeline;</w:t>
      </w:r>
      <w:r>
        <w:t xml:space="preserve"> </w:t>
      </w:r>
      <w:hyperlink r:id="rId99">
        <w:r>
          <w:rPr>
            <w:rStyle w:val="Hyperlink"/>
          </w:rPr>
          <w:t xml:space="preserve">https://www.acrossthetimeline.com/wnba/attendance.html</w:t>
        </w:r>
      </w:hyperlink>
      <w:r>
        <w:t xml:space="preserve">.</w:t>
      </w:r>
      <w:r>
        <w:t xml:space="preserve"> </w:t>
      </w:r>
      <w:hyperlink r:id="rId99">
        <w:r>
          <w:rPr>
            <w:rStyle w:val="Hyperlink"/>
          </w:rPr>
          <w:t xml:space="preserve">https://www.acrossthetimeline.com/wnba/attendance.html</w:t>
        </w:r>
      </w:hyperlink>
      <w:r>
        <w:t xml:space="preserve">.</w:t>
      </w:r>
    </w:p>
    <w:bookmarkEnd w:id="100"/>
    <w:bookmarkStart w:id="102" w:name="ref-baade1990analysis"/>
    <w:p>
      <w:pPr>
        <w:pStyle w:val="Bibliography"/>
      </w:pPr>
      <w:r>
        <w:t xml:space="preserve">Baade, Robert A, and Laura J Tiehen. 1990.</w:t>
      </w:r>
      <w:r>
        <w:t xml:space="preserve"> </w:t>
      </w:r>
      <w:r>
        <w:t xml:space="preserve">“An Analysis of Major League Baseball Attendance, 1969-1987.”</w:t>
      </w:r>
      <w:r>
        <w:t xml:space="preserve"> </w:t>
      </w:r>
      <w:r>
        <w:rPr>
          <w:i/>
          <w:iCs/>
        </w:rPr>
        <w:t xml:space="preserve">Journal of Sport and Social Issues</w:t>
      </w:r>
      <w:r>
        <w:t xml:space="preserve"> </w:t>
      </w:r>
      <w:r>
        <w:t xml:space="preserve">14 (1): 14–32.</w:t>
      </w:r>
      <w:r>
        <w:t xml:space="preserve"> </w:t>
      </w:r>
      <w:hyperlink r:id="rId101">
        <w:r>
          <w:rPr>
            <w:rStyle w:val="Hyperlink"/>
          </w:rPr>
          <w:t xml:space="preserve">https://doi.org/10.1177/019372359001400102</w:t>
        </w:r>
      </w:hyperlink>
      <w:r>
        <w:t xml:space="preserve">.</w:t>
      </w:r>
    </w:p>
    <w:bookmarkEnd w:id="102"/>
    <w:bookmarkStart w:id="104" w:name="ref-clapp2005long"/>
    <w:p>
      <w:pPr>
        <w:pStyle w:val="Bibliography"/>
      </w:pPr>
      <w:r>
        <w:t xml:space="preserve">Clapp, Christopher M, and Jahn K Hakes. 2005.</w:t>
      </w:r>
      <w:r>
        <w:t xml:space="preserve"> </w:t>
      </w:r>
      <w:r>
        <w:t xml:space="preserve">“How Long a Honeymoon? The Effect of New Stadiums on Attendance in Major League Baseball.”</w:t>
      </w:r>
      <w:r>
        <w:t xml:space="preserve"> </w:t>
      </w:r>
      <w:r>
        <w:rPr>
          <w:i/>
          <w:iCs/>
        </w:rPr>
        <w:t xml:space="preserve">Journal of Sports Economics</w:t>
      </w:r>
      <w:r>
        <w:t xml:space="preserve"> </w:t>
      </w:r>
      <w:r>
        <w:t xml:space="preserve">6 (3): 237–63.</w:t>
      </w:r>
      <w:r>
        <w:t xml:space="preserve"> </w:t>
      </w:r>
      <w:hyperlink r:id="rId103">
        <w:r>
          <w:rPr>
            <w:rStyle w:val="Hyperlink"/>
          </w:rPr>
          <w:t xml:space="preserve">https://doi.org/10.1177/1527002504265957</w:t>
        </w:r>
      </w:hyperlink>
      <w:r>
        <w:t xml:space="preserve">.</w:t>
      </w:r>
    </w:p>
    <w:bookmarkEnd w:id="104"/>
    <w:bookmarkStart w:id="106" w:name="ref-CoatesHumphreysZhou2014"/>
    <w:p>
      <w:pPr>
        <w:pStyle w:val="Bibliography"/>
      </w:pPr>
      <w:r>
        <w:t xml:space="preserve">Coates, Dennis, Brad R. Humphreys, and Li Zhou. 2014.</w:t>
      </w:r>
      <w:r>
        <w:t xml:space="preserve"> </w:t>
      </w:r>
      <w:r>
        <w:t xml:space="preserve">“Reference-Dependent Preferences, Loss Aversion, and Live Game Attendance.”</w:t>
      </w:r>
      <w:r>
        <w:t xml:space="preserve"> </w:t>
      </w:r>
      <w:r>
        <w:rPr>
          <w:i/>
          <w:iCs/>
        </w:rPr>
        <w:t xml:space="preserve">Economic Inquiry</w:t>
      </w:r>
      <w:r>
        <w:t xml:space="preserve"> </w:t>
      </w:r>
      <w:r>
        <w:t xml:space="preserve">52 (3): 959–73.</w:t>
      </w:r>
      <w:r>
        <w:t xml:space="preserve"> </w:t>
      </w:r>
      <w:hyperlink r:id="rId105">
        <w:r>
          <w:rPr>
            <w:rStyle w:val="Hyperlink"/>
          </w:rPr>
          <w:t xml:space="preserve">https://doi.org/10.1111/ecin.12061</w:t>
        </w:r>
      </w:hyperlink>
      <w:r>
        <w:t xml:space="preserve">.</w:t>
      </w:r>
    </w:p>
    <w:bookmarkEnd w:id="106"/>
    <w:bookmarkStart w:id="108" w:name="ref-davis2008interaction"/>
    <w:p>
      <w:pPr>
        <w:pStyle w:val="Bibliography"/>
      </w:pPr>
      <w:r>
        <w:t xml:space="preserve">Davis, Michael C. 2008.</w:t>
      </w:r>
      <w:r>
        <w:t xml:space="preserve"> </w:t>
      </w:r>
      <w:r>
        <w:t xml:space="preserve">“The Interaction Between Baseball Attendance and Winning Percentage: A VAR Analysis.”</w:t>
      </w:r>
      <w:r>
        <w:t xml:space="preserve"> </w:t>
      </w:r>
      <w:r>
        <w:rPr>
          <w:i/>
          <w:iCs/>
        </w:rPr>
        <w:t xml:space="preserve">International Journal of Sport Finance</w:t>
      </w:r>
      <w:r>
        <w:t xml:space="preserve"> </w:t>
      </w:r>
      <w:r>
        <w:t xml:space="preserve">3 (1): 58–73.</w:t>
      </w:r>
      <w:r>
        <w:t xml:space="preserve"> </w:t>
      </w:r>
      <w:hyperlink r:id="rId107">
        <w:r>
          <w:rPr>
            <w:rStyle w:val="Hyperlink"/>
          </w:rPr>
          <w:t xml:space="preserve">https://doi.org/10.1177/155862350800300105</w:t>
        </w:r>
      </w:hyperlink>
      <w:r>
        <w:t xml:space="preserve">.</w:t>
      </w:r>
    </w:p>
    <w:bookmarkEnd w:id="108"/>
    <w:bookmarkStart w:id="110" w:name="ref-davis2009analyzing"/>
    <w:p>
      <w:pPr>
        <w:pStyle w:val="Bibliography"/>
      </w:pPr>
      <w:r>
        <w:t xml:space="preserve">Davis, Michael C. 2009.</w:t>
      </w:r>
      <w:r>
        <w:t xml:space="preserve"> </w:t>
      </w:r>
      <w:r>
        <w:t xml:space="preserve">“Analyzing the Relationship Between Team Success and MLB Attendance with GARCH Effects.”</w:t>
      </w:r>
      <w:r>
        <w:t xml:space="preserve"> </w:t>
      </w:r>
      <w:r>
        <w:rPr>
          <w:i/>
          <w:iCs/>
        </w:rPr>
        <w:t xml:space="preserve">Journal of Sports Economics</w:t>
      </w:r>
      <w:r>
        <w:t xml:space="preserve"> </w:t>
      </w:r>
      <w:r>
        <w:t xml:space="preserve">10 (1): 44–58.</w:t>
      </w:r>
      <w:r>
        <w:t xml:space="preserve"> </w:t>
      </w:r>
      <w:hyperlink r:id="rId109">
        <w:r>
          <w:rPr>
            <w:rStyle w:val="Hyperlink"/>
          </w:rPr>
          <w:t xml:space="preserve">https://doi.org/10.1177/1527002508327387</w:t>
        </w:r>
      </w:hyperlink>
      <w:r>
        <w:t xml:space="preserve">.</w:t>
      </w:r>
    </w:p>
    <w:bookmarkEnd w:id="110"/>
    <w:bookmarkStart w:id="112" w:name="ref-delia2020psychological"/>
    <w:p>
      <w:pPr>
        <w:pStyle w:val="Bibliography"/>
      </w:pPr>
      <w:r>
        <w:t xml:space="preserve">Delia, Elizabeth B. 2020.</w:t>
      </w:r>
      <w:r>
        <w:t xml:space="preserve"> </w:t>
      </w:r>
      <w:r>
        <w:t xml:space="preserve">“The Psychological Meaning of Team Among Fans of Women’s Sport.”</w:t>
      </w:r>
      <w:r>
        <w:t xml:space="preserve"> </w:t>
      </w:r>
      <w:r>
        <w:rPr>
          <w:i/>
          <w:iCs/>
        </w:rPr>
        <w:t xml:space="preserve">Journal of Sport Management</w:t>
      </w:r>
      <w:r>
        <w:t xml:space="preserve"> </w:t>
      </w:r>
      <w:r>
        <w:t xml:space="preserve">34 (6): 579–90.</w:t>
      </w:r>
      <w:r>
        <w:t xml:space="preserve"> </w:t>
      </w:r>
      <w:hyperlink r:id="rId111">
        <w:r>
          <w:rPr>
            <w:rStyle w:val="Hyperlink"/>
          </w:rPr>
          <w:t xml:space="preserve">https://doi.org/10.1123/jsm.2019-0404</w:t>
        </w:r>
      </w:hyperlink>
      <w:r>
        <w:t xml:space="preserve">.</w:t>
      </w:r>
    </w:p>
    <w:bookmarkEnd w:id="112"/>
    <w:bookmarkStart w:id="114" w:name="ref-deschriver2002determinants"/>
    <w:p>
      <w:pPr>
        <w:pStyle w:val="Bibliography"/>
      </w:pPr>
      <w:r>
        <w:t xml:space="preserve">DeSchriver, Timothy D, and Paul E Jensen. 2002.</w:t>
      </w:r>
      <w:r>
        <w:t xml:space="preserve"> </w:t>
      </w:r>
      <w:r>
        <w:t xml:space="preserve">“Determinants of Spectator Attendance at NCAA Division II Football Contests.”</w:t>
      </w:r>
      <w:r>
        <w:t xml:space="preserve"> </w:t>
      </w:r>
      <w:r>
        <w:rPr>
          <w:i/>
          <w:iCs/>
        </w:rPr>
        <w:t xml:space="preserve">Journal of Sport Management</w:t>
      </w:r>
      <w:r>
        <w:t xml:space="preserve"> </w:t>
      </w:r>
      <w:r>
        <w:t xml:space="preserve">16 (4): 311–30.</w:t>
      </w:r>
      <w:r>
        <w:t xml:space="preserve"> </w:t>
      </w:r>
      <w:hyperlink r:id="rId113">
        <w:r>
          <w:rPr>
            <w:rStyle w:val="Hyperlink"/>
          </w:rPr>
          <w:t xml:space="preserve">https://doi.org/10.1123/jsm.16.4.311</w:t>
        </w:r>
      </w:hyperlink>
      <w:r>
        <w:t xml:space="preserve">.</w:t>
      </w:r>
    </w:p>
    <w:bookmarkEnd w:id="114"/>
    <w:bookmarkStart w:id="115" w:name="ref-Elo1978"/>
    <w:p>
      <w:pPr>
        <w:pStyle w:val="Bibliography"/>
      </w:pPr>
      <w:r>
        <w:t xml:space="preserve">Elo, A. E. 1978.</w:t>
      </w:r>
      <w:r>
        <w:t xml:space="preserve"> </w:t>
      </w:r>
      <w:r>
        <w:rPr>
          <w:i/>
          <w:iCs/>
        </w:rPr>
        <w:t xml:space="preserve">The Rating of Chessplayers, Past and Present</w:t>
      </w:r>
      <w:r>
        <w:t xml:space="preserve">. New York: Arco Publishing.</w:t>
      </w:r>
    </w:p>
    <w:bookmarkEnd w:id="115"/>
    <w:bookmarkStart w:id="117" w:name="ref-garcia2020betting"/>
    <w:p>
      <w:pPr>
        <w:pStyle w:val="Bibliography"/>
      </w:pPr>
      <w:r>
        <w:t xml:space="preserve">Garcia, Christopher. 2020.</w:t>
      </w:r>
      <w:r>
        <w:t xml:space="preserve"> </w:t>
      </w:r>
      <w:r>
        <w:t xml:space="preserve">“"Betting on Women": A Feminist Political Economic Critique of Ideological Sports Narratives Surrounding the WNBA.”</w:t>
      </w:r>
      <w:r>
        <w:t xml:space="preserve"> </w:t>
      </w:r>
      <w:r>
        <w:rPr>
          <w:i/>
          <w:iCs/>
        </w:rPr>
        <w:t xml:space="preserve">The Political Economy of Communication</w:t>
      </w:r>
      <w:r>
        <w:t xml:space="preserve"> </w:t>
      </w:r>
      <w:r>
        <w:t xml:space="preserve">8 (1).</w:t>
      </w:r>
      <w:r>
        <w:t xml:space="preserve"> </w:t>
      </w:r>
      <w:hyperlink r:id="rId116">
        <w:r>
          <w:rPr>
            <w:rStyle w:val="Hyperlink"/>
          </w:rPr>
          <w:t xml:space="preserve">https://polecom.org/index.php/polecom/article/view/119</w:t>
        </w:r>
      </w:hyperlink>
      <w:r>
        <w:t xml:space="preserve">.</w:t>
      </w:r>
    </w:p>
    <w:bookmarkEnd w:id="117"/>
    <w:bookmarkStart w:id="119" w:name="ref-hutchinson_gilani_2021_wehoop"/>
    <w:p>
      <w:pPr>
        <w:pStyle w:val="Bibliography"/>
      </w:pPr>
      <w:r>
        <w:t xml:space="preserve">Gilani, Saiem, and Geoffery Hutchinson. 2021.</w:t>
      </w:r>
      <w:r>
        <w:t xml:space="preserve"> </w:t>
      </w:r>
      <w:r>
        <w:t xml:space="preserve">“Wehoop: Access Women’s Basketball Play by Play Data.”</w:t>
      </w:r>
      <w:r>
        <w:t xml:space="preserve"> </w:t>
      </w:r>
      <w:r>
        <w:t xml:space="preserve">In</w:t>
      </w:r>
      <w:r>
        <w:t xml:space="preserve"> </w:t>
      </w:r>
      <w:r>
        <w:rPr>
          <w:i/>
          <w:iCs/>
        </w:rPr>
        <w:t xml:space="preserve">CRAN: Contributed Packages</w:t>
      </w:r>
      <w:r>
        <w:t xml:space="preserve">. The R Foundation.</w:t>
      </w:r>
      <w:r>
        <w:t xml:space="preserve"> </w:t>
      </w:r>
      <w:hyperlink r:id="rId118">
        <w:r>
          <w:rPr>
            <w:rStyle w:val="Hyperlink"/>
          </w:rPr>
          <w:t xml:space="preserve">https://doi.org/10.32614/cran.package.wehoop</w:t>
        </w:r>
      </w:hyperlink>
      <w:r>
        <w:t xml:space="preserve">.</w:t>
      </w:r>
    </w:p>
    <w:bookmarkEnd w:id="119"/>
    <w:bookmarkStart w:id="121" w:name="ref-guest2018fan"/>
    <w:p>
      <w:pPr>
        <w:pStyle w:val="Bibliography"/>
      </w:pPr>
      <w:r>
        <w:t xml:space="preserve">Guest, Andrew M, and Anne Luijten. 2018.</w:t>
      </w:r>
      <w:r>
        <w:t xml:space="preserve"> </w:t>
      </w:r>
      <w:r>
        <w:t xml:space="preserve">“Fan Culture and Motivation in the Context of Successful Women’s Professional Team Sports: A Mixed-Methods Case Study of Portland Thorns Fandom.”</w:t>
      </w:r>
      <w:r>
        <w:t xml:space="preserve"> </w:t>
      </w:r>
      <w:r>
        <w:rPr>
          <w:i/>
          <w:iCs/>
        </w:rPr>
        <w:t xml:space="preserve">Sport in Society</w:t>
      </w:r>
      <w:r>
        <w:t xml:space="preserve"> </w:t>
      </w:r>
      <w:r>
        <w:t xml:space="preserve">21 (7): 1013–30.</w:t>
      </w:r>
      <w:r>
        <w:t xml:space="preserve"> </w:t>
      </w:r>
      <w:hyperlink r:id="rId120">
        <w:r>
          <w:rPr>
            <w:rStyle w:val="Hyperlink"/>
          </w:rPr>
          <w:t xml:space="preserve">https://doi.org/10.1080/17430437.2017.1346620</w:t>
        </w:r>
      </w:hyperlink>
      <w:r>
        <w:t xml:space="preserve">.</w:t>
      </w:r>
    </w:p>
    <w:bookmarkEnd w:id="121"/>
    <w:bookmarkStart w:id="123" w:name="ref-hall2002testing"/>
    <w:p>
      <w:pPr>
        <w:pStyle w:val="Bibliography"/>
      </w:pPr>
      <w:r>
        <w:t xml:space="preserve">Hall, Stephen, Stefan Szymanski, and Andrew S Zimbalist. 2002.</w:t>
      </w:r>
      <w:r>
        <w:t xml:space="preserve"> </w:t>
      </w:r>
      <w:r>
        <w:t xml:space="preserve">“Testing Causality Between Team Performance and Payroll: The Cases of Major League Baseball and English Soccer.”</w:t>
      </w:r>
      <w:r>
        <w:t xml:space="preserve"> </w:t>
      </w:r>
      <w:r>
        <w:rPr>
          <w:i/>
          <w:iCs/>
        </w:rPr>
        <w:t xml:space="preserve">Journal of Sports Economics</w:t>
      </w:r>
      <w:r>
        <w:t xml:space="preserve"> </w:t>
      </w:r>
      <w:r>
        <w:t xml:space="preserve">3 (2): 149–68.</w:t>
      </w:r>
      <w:r>
        <w:t xml:space="preserve"> </w:t>
      </w:r>
      <w:hyperlink r:id="rId122">
        <w:r>
          <w:rPr>
            <w:rStyle w:val="Hyperlink"/>
          </w:rPr>
          <w:t xml:space="preserve">https://doi.org/10.1177/152700250200300204</w:t>
        </w:r>
      </w:hyperlink>
      <w:r>
        <w:t xml:space="preserve">.</w:t>
      </w:r>
    </w:p>
    <w:bookmarkEnd w:id="123"/>
    <w:bookmarkStart w:id="125" w:name="ref-horowitz2007if"/>
    <w:p>
      <w:pPr>
        <w:pStyle w:val="Bibliography"/>
      </w:pPr>
      <w:r>
        <w:t xml:space="preserve">Horowitz, Ira. 2007.</w:t>
      </w:r>
      <w:r>
        <w:t xml:space="preserve"> </w:t>
      </w:r>
      <w:r>
        <w:t xml:space="preserve">“If You Play Well They Will Come-and Vice Versa: Bidirectional Causality in Major-League Baseball.”</w:t>
      </w:r>
      <w:r>
        <w:t xml:space="preserve"> </w:t>
      </w:r>
      <w:r>
        <w:rPr>
          <w:i/>
          <w:iCs/>
        </w:rPr>
        <w:t xml:space="preserve">Managerial and Decision Economics</w:t>
      </w:r>
      <w:r>
        <w:t xml:space="preserve"> </w:t>
      </w:r>
      <w:r>
        <w:t xml:space="preserve">28 (2): 93–105.</w:t>
      </w:r>
      <w:r>
        <w:t xml:space="preserve"> </w:t>
      </w:r>
      <w:hyperlink r:id="rId124">
        <w:r>
          <w:rPr>
            <w:rStyle w:val="Hyperlink"/>
          </w:rPr>
          <w:t xml:space="preserve">https://doi.org/10.1002/mde.1308</w:t>
        </w:r>
      </w:hyperlink>
      <w:r>
        <w:t xml:space="preserve">.</w:t>
      </w:r>
    </w:p>
    <w:bookmarkEnd w:id="125"/>
    <w:bookmarkStart w:id="127" w:name="ref-kim2023winning"/>
    <w:p>
      <w:pPr>
        <w:pStyle w:val="Bibliography"/>
      </w:pPr>
      <w:r>
        <w:t xml:space="preserve">Kim, Rhino, and Sue Ryung Chang. 2023.</w:t>
      </w:r>
      <w:r>
        <w:t xml:space="preserve"> </w:t>
      </w:r>
      <w:r>
        <w:t xml:space="preserve">“Winning Back Attendance: Effects of Winning Performance, Online Search, and the MLB Rule Changes for More Dynamic Games.”</w:t>
      </w:r>
      <w:r>
        <w:t xml:space="preserve"> </w:t>
      </w:r>
      <w:r>
        <w:rPr>
          <w:i/>
          <w:iCs/>
        </w:rPr>
        <w:t xml:space="preserve">Asia Marketing Journal</w:t>
      </w:r>
      <w:r>
        <w:t xml:space="preserve"> </w:t>
      </w:r>
      <w:r>
        <w:t xml:space="preserve">25 (3): 148–59.</w:t>
      </w:r>
      <w:r>
        <w:t xml:space="preserve"> </w:t>
      </w:r>
      <w:hyperlink r:id="rId126">
        <w:r>
          <w:rPr>
            <w:rStyle w:val="Hyperlink"/>
          </w:rPr>
          <w:t xml:space="preserve">https://doi.org/10.53728/2765-6500.1616</w:t>
        </w:r>
      </w:hyperlink>
      <w:r>
        <w:t xml:space="preserve">.</w:t>
      </w:r>
    </w:p>
    <w:bookmarkEnd w:id="127"/>
    <w:bookmarkStart w:id="129" w:name="ref-lemke2010estimating"/>
    <w:p>
      <w:pPr>
        <w:pStyle w:val="Bibliography"/>
      </w:pPr>
      <w:r>
        <w:t xml:space="preserve">Lemke, Robert J, Matthew Leonard, and Kelebogile Tlhokwane. 2010.</w:t>
      </w:r>
      <w:r>
        <w:t xml:space="preserve"> </w:t>
      </w:r>
      <w:r>
        <w:t xml:space="preserve">“Estimating Attendance at Major League Baseball Games for the 2007 Season.”</w:t>
      </w:r>
      <w:r>
        <w:t xml:space="preserve"> </w:t>
      </w:r>
      <w:r>
        <w:rPr>
          <w:i/>
          <w:iCs/>
        </w:rPr>
        <w:t xml:space="preserve">Journal of Sports Economics</w:t>
      </w:r>
      <w:r>
        <w:t xml:space="preserve"> </w:t>
      </w:r>
      <w:r>
        <w:t xml:space="preserve">11 (3): 316–48.</w:t>
      </w:r>
      <w:r>
        <w:t xml:space="preserve"> </w:t>
      </w:r>
      <w:hyperlink r:id="rId128">
        <w:r>
          <w:rPr>
            <w:rStyle w:val="Hyperlink"/>
          </w:rPr>
          <w:t xml:space="preserve">https://doi.org/10.1177/1527002509337212</w:t>
        </w:r>
      </w:hyperlink>
      <w:r>
        <w:t xml:space="preserve">.</w:t>
      </w:r>
    </w:p>
    <w:bookmarkEnd w:id="129"/>
    <w:bookmarkStart w:id="131" w:name="ref-leslie2022football"/>
    <w:p>
      <w:pPr>
        <w:pStyle w:val="Bibliography"/>
      </w:pPr>
      <w:r>
        <w:t xml:space="preserve">Leslie-Walker, Anika, and Claire Mulvenna. 2022.</w:t>
      </w:r>
      <w:r>
        <w:t xml:space="preserve"> </w:t>
      </w:r>
      <w:r>
        <w:t xml:space="preserve">“The Football Association’s Women’s Super League and Female Soccer Fans: Fan Engagement and the Importance of Supporter Clubs.”</w:t>
      </w:r>
      <w:r>
        <w:t xml:space="preserve"> </w:t>
      </w:r>
      <w:r>
        <w:rPr>
          <w:i/>
          <w:iCs/>
        </w:rPr>
        <w:t xml:space="preserve">Soccer &amp; Society</w:t>
      </w:r>
      <w:r>
        <w:t xml:space="preserve"> </w:t>
      </w:r>
      <w:r>
        <w:t xml:space="preserve">23 (3): 314–27.</w:t>
      </w:r>
      <w:r>
        <w:t xml:space="preserve"> </w:t>
      </w:r>
      <w:hyperlink r:id="rId130">
        <w:r>
          <w:rPr>
            <w:rStyle w:val="Hyperlink"/>
          </w:rPr>
          <w:t xml:space="preserve">https://doi.org/10.1080/14660970.2022.2037218</w:t>
        </w:r>
      </w:hyperlink>
      <w:r>
        <w:t xml:space="preserve">.</w:t>
      </w:r>
    </w:p>
    <w:bookmarkEnd w:id="131"/>
    <w:bookmarkStart w:id="133" w:name="ref-mackinnon1985some"/>
    <w:p>
      <w:pPr>
        <w:pStyle w:val="Bibliography"/>
      </w:pPr>
      <w:r>
        <w:t xml:space="preserve">MacKinnon, James G, and Halbert White. 1985.</w:t>
      </w:r>
      <w:r>
        <w:t xml:space="preserve"> </w:t>
      </w:r>
      <w:r>
        <w:t xml:space="preserve">“Some Heteroskedasticity-Consistent Covariance Matrix Estimators with Improved Finite Sample Properties.”</w:t>
      </w:r>
      <w:r>
        <w:t xml:space="preserve"> </w:t>
      </w:r>
      <w:r>
        <w:rPr>
          <w:i/>
          <w:iCs/>
        </w:rPr>
        <w:t xml:space="preserve">Journal of Econometrics</w:t>
      </w:r>
      <w:r>
        <w:t xml:space="preserve"> </w:t>
      </w:r>
      <w:r>
        <w:t xml:space="preserve">29 (3): 305–25.</w:t>
      </w:r>
      <w:r>
        <w:t xml:space="preserve"> </w:t>
      </w:r>
      <w:hyperlink r:id="rId132">
        <w:r>
          <w:rPr>
            <w:rStyle w:val="Hyperlink"/>
          </w:rPr>
          <w:t xml:space="preserve">https://doi.org/10.1016/0304-4076(85)90158-7</w:t>
        </w:r>
      </w:hyperlink>
      <w:r>
        <w:t xml:space="preserve">.</w:t>
      </w:r>
    </w:p>
    <w:bookmarkEnd w:id="133"/>
    <w:bookmarkStart w:id="135" w:name="ref-mcdonald1980uses"/>
    <w:p>
      <w:pPr>
        <w:pStyle w:val="Bibliography"/>
      </w:pPr>
      <w:r>
        <w:t xml:space="preserve">McDonald, John F, and Robert A Moffitt. 1980.</w:t>
      </w:r>
      <w:r>
        <w:t xml:space="preserve"> </w:t>
      </w:r>
      <w:r>
        <w:t xml:space="preserve">“The Uses of</w:t>
      </w:r>
      <w:r>
        <w:t xml:space="preserve"> </w:t>
      </w:r>
      <w:r>
        <w:t xml:space="preserve">Tobit</w:t>
      </w:r>
      <w:r>
        <w:t xml:space="preserve"> </w:t>
      </w:r>
      <w:r>
        <w:t xml:space="preserve">Analysis.”</w:t>
      </w:r>
      <w:r>
        <w:t xml:space="preserve"> </w:t>
      </w:r>
      <w:r>
        <w:rPr>
          <w:i/>
          <w:iCs/>
        </w:rPr>
        <w:t xml:space="preserve">The Review of Economics and Statistics</w:t>
      </w:r>
      <w:r>
        <w:t xml:space="preserve">, 318–21.</w:t>
      </w:r>
      <w:r>
        <w:t xml:space="preserve"> </w:t>
      </w:r>
      <w:hyperlink r:id="rId134">
        <w:r>
          <w:rPr>
            <w:rStyle w:val="Hyperlink"/>
          </w:rPr>
          <w:t xml:space="preserve">https://www.jstor.org/stable/1924766</w:t>
        </w:r>
      </w:hyperlink>
      <w:r>
        <w:t xml:space="preserve">.</w:t>
      </w:r>
    </w:p>
    <w:bookmarkEnd w:id="135"/>
    <w:bookmarkStart w:id="136" w:name="ref-noll1974attendance"/>
    <w:p>
      <w:pPr>
        <w:pStyle w:val="Bibliography"/>
      </w:pPr>
      <w:r>
        <w:t xml:space="preserve">Noll, Roger G. 1974.</w:t>
      </w:r>
      <w:r>
        <w:t xml:space="preserve"> </w:t>
      </w:r>
      <w:r>
        <w:rPr>
          <w:i/>
          <w:iCs/>
        </w:rPr>
        <w:t xml:space="preserve">Attendance and Price Setting</w:t>
      </w:r>
      <w:r>
        <w:t xml:space="preserve">. The Brookings Institution.</w:t>
      </w:r>
    </w:p>
    <w:bookmarkEnd w:id="136"/>
    <w:bookmarkStart w:id="138" w:name="ref-papke1996econometric"/>
    <w:p>
      <w:pPr>
        <w:pStyle w:val="Bibliography"/>
      </w:pPr>
      <w:r>
        <w:t xml:space="preserve">Papke, Leslie E, and Jeffrey M Wooldridge. 1996.</w:t>
      </w:r>
      <w:r>
        <w:t xml:space="preserve"> </w:t>
      </w:r>
      <w:r>
        <w:t xml:space="preserve">“Econometric Methods for Fractional Response Variables with an Application to 401 (k) Plan Participation Rates.”</w:t>
      </w:r>
      <w:r>
        <w:t xml:space="preserve"> </w:t>
      </w:r>
      <w:r>
        <w:rPr>
          <w:i/>
          <w:iCs/>
        </w:rPr>
        <w:t xml:space="preserve">Journal of Applied Econometrics</w:t>
      </w:r>
      <w:r>
        <w:t xml:space="preserve"> </w:t>
      </w:r>
      <w:r>
        <w:t xml:space="preserve">11 (6): 619–32.</w:t>
      </w:r>
      <w:r>
        <w:t xml:space="preserve"> </w:t>
      </w:r>
      <w:hyperlink r:id="rId137">
        <w:r>
          <w:rPr>
            <w:rStyle w:val="Hyperlink"/>
          </w:rPr>
          <w:t xml:space="preserve">https://doi.org/10.1002/(SICI)1099-1255(199611)11:6&lt;619::AID-JAE418&gt;3.0.CO;2-1</w:t>
        </w:r>
      </w:hyperlink>
      <w:r>
        <w:t xml:space="preserve">.</w:t>
      </w:r>
    </w:p>
    <w:bookmarkEnd w:id="138"/>
    <w:bookmarkStart w:id="140" w:name="ref-paul2019attendance"/>
    <w:p>
      <w:pPr>
        <w:pStyle w:val="Bibliography"/>
      </w:pPr>
      <w:r>
        <w:t xml:space="preserve">Paul, Rodney, Andrew Weinbach, and Nick Riccardi. 2019.</w:t>
      </w:r>
      <w:r>
        <w:t xml:space="preserve"> </w:t>
      </w:r>
      <w:r>
        <w:t xml:space="preserve">“Attendance in the Canadian Hockey League: The Impact of Winning, Fighting, Uncertainty of Outcome, and Weather on Junior Hockey Attendance.”</w:t>
      </w:r>
      <w:r>
        <w:t xml:space="preserve"> </w:t>
      </w:r>
      <w:r>
        <w:rPr>
          <w:i/>
          <w:iCs/>
        </w:rPr>
        <w:t xml:space="preserve">International Journal of Financial Studies</w:t>
      </w:r>
      <w:r>
        <w:t xml:space="preserve"> </w:t>
      </w:r>
      <w:r>
        <w:t xml:space="preserve">7 (1): 12.</w:t>
      </w:r>
      <w:r>
        <w:t xml:space="preserve"> </w:t>
      </w:r>
      <w:hyperlink r:id="rId139">
        <w:r>
          <w:rPr>
            <w:rStyle w:val="Hyperlink"/>
          </w:rPr>
          <w:t xml:space="preserve">https://doi.org/10.3390/ijfs7010012</w:t>
        </w:r>
      </w:hyperlink>
      <w:r>
        <w:t xml:space="preserve">.</w:t>
      </w:r>
    </w:p>
    <w:bookmarkEnd w:id="140"/>
    <w:bookmarkStart w:id="141" w:name="ref-PerlineNobleStoldt2018"/>
    <w:p>
      <w:pPr>
        <w:pStyle w:val="Bibliography"/>
      </w:pPr>
      <w:r>
        <w:t xml:space="preserve">Perline, Martin M., Jeffrey S. Noble, and G. Clayton Stoldt. 2018.</w:t>
      </w:r>
      <w:r>
        <w:t xml:space="preserve"> </w:t>
      </w:r>
      <w:r>
        <w:t xml:space="preserve">“Competitive Balance in NCAA</w:t>
      </w:r>
      <w:r>
        <w:t xml:space="preserve"> </w:t>
      </w:r>
      <w:r>
        <w:t xml:space="preserve">‘Power Conferences:’</w:t>
      </w:r>
      <w:r>
        <w:t xml:space="preserve"> </w:t>
      </w:r>
      <w:r>
        <w:t xml:space="preserve">The Case of Men’s and Women’s Basketball.”</w:t>
      </w:r>
      <w:r>
        <w:t xml:space="preserve"> </w:t>
      </w:r>
      <w:r>
        <w:rPr>
          <w:i/>
          <w:iCs/>
        </w:rPr>
        <w:t xml:space="preserve">The Sport Journal</w:t>
      </w:r>
      <w:r>
        <w:t xml:space="preserve"> </w:t>
      </w:r>
      <w:r>
        <w:t xml:space="preserve">21.</w:t>
      </w:r>
    </w:p>
    <w:bookmarkEnd w:id="141"/>
    <w:bookmarkStart w:id="142" w:name="ref-vrooman2012theory"/>
    <w:p>
      <w:pPr>
        <w:pStyle w:val="Bibliography"/>
      </w:pPr>
      <w:r>
        <w:t xml:space="preserve">Vrooman, John. 2012.</w:t>
      </w:r>
      <w:r>
        <w:t xml:space="preserve"> </w:t>
      </w:r>
      <w:r>
        <w:rPr>
          <w:i/>
          <w:iCs/>
        </w:rPr>
        <w:t xml:space="preserve">Theory of the Big Dance: The Playoff Pay-Off in Pro Sports Leagues</w:t>
      </w:r>
      <w:r>
        <w:t xml:space="preserve">. New York, NY: Oxford University Press.</w:t>
      </w:r>
    </w:p>
    <w:bookmarkEnd w:id="142"/>
    <w:bookmarkStart w:id="144" w:name="ref-wasserstein2016asa"/>
    <w:p>
      <w:pPr>
        <w:pStyle w:val="Bibliography"/>
      </w:pPr>
      <w:r>
        <w:t xml:space="preserve">Wasserstein, Ronald L, and Nicole A Lazar. 2016.</w:t>
      </w:r>
      <w:r>
        <w:t xml:space="preserve"> </w:t>
      </w:r>
      <w:r>
        <w:t xml:space="preserve">“The ASA Statement on p-Values: Context, Process, and Purpose.”</w:t>
      </w:r>
      <w:r>
        <w:t xml:space="preserve"> </w:t>
      </w:r>
      <w:r>
        <w:t xml:space="preserve">In</w:t>
      </w:r>
      <w:r>
        <w:t xml:space="preserve"> </w:t>
      </w:r>
      <w:r>
        <w:rPr>
          <w:i/>
          <w:iCs/>
        </w:rPr>
        <w:t xml:space="preserve">The American Statistician</w:t>
      </w:r>
      <w:r>
        <w:t xml:space="preserve">, No. 2, vol. 70. Taylor &amp; Francis.</w:t>
      </w:r>
      <w:r>
        <w:t xml:space="preserve"> </w:t>
      </w:r>
      <w:hyperlink r:id="rId143">
        <w:r>
          <w:rPr>
            <w:rStyle w:val="Hyperlink"/>
          </w:rPr>
          <w:t xml:space="preserve">https://doi.org/10.1080/00031305.2016.1154108</w:t>
        </w:r>
      </w:hyperlink>
      <w:r>
        <w:t xml:space="preserve">.</w:t>
      </w:r>
    </w:p>
    <w:bookmarkEnd w:id="144"/>
    <w:bookmarkStart w:id="146" w:name="ref-wasserstein2019moving"/>
    <w:p>
      <w:pPr>
        <w:pStyle w:val="Bibliography"/>
      </w:pPr>
      <w:r>
        <w:t xml:space="preserve">Wasserstein, Ronald L, Allen L Schirm, and Nicole A Lazar. 2019.</w:t>
      </w:r>
      <w:r>
        <w:t xml:space="preserve"> </w:t>
      </w:r>
      <w:r>
        <w:t xml:space="preserve">“Moving to a World Beyond</w:t>
      </w:r>
      <w:r>
        <w:t xml:space="preserve"> </w:t>
      </w:r>
      <w:r>
        <w:t xml:space="preserve">‘p&lt; 0.05’</w:t>
      </w:r>
      <w:r>
        <w:t xml:space="preserve">.”</w:t>
      </w:r>
      <w:r>
        <w:t xml:space="preserve"> </w:t>
      </w:r>
      <w:r>
        <w:t xml:space="preserve">In</w:t>
      </w:r>
      <w:r>
        <w:t xml:space="preserve"> </w:t>
      </w:r>
      <w:r>
        <w:rPr>
          <w:i/>
          <w:iCs/>
        </w:rPr>
        <w:t xml:space="preserve">The American Statistician</w:t>
      </w:r>
      <w:r>
        <w:t xml:space="preserve">, No. sup1, vol. 73. Taylor &amp; Francis.</w:t>
      </w:r>
      <w:r>
        <w:t xml:space="preserve"> </w:t>
      </w:r>
      <w:hyperlink r:id="rId145">
        <w:r>
          <w:rPr>
            <w:rStyle w:val="Hyperlink"/>
          </w:rPr>
          <w:t xml:space="preserve">https://doi.org/10.1080/00031305.2019.1583913</w:t>
        </w:r>
      </w:hyperlink>
      <w:r>
        <w:t xml:space="preserve">.</w:t>
      </w:r>
    </w:p>
    <w:bookmarkEnd w:id="146"/>
    <w:bookmarkStart w:id="148" w:name="ref-wiseman2003team"/>
    <w:p>
      <w:pPr>
        <w:pStyle w:val="Bibliography"/>
      </w:pPr>
      <w:r>
        <w:t xml:space="preserve">Wiseman, Frederick, and Sangit Chatterjee. 2003.</w:t>
      </w:r>
      <w:r>
        <w:t xml:space="preserve"> </w:t>
      </w:r>
      <w:r>
        <w:t xml:space="preserve">“Team Payroll and Team Performance in Major League Baseball: 1985–2002.”</w:t>
      </w:r>
      <w:r>
        <w:t xml:space="preserve"> </w:t>
      </w:r>
      <w:r>
        <w:rPr>
          <w:i/>
          <w:iCs/>
        </w:rPr>
        <w:t xml:space="preserve">Economics Bulletin</w:t>
      </w:r>
      <w:r>
        <w:t xml:space="preserve"> </w:t>
      </w:r>
      <w:r>
        <w:t xml:space="preserve">1 (2): 1–10.</w:t>
      </w:r>
      <w:r>
        <w:t xml:space="preserve"> </w:t>
      </w:r>
      <w:hyperlink r:id="rId147">
        <w:r>
          <w:rPr>
            <w:rStyle w:val="Hyperlink"/>
          </w:rPr>
          <w:t xml:space="preserve">https://accessecon.com/pubs/eb/2003/volume1/eb-03a10003a.pdf</w:t>
        </w:r>
      </w:hyperlink>
      <w:r>
        <w:t xml:space="preserve">.</w:t>
      </w:r>
    </w:p>
    <w:bookmarkEnd w:id="148"/>
    <w:bookmarkStart w:id="150" w:name="ref-wnba2024recordseason"/>
    <w:p>
      <w:pPr>
        <w:pStyle w:val="Bibliography"/>
      </w:pPr>
      <w:r>
        <w:t xml:space="preserve">WNBA. 2024.</w:t>
      </w:r>
      <w:r>
        <w:t xml:space="preserve"> </w:t>
      </w:r>
      <w:r>
        <w:t xml:space="preserve">“WNBA Delivers Record‑setting 2024 Season.”</w:t>
      </w:r>
      <w:r>
        <w:t xml:space="preserve"> </w:t>
      </w:r>
      <w:hyperlink r:id="rId149">
        <w:r>
          <w:rPr>
            <w:rStyle w:val="Hyperlink"/>
          </w:rPr>
          <w:t xml:space="preserve">https://www.wnba.com/news/wnba-delivers-record-setting-2024-season</w:t>
        </w:r>
      </w:hyperlink>
      <w:r>
        <w:t xml:space="preserve">.</w:t>
      </w:r>
    </w:p>
    <w:bookmarkEnd w:id="150"/>
    <w:bookmarkStart w:id="151" w:name="ref-woltring2018attendance"/>
    <w:p>
      <w:pPr>
        <w:pStyle w:val="Bibliography"/>
      </w:pPr>
      <w:r>
        <w:t xml:space="preserve">Woltring, Mitchell T et al.</w:t>
      </w:r>
      <w:r>
        <w:t xml:space="preserve"> 2018.</w:t>
      </w:r>
      <w:r>
        <w:t xml:space="preserve"> </w:t>
      </w:r>
      <w:r>
        <w:t xml:space="preserve">“Attendance Still Matters in MLB: The Relationship with Winning Percentage.”</w:t>
      </w:r>
      <w:r>
        <w:t xml:space="preserve"> </w:t>
      </w:r>
      <w:r>
        <w:rPr>
          <w:i/>
          <w:iCs/>
        </w:rPr>
        <w:t xml:space="preserve">The Sport Journal</w:t>
      </w:r>
      <w:r>
        <w:t xml:space="preserve">.</w:t>
      </w:r>
    </w:p>
    <w:bookmarkEnd w:id="151"/>
    <w:bookmarkEnd w:id="152"/>
    <w:bookmarkEnd w:id="153"/>
    <w:bookmarkStart w:id="207" w:name="appendix"/>
    <w:p>
      <w:pPr>
        <w:pStyle w:val="Heading2"/>
      </w:pPr>
      <w:r>
        <w:t xml:space="preserve">6 Appendix</w:t>
      </w:r>
    </w:p>
    <w:bookmarkStart w:id="156" w:name="anova-tables"/>
    <w:p>
      <w:pPr>
        <w:pStyle w:val="Heading3"/>
      </w:pPr>
      <w:r>
        <w:t xml:space="preserve">6.1 ANOVA tables</w:t>
      </w:r>
    </w:p>
    <w:tbl>
      <w:tblPr>
        <w:tblStyle w:val="Table"/>
        <w:tblW w:type="pct" w:w="5000"/>
        <w:tblLayout w:type="fixed"/>
        <w:tblLook w:firstRow="0" w:lastRow="0" w:firstColumn="0" w:lastColumn="0" w:noHBand="0" w:noVBand="0" w:val="0000"/>
      </w:tblPr>
      <w:tblGrid>
        <w:gridCol w:w="7920"/>
      </w:tblGrid>
      <w:tr>
        <w:tc>
          <w:tcPr/>
          <w:bookmarkStart w:id="154" w:name="tbl-anova"/>
          <w:p>
            <w:pPr>
              <w:jc w:val="center"/>
            </w:pPr>
            <w:pPr>
              <w:jc w:val="left"/>
              <w:spacing w:before="200"/>
              <w:pStyle w:val="ImageCaption"/>
            </w:pPr>
            <w:r>
              <w:t xml:space="preserve">Table 7: Analysis of variance for terms in models for the natural logarithm of attendance.</w:t>
            </w:r>
          </w:p>
          <w:tbl>
            <w:tblPr>
              <w:tblStyle w:val="Table"/>
              <w:tblW w:type="pct" w:w="5000"/>
              <w:tblLayout w:type="fixed"/>
              <w:tblLook w:firstRow="1" w:lastRow="0" w:firstColumn="0" w:lastColumn="0" w:noHBand="0" w:noVBand="0" w:val="0020"/>
            </w:tblPr>
            <w:tblGrid>
              <w:gridCol w:w="565"/>
              <w:gridCol w:w="3960"/>
              <w:gridCol w:w="282"/>
              <w:gridCol w:w="754"/>
              <w:gridCol w:w="660"/>
              <w:gridCol w:w="942"/>
              <w:gridCol w:w="754"/>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 Value</w:t>
                  </w:r>
                </w:p>
              </w:tc>
            </w:tr>
            <w:tr>
              <w:tc>
                <w:tcPr/>
                <w:p>
                  <w:pPr>
                    <w:pStyle w:val="Compact"/>
                    <w:jc w:val="left"/>
                    <w:jc w:val="center"/>
                  </w:pPr>
                  <w:r>
                    <w:t xml:space="preserve">f2</w:t>
                  </w:r>
                </w:p>
              </w:tc>
              <w:tc>
                <w:tcPr/>
                <w:p>
                  <w:pPr>
                    <w:pStyle w:val="Compact"/>
                    <w:jc w:val="left"/>
                    <w:jc w:val="center"/>
                  </w:pPr>
                  <w:r>
                    <w:t xml:space="preserve">I(abs(elo.A - elo.B))</w:t>
                  </w:r>
                </w:p>
              </w:tc>
              <w:tc>
                <w:tcPr/>
                <w:p>
                  <w:pPr>
                    <w:pStyle w:val="Compact"/>
                    <w:jc w:val="right"/>
                    <w:jc w:val="center"/>
                  </w:pPr>
                  <w:r>
                    <w:t xml:space="preserve">1</w:t>
                  </w:r>
                </w:p>
              </w:tc>
              <w:tc>
                <w:tcPr/>
                <w:p>
                  <w:pPr>
                    <w:pStyle w:val="Compact"/>
                    <w:jc w:val="right"/>
                    <w:jc w:val="center"/>
                  </w:pPr>
                  <w:r>
                    <w:t xml:space="preserve">10.851</w:t>
                  </w:r>
                </w:p>
              </w:tc>
              <w:tc>
                <w:tcPr/>
                <w:p>
                  <w:pPr>
                    <w:pStyle w:val="Compact"/>
                    <w:jc w:val="right"/>
                    <w:jc w:val="center"/>
                  </w:pPr>
                  <w:r>
                    <w:t xml:space="preserve">10.851</w:t>
                  </w:r>
                </w:p>
              </w:tc>
              <w:tc>
                <w:tcPr/>
                <w:p>
                  <w:pPr>
                    <w:pStyle w:val="Compact"/>
                    <w:jc w:val="right"/>
                    <w:jc w:val="center"/>
                  </w:pPr>
                  <w:r>
                    <w:t xml:space="preserve">99.987</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I(elo.A + elo.B - 3000)</w:t>
                  </w:r>
                </w:p>
              </w:tc>
              <w:tc>
                <w:tcPr/>
                <w:p>
                  <w:pPr>
                    <w:pStyle w:val="Compact"/>
                    <w:jc w:val="right"/>
                    <w:jc w:val="center"/>
                  </w:pPr>
                  <w:r>
                    <w:t xml:space="preserve">1</w:t>
                  </w:r>
                </w:p>
              </w:tc>
              <w:tc>
                <w:tcPr/>
                <w:p>
                  <w:pPr>
                    <w:pStyle w:val="Compact"/>
                    <w:jc w:val="right"/>
                    <w:jc w:val="center"/>
                  </w:pPr>
                  <w:r>
                    <w:t xml:space="preserve">40.473</w:t>
                  </w:r>
                </w:p>
              </w:tc>
              <w:tc>
                <w:tcPr/>
                <w:p>
                  <w:pPr>
                    <w:pStyle w:val="Compact"/>
                    <w:jc w:val="right"/>
                    <w:jc w:val="center"/>
                  </w:pPr>
                  <w:r>
                    <w:t xml:space="preserve">40.473</w:t>
                  </w:r>
                </w:p>
              </w:tc>
              <w:tc>
                <w:tcPr/>
                <w:p>
                  <w:pPr>
                    <w:pStyle w:val="Compact"/>
                    <w:jc w:val="right"/>
                    <w:jc w:val="center"/>
                  </w:pPr>
                  <w:r>
                    <w:t xml:space="preserve">401.255</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I(home_win_prob - 0.5)</w:t>
                  </w:r>
                </w:p>
              </w:tc>
              <w:tc>
                <w:tcPr/>
                <w:p>
                  <w:pPr>
                    <w:pStyle w:val="Compact"/>
                    <w:jc w:val="right"/>
                    <w:jc w:val="center"/>
                  </w:pPr>
                  <w:r>
                    <w:t xml:space="preserve">1</w:t>
                  </w:r>
                </w:p>
              </w:tc>
              <w:tc>
                <w:tcPr/>
                <w:p>
                  <w:pPr>
                    <w:pStyle w:val="Compact"/>
                    <w:jc w:val="right"/>
                    <w:jc w:val="center"/>
                  </w:pPr>
                  <w:r>
                    <w:t xml:space="preserve">39.923</w:t>
                  </w:r>
                </w:p>
              </w:tc>
              <w:tc>
                <w:tcPr/>
                <w:p>
                  <w:pPr>
                    <w:pStyle w:val="Compact"/>
                    <w:jc w:val="right"/>
                    <w:jc w:val="center"/>
                  </w:pPr>
                  <w:r>
                    <w:t xml:space="preserve">39.923</w:t>
                  </w:r>
                </w:p>
              </w:tc>
              <w:tc>
                <w:tcPr/>
                <w:p>
                  <w:pPr>
                    <w:pStyle w:val="Compact"/>
                    <w:jc w:val="right"/>
                    <w:jc w:val="center"/>
                  </w:pPr>
                  <w:r>
                    <w:t xml:space="preserve">395.845</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22.763</w:t>
                  </w:r>
                </w:p>
              </w:tc>
              <w:tc>
                <w:tcPr/>
                <w:p>
                  <w:pPr>
                    <w:pStyle w:val="Compact"/>
                    <w:jc w:val="right"/>
                    <w:jc w:val="center"/>
                  </w:pPr>
                  <w:r>
                    <w:t xml:space="preserve">22.763</w:t>
                  </w:r>
                </w:p>
              </w:tc>
              <w:tc>
                <w:tcPr/>
                <w:p>
                  <w:pPr>
                    <w:pStyle w:val="Compact"/>
                    <w:jc w:val="right"/>
                    <w:jc w:val="center"/>
                  </w:pPr>
                  <w:r>
                    <w:t xml:space="preserve">225.675</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21.472</w:t>
                  </w:r>
                </w:p>
              </w:tc>
              <w:tc>
                <w:tcPr/>
                <w:p>
                  <w:pPr>
                    <w:pStyle w:val="Compact"/>
                    <w:jc w:val="right"/>
                    <w:jc w:val="center"/>
                  </w:pPr>
                  <w:r>
                    <w:t xml:space="preserve">21.472</w:t>
                  </w:r>
                </w:p>
              </w:tc>
              <w:tc>
                <w:tcPr/>
                <w:p>
                  <w:pPr>
                    <w:pStyle w:val="Compact"/>
                    <w:jc w:val="right"/>
                    <w:jc w:val="center"/>
                  </w:pPr>
                  <w:r>
                    <w:t xml:space="preserve">197.854</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19.936</w:t>
                  </w:r>
                </w:p>
              </w:tc>
              <w:tc>
                <w:tcPr/>
                <w:p>
                  <w:pPr>
                    <w:pStyle w:val="Compact"/>
                    <w:jc w:val="right"/>
                    <w:jc w:val="center"/>
                  </w:pPr>
                  <w:r>
                    <w:t xml:space="preserve">19.936</w:t>
                  </w:r>
                </w:p>
              </w:tc>
              <w:tc>
                <w:tcPr/>
                <w:p>
                  <w:pPr>
                    <w:pStyle w:val="Compact"/>
                    <w:jc w:val="right"/>
                    <w:jc w:val="center"/>
                  </w:pPr>
                  <w:r>
                    <w:t xml:space="preserve">197.668</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1.502</w:t>
                  </w:r>
                </w:p>
              </w:tc>
              <w:tc>
                <w:tcPr/>
                <w:p>
                  <w:pPr>
                    <w:pStyle w:val="Compact"/>
                    <w:jc w:val="right"/>
                    <w:jc w:val="center"/>
                  </w:pPr>
                  <w:r>
                    <w:t xml:space="preserve">1.502</w:t>
                  </w:r>
                </w:p>
              </w:tc>
              <w:tc>
                <w:tcPr/>
                <w:p>
                  <w:pPr>
                    <w:pStyle w:val="Compact"/>
                    <w:jc w:val="right"/>
                    <w:jc w:val="center"/>
                  </w:pPr>
                  <w:r>
                    <w:t xml:space="preserve">14.890</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1.307</w:t>
                  </w:r>
                </w:p>
              </w:tc>
              <w:tc>
                <w:tcPr/>
                <w:p>
                  <w:pPr>
                    <w:pStyle w:val="Compact"/>
                    <w:jc w:val="right"/>
                    <w:jc w:val="center"/>
                  </w:pPr>
                  <w:r>
                    <w:t xml:space="preserve">1.307</w:t>
                  </w:r>
                </w:p>
              </w:tc>
              <w:tc>
                <w:tcPr/>
                <w:p>
                  <w:pPr>
                    <w:pStyle w:val="Compact"/>
                    <w:jc w:val="right"/>
                    <w:jc w:val="center"/>
                  </w:pPr>
                  <w:r>
                    <w:t xml:space="preserve">12.039</w:t>
                  </w:r>
                </w:p>
              </w:tc>
              <w:tc>
                <w:tcPr/>
                <w:p>
                  <w:pPr>
                    <w:pStyle w:val="Compact"/>
                    <w:jc w:val="right"/>
                    <w:jc w:val="center"/>
                  </w:pPr>
                  <w:r>
                    <w:t xml:space="preserve">0.001</w:t>
                  </w:r>
                </w:p>
              </w:tc>
            </w:tr>
            <w:tr>
              <w:tc>
                <w:tcPr/>
                <w:p>
                  <w:pPr>
                    <w:pStyle w:val="Compact"/>
                    <w:jc w:val="left"/>
                    <w:jc w:val="center"/>
                  </w:pPr>
                  <w:r>
                    <w:t xml:space="preserve">f3</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1.629</w:t>
                  </w:r>
                </w:p>
              </w:tc>
              <w:tc>
                <w:tcPr/>
                <w:p>
                  <w:pPr>
                    <w:pStyle w:val="Compact"/>
                    <w:jc w:val="right"/>
                    <w:jc w:val="center"/>
                  </w:pPr>
                  <w:r>
                    <w:t xml:space="preserve">1.629</w:t>
                  </w:r>
                </w:p>
              </w:tc>
              <w:tc>
                <w:tcPr/>
                <w:p>
                  <w:pPr>
                    <w:pStyle w:val="Compact"/>
                    <w:jc w:val="right"/>
                    <w:jc w:val="center"/>
                  </w:pPr>
                  <w:r>
                    <w:t xml:space="preserve">16.153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0.278</w:t>
                  </w:r>
                </w:p>
              </w:tc>
              <w:tc>
                <w:tcPr/>
                <w:p>
                  <w:pPr>
                    <w:pStyle w:val="Compact"/>
                    <w:jc w:val="right"/>
                    <w:jc w:val="center"/>
                  </w:pPr>
                  <w:r>
                    <w:t xml:space="preserve">0.278</w:t>
                  </w:r>
                </w:p>
              </w:tc>
              <w:tc>
                <w:tcPr/>
                <w:p>
                  <w:pPr>
                    <w:pStyle w:val="Compact"/>
                    <w:jc w:val="right"/>
                    <w:jc w:val="center"/>
                  </w:pPr>
                  <w:r>
                    <w:t xml:space="preserve">2.759</w:t>
                  </w:r>
                </w:p>
              </w:tc>
              <w:tc>
                <w:tcPr/>
                <w:p>
                  <w:pPr>
                    <w:pStyle w:val="Compact"/>
                    <w:jc w:val="right"/>
                    <w:jc w:val="center"/>
                  </w:pPr>
                  <w:r>
                    <w:t xml:space="preserve">0.097</w:t>
                  </w:r>
                </w:p>
              </w:tc>
            </w:tr>
            <w:tr>
              <w:tc>
                <w:tcPr/>
                <w:p>
                  <w:pPr>
                    <w:pStyle w:val="Compact"/>
                    <w:jc w:val="left"/>
                    <w:jc w:val="center"/>
                  </w:pPr>
                  <w:r>
                    <w:t xml:space="preserve">f2</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0.322</w:t>
                  </w:r>
                </w:p>
              </w:tc>
              <w:tc>
                <w:tcPr/>
                <w:p>
                  <w:pPr>
                    <w:pStyle w:val="Compact"/>
                    <w:jc w:val="right"/>
                    <w:jc w:val="center"/>
                  </w:pPr>
                  <w:r>
                    <w:t xml:space="preserve">0.322</w:t>
                  </w:r>
                </w:p>
              </w:tc>
              <w:tc>
                <w:tcPr/>
                <w:p>
                  <w:pPr>
                    <w:pStyle w:val="Compact"/>
                    <w:jc w:val="right"/>
                    <w:jc w:val="center"/>
                  </w:pPr>
                  <w:r>
                    <w:t xml:space="preserve">2.964</w:t>
                  </w:r>
                </w:p>
              </w:tc>
              <w:tc>
                <w:tcPr/>
                <w:p>
                  <w:pPr>
                    <w:pStyle w:val="Compact"/>
                    <w:jc w:val="right"/>
                    <w:jc w:val="center"/>
                  </w:pPr>
                  <w:r>
                    <w:t xml:space="preserve">0.085</w:t>
                  </w:r>
                </w:p>
              </w:tc>
            </w:tr>
            <w:tr>
              <w:tc>
                <w:tcPr/>
                <w:p>
                  <w:pPr>
                    <w:pStyle w:val="Compact"/>
                    <w:jc w:val="left"/>
                    <w:jc w:val="center"/>
                  </w:pPr>
                  <w:r>
                    <w:t xml:space="preserve">f3</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0.154</w:t>
                  </w:r>
                </w:p>
              </w:tc>
              <w:tc>
                <w:tcPr/>
                <w:p>
                  <w:pPr>
                    <w:pStyle w:val="Compact"/>
                    <w:jc w:val="right"/>
                    <w:jc w:val="center"/>
                  </w:pPr>
                  <w:r>
                    <w:t xml:space="preserve">0.154</w:t>
                  </w:r>
                </w:p>
              </w:tc>
              <w:tc>
                <w:tcPr/>
                <w:p>
                  <w:pPr>
                    <w:pStyle w:val="Compact"/>
                    <w:jc w:val="right"/>
                    <w:jc w:val="center"/>
                  </w:pPr>
                  <w:r>
                    <w:t xml:space="preserve">1.528</w:t>
                  </w:r>
                </w:p>
              </w:tc>
              <w:tc>
                <w:tcPr/>
                <w:p>
                  <w:pPr>
                    <w:pStyle w:val="Compact"/>
                    <w:jc w:val="right"/>
                    <w:jc w:val="center"/>
                  </w:pPr>
                  <w:r>
                    <w:t xml:space="preserve">0.216</w:t>
                  </w:r>
                </w:p>
              </w:tc>
            </w:tr>
            <w:tr>
              <w:tc>
                <w:tcPr/>
                <w:p>
                  <w:pPr>
                    <w:pStyle w:val="Compact"/>
                    <w:jc w:val="left"/>
                    <w:jc w:val="center"/>
                  </w:pPr>
                  <w:r>
                    <w:t xml:space="preserve">f1</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12.644</w:t>
                  </w:r>
                </w:p>
              </w:tc>
              <w:tc>
                <w:tcPr/>
                <w:p>
                  <w:pPr>
                    <w:pStyle w:val="Compact"/>
                    <w:jc w:val="right"/>
                    <w:jc w:val="center"/>
                  </w:pPr>
                  <w:r>
                    <w:t xml:space="preserve">3.161</w:t>
                  </w:r>
                </w:p>
              </w:tc>
              <w:tc>
                <w:tcPr/>
                <w:p>
                  <w:pPr>
                    <w:pStyle w:val="Compact"/>
                    <w:jc w:val="right"/>
                    <w:jc w:val="center"/>
                  </w:pPr>
                  <w:r>
                    <w:t xml:space="preserve">31.339</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12.434</w:t>
                  </w:r>
                </w:p>
              </w:tc>
              <w:tc>
                <w:tcPr/>
                <w:p>
                  <w:pPr>
                    <w:pStyle w:val="Compact"/>
                    <w:jc w:val="right"/>
                    <w:jc w:val="center"/>
                  </w:pPr>
                  <w:r>
                    <w:t xml:space="preserve">3.109</w:t>
                  </w:r>
                </w:p>
              </w:tc>
              <w:tc>
                <w:tcPr/>
                <w:p>
                  <w:pPr>
                    <w:pStyle w:val="Compact"/>
                    <w:jc w:val="right"/>
                    <w:jc w:val="center"/>
                  </w:pPr>
                  <w:r>
                    <w:t xml:space="preserve">28.645</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11.842</w:t>
                  </w:r>
                </w:p>
              </w:tc>
              <w:tc>
                <w:tcPr/>
                <w:p>
                  <w:pPr>
                    <w:pStyle w:val="Compact"/>
                    <w:jc w:val="right"/>
                    <w:jc w:val="center"/>
                  </w:pPr>
                  <w:r>
                    <w:t xml:space="preserve">2.960</w:t>
                  </w:r>
                </w:p>
              </w:tc>
              <w:tc>
                <w:tcPr/>
                <w:p>
                  <w:pPr>
                    <w:pStyle w:val="Compact"/>
                    <w:jc w:val="right"/>
                    <w:jc w:val="center"/>
                  </w:pPr>
                  <w:r>
                    <w:t xml:space="preserve">29.354</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14.323</w:t>
                  </w:r>
                </w:p>
              </w:tc>
              <w:tc>
                <w:tcPr/>
                <w:p>
                  <w:pPr>
                    <w:pStyle w:val="Compact"/>
                    <w:jc w:val="right"/>
                    <w:jc w:val="center"/>
                  </w:pPr>
                  <w:r>
                    <w:t xml:space="preserve">2.387</w:t>
                  </w:r>
                </w:p>
              </w:tc>
              <w:tc>
                <w:tcPr/>
                <w:p>
                  <w:pPr>
                    <w:pStyle w:val="Compact"/>
                    <w:jc w:val="right"/>
                    <w:jc w:val="center"/>
                  </w:pPr>
                  <w:r>
                    <w:t xml:space="preserve">23.667</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15.293</w:t>
                  </w:r>
                </w:p>
              </w:tc>
              <w:tc>
                <w:tcPr/>
                <w:p>
                  <w:pPr>
                    <w:pStyle w:val="Compact"/>
                    <w:jc w:val="right"/>
                    <w:jc w:val="center"/>
                  </w:pPr>
                  <w:r>
                    <w:t xml:space="preserve">2.549</w:t>
                  </w:r>
                </w:p>
              </w:tc>
              <w:tc>
                <w:tcPr/>
                <w:p>
                  <w:pPr>
                    <w:pStyle w:val="Compact"/>
                    <w:jc w:val="right"/>
                    <w:jc w:val="center"/>
                  </w:pPr>
                  <w:r>
                    <w:t xml:space="preserve">23.487</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14.704</w:t>
                  </w:r>
                </w:p>
              </w:tc>
              <w:tc>
                <w:tcPr/>
                <w:p>
                  <w:pPr>
                    <w:pStyle w:val="Compact"/>
                    <w:jc w:val="right"/>
                    <w:jc w:val="center"/>
                  </w:pPr>
                  <w:r>
                    <w:t xml:space="preserve">2.451</w:t>
                  </w:r>
                </w:p>
              </w:tc>
              <w:tc>
                <w:tcPr/>
                <w:p>
                  <w:pPr>
                    <w:pStyle w:val="Compact"/>
                    <w:jc w:val="right"/>
                    <w:jc w:val="center"/>
                  </w:pPr>
                  <w:r>
                    <w:t xml:space="preserve">24.300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117.498</w:t>
                  </w:r>
                </w:p>
              </w:tc>
              <w:tc>
                <w:tcPr/>
                <w:p>
                  <w:pPr>
                    <w:pStyle w:val="Compact"/>
                    <w:jc w:val="right"/>
                    <w:jc w:val="center"/>
                  </w:pPr>
                  <w:r>
                    <w:t xml:space="preserve">9.791</w:t>
                  </w:r>
                </w:p>
              </w:tc>
              <w:tc>
                <w:tcPr/>
                <w:p>
                  <w:pPr>
                    <w:pStyle w:val="Compact"/>
                    <w:jc w:val="right"/>
                    <w:jc w:val="center"/>
                  </w:pPr>
                  <w:r>
                    <w:t xml:space="preserve">97.074</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132.317</w:t>
                  </w:r>
                </w:p>
              </w:tc>
              <w:tc>
                <w:tcPr/>
                <w:p>
                  <w:pPr>
                    <w:pStyle w:val="Compact"/>
                    <w:jc w:val="right"/>
                    <w:jc w:val="center"/>
                  </w:pPr>
                  <w:r>
                    <w:t xml:space="preserve">11.026</w:t>
                  </w:r>
                </w:p>
              </w:tc>
              <w:tc>
                <w:tcPr/>
                <w:p>
                  <w:pPr>
                    <w:pStyle w:val="Compact"/>
                    <w:jc w:val="right"/>
                    <w:jc w:val="center"/>
                  </w:pPr>
                  <w:r>
                    <w:t xml:space="preserve">101.605</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122.443</w:t>
                  </w:r>
                </w:p>
              </w:tc>
              <w:tc>
                <w:tcPr/>
                <w:p>
                  <w:pPr>
                    <w:pStyle w:val="Compact"/>
                    <w:jc w:val="right"/>
                    <w:jc w:val="center"/>
                  </w:pPr>
                  <w:r>
                    <w:t xml:space="preserve">10.204</w:t>
                  </w:r>
                </w:p>
              </w:tc>
              <w:tc>
                <w:tcPr/>
                <w:p>
                  <w:pPr>
                    <w:pStyle w:val="Compact"/>
                    <w:jc w:val="right"/>
                    <w:jc w:val="center"/>
                  </w:pPr>
                  <w:r>
                    <w:t xml:space="preserve">101.171</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I(abs(elo.A - elo.B)):factor(season_id)</w:t>
                  </w:r>
                </w:p>
              </w:tc>
              <w:tc>
                <w:tcPr/>
                <w:p>
                  <w:pPr>
                    <w:pStyle w:val="Compact"/>
                    <w:jc w:val="right"/>
                    <w:jc w:val="center"/>
                  </w:pPr>
                  <w:r>
                    <w:t xml:space="preserve">26</w:t>
                  </w:r>
                </w:p>
              </w:tc>
              <w:tc>
                <w:tcPr/>
                <w:p>
                  <w:pPr>
                    <w:pStyle w:val="Compact"/>
                    <w:jc w:val="right"/>
                    <w:jc w:val="center"/>
                  </w:pPr>
                  <w:r>
                    <w:t xml:space="preserve">6.526</w:t>
                  </w:r>
                </w:p>
              </w:tc>
              <w:tc>
                <w:tcPr/>
                <w:p>
                  <w:pPr>
                    <w:pStyle w:val="Compact"/>
                    <w:jc w:val="right"/>
                    <w:jc w:val="center"/>
                  </w:pPr>
                  <w:r>
                    <w:t xml:space="preserve">0.251</w:t>
                  </w:r>
                </w:p>
              </w:tc>
              <w:tc>
                <w:tcPr/>
                <w:p>
                  <w:pPr>
                    <w:pStyle w:val="Compact"/>
                    <w:jc w:val="right"/>
                    <w:jc w:val="center"/>
                  </w:pPr>
                  <w:r>
                    <w:t xml:space="preserve">2.313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I(elo.A + elo.B - 3000):factor(season_id)</w:t>
                  </w:r>
                </w:p>
              </w:tc>
              <w:tc>
                <w:tcPr/>
                <w:p>
                  <w:pPr>
                    <w:pStyle w:val="Compact"/>
                    <w:jc w:val="right"/>
                    <w:jc w:val="center"/>
                  </w:pPr>
                  <w:r>
                    <w:t xml:space="preserve">26</w:t>
                  </w:r>
                </w:p>
              </w:tc>
              <w:tc>
                <w:tcPr/>
                <w:p>
                  <w:pPr>
                    <w:pStyle w:val="Compact"/>
                    <w:jc w:val="right"/>
                    <w:jc w:val="center"/>
                  </w:pPr>
                  <w:r>
                    <w:t xml:space="preserve">27.457</w:t>
                  </w:r>
                </w:p>
              </w:tc>
              <w:tc>
                <w:tcPr/>
                <w:p>
                  <w:pPr>
                    <w:pStyle w:val="Compact"/>
                    <w:jc w:val="right"/>
                    <w:jc w:val="center"/>
                  </w:pPr>
                  <w:r>
                    <w:t xml:space="preserve">1.056</w:t>
                  </w:r>
                </w:p>
              </w:tc>
              <w:tc>
                <w:tcPr/>
                <w:p>
                  <w:pPr>
                    <w:pStyle w:val="Compact"/>
                    <w:jc w:val="right"/>
                    <w:jc w:val="center"/>
                  </w:pPr>
                  <w:r>
                    <w:t xml:space="preserve">10.470</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I(home_win_prob - 0.5):factor(season_id)</w:t>
                  </w:r>
                </w:p>
              </w:tc>
              <w:tc>
                <w:tcPr/>
                <w:p>
                  <w:pPr>
                    <w:pStyle w:val="Compact"/>
                    <w:jc w:val="right"/>
                    <w:jc w:val="center"/>
                  </w:pPr>
                  <w:r>
                    <w:t xml:space="preserve">26</w:t>
                  </w:r>
                </w:p>
              </w:tc>
              <w:tc>
                <w:tcPr/>
                <w:p>
                  <w:pPr>
                    <w:pStyle w:val="Compact"/>
                    <w:jc w:val="right"/>
                    <w:jc w:val="center"/>
                  </w:pPr>
                  <w:r>
                    <w:t xml:space="preserve">31.440</w:t>
                  </w:r>
                </w:p>
              </w:tc>
              <w:tc>
                <w:tcPr/>
                <w:p>
                  <w:pPr>
                    <w:pStyle w:val="Compact"/>
                    <w:jc w:val="right"/>
                    <w:jc w:val="center"/>
                  </w:pPr>
                  <w:r>
                    <w:t xml:space="preserve">1.209</w:t>
                  </w:r>
                </w:p>
              </w:tc>
              <w:tc>
                <w:tcPr/>
                <w:p>
                  <w:pPr>
                    <w:pStyle w:val="Compact"/>
                    <w:jc w:val="right"/>
                    <w:jc w:val="center"/>
                  </w:pPr>
                  <w:r>
                    <w:t xml:space="preserve">11.990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152.181</w:t>
                  </w:r>
                </w:p>
              </w:tc>
              <w:tc>
                <w:tcPr/>
                <w:p>
                  <w:pPr>
                    <w:pStyle w:val="Compact"/>
                    <w:jc w:val="right"/>
                    <w:jc w:val="center"/>
                  </w:pPr>
                  <w:r>
                    <w:t xml:space="preserve">5.853</w:t>
                  </w:r>
                </w:p>
              </w:tc>
              <w:tc>
                <w:tcPr/>
                <w:p>
                  <w:pPr>
                    <w:pStyle w:val="Compact"/>
                    <w:jc w:val="right"/>
                    <w:jc w:val="center"/>
                  </w:pPr>
                  <w:r>
                    <w:t xml:space="preserve">58.029</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150.433</w:t>
                  </w:r>
                </w:p>
              </w:tc>
              <w:tc>
                <w:tcPr/>
                <w:p>
                  <w:pPr>
                    <w:pStyle w:val="Compact"/>
                    <w:jc w:val="right"/>
                    <w:jc w:val="center"/>
                  </w:pPr>
                  <w:r>
                    <w:t xml:space="preserve">5.786</w:t>
                  </w:r>
                </w:p>
              </w:tc>
              <w:tc>
                <w:tcPr/>
                <w:p>
                  <w:pPr>
                    <w:pStyle w:val="Compact"/>
                    <w:jc w:val="right"/>
                    <w:jc w:val="center"/>
                  </w:pPr>
                  <w:r>
                    <w:t xml:space="preserve">53.315</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147.101</w:t>
                  </w:r>
                </w:p>
              </w:tc>
              <w:tc>
                <w:tcPr/>
                <w:p>
                  <w:pPr>
                    <w:pStyle w:val="Compact"/>
                    <w:jc w:val="right"/>
                    <w:jc w:val="center"/>
                  </w:pPr>
                  <w:r>
                    <w:t xml:space="preserve">5.658</w:t>
                  </w:r>
                </w:p>
              </w:tc>
              <w:tc>
                <w:tcPr/>
                <w:p>
                  <w:pPr>
                    <w:pStyle w:val="Compact"/>
                    <w:jc w:val="right"/>
                    <w:jc w:val="center"/>
                  </w:pPr>
                  <w:r>
                    <w:t xml:space="preserve">56.098</w:t>
                  </w:r>
                </w:p>
              </w:tc>
              <w:tc>
                <w:tcPr/>
                <w:p>
                  <w:pPr>
                    <w:pStyle w:val="Compact"/>
                    <w:jc w:val="right"/>
                    <w:jc w:val="center"/>
                  </w:pPr>
                  <w:r>
                    <w:t xml:space="preserve">0.000</w:t>
                  </w:r>
                </w:p>
              </w:tc>
            </w:tr>
          </w:tbl>
          <w:bookmarkEnd w:id="154"/>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5" w:name="tbl-anova2"/>
          <w:p>
            <w:pPr>
              <w:jc w:val="center"/>
            </w:pPr>
            <w:pPr>
              <w:jc w:val="left"/>
              <w:spacing w:before="200"/>
              <w:pStyle w:val="ImageCaption"/>
            </w:pPr>
            <w:r>
              <w:t xml:space="preserve">Table 8: Analysis of variance for terms in models for percentage of arena capacity.</w:t>
            </w:r>
          </w:p>
          <w:tbl>
            <w:tblPr>
              <w:tblStyle w:val="Table"/>
              <w:tblW w:type="pct" w:w="5000"/>
              <w:tblLayout w:type="fixed"/>
              <w:tblLook w:firstRow="1" w:lastRow="0" w:firstColumn="0" w:lastColumn="0" w:noHBand="0" w:noVBand="0" w:val="0020"/>
            </w:tblPr>
            <w:tblGrid>
              <w:gridCol w:w="484"/>
              <w:gridCol w:w="3394"/>
              <w:gridCol w:w="242"/>
              <w:gridCol w:w="727"/>
              <w:gridCol w:w="969"/>
              <w:gridCol w:w="1454"/>
              <w:gridCol w:w="646"/>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Deviance</w:t>
                  </w:r>
                </w:p>
              </w:tc>
              <w:tc>
                <w:tcPr/>
                <w:p>
                  <w:pPr>
                    <w:pStyle w:val="Compact"/>
                    <w:jc w:val="right"/>
                    <w:jc w:val="center"/>
                  </w:pPr>
                  <w:r>
                    <w:t xml:space="preserve">Df Residual</w:t>
                  </w:r>
                </w:p>
              </w:tc>
              <w:tc>
                <w:tcPr/>
                <w:p>
                  <w:pPr>
                    <w:pStyle w:val="Compact"/>
                    <w:jc w:val="right"/>
                    <w:jc w:val="center"/>
                  </w:pPr>
                  <w:r>
                    <w:t xml:space="preserve">Residual Deviance</w:t>
                  </w:r>
                </w:p>
              </w:tc>
              <w:tc>
                <w:tcPr/>
                <w:p>
                  <w:pPr>
                    <w:pStyle w:val="Compact"/>
                    <w:jc w:val="right"/>
                    <w:jc w:val="center"/>
                  </w:pPr>
                  <w:r>
                    <w:t xml:space="preserve">P Value</w:t>
                  </w:r>
                </w:p>
              </w:tc>
            </w:tr>
            <w:tr>
              <w:tc>
                <w:tcPr/>
                <w:p>
                  <w:pPr>
                    <w:pStyle w:val="Compact"/>
                    <w:jc w:val="left"/>
                    <w:jc w:val="center"/>
                  </w:pPr>
                  <w:r>
                    <w:t xml:space="preserve">f2</w:t>
                  </w:r>
                </w:p>
              </w:tc>
              <w:tc>
                <w:tcPr/>
                <w:p>
                  <w:pPr>
                    <w:pStyle w:val="Compact"/>
                    <w:jc w:val="left"/>
                    <w:jc w:val="center"/>
                  </w:pPr>
                  <w:r>
                    <w:t xml:space="preserve">I(abs(elo.A - elo.B))</w:t>
                  </w:r>
                </w:p>
              </w:tc>
              <w:tc>
                <w:tcPr/>
                <w:p>
                  <w:pPr>
                    <w:pStyle w:val="Compact"/>
                    <w:jc w:val="right"/>
                    <w:jc w:val="center"/>
                  </w:pPr>
                  <w:r>
                    <w:t xml:space="preserve">1</w:t>
                  </w:r>
                </w:p>
              </w:tc>
              <w:tc>
                <w:tcPr/>
                <w:p>
                  <w:pPr>
                    <w:pStyle w:val="Compact"/>
                    <w:jc w:val="right"/>
                    <w:jc w:val="center"/>
                  </w:pPr>
                  <w:r>
                    <w:t xml:space="preserve">0.032</w:t>
                  </w:r>
                </w:p>
              </w:tc>
              <w:tc>
                <w:tcPr/>
                <w:p>
                  <w:pPr>
                    <w:pStyle w:val="Compact"/>
                    <w:jc w:val="right"/>
                    <w:jc w:val="center"/>
                  </w:pPr>
                  <w:r>
                    <w:t xml:space="preserve">5061</w:t>
                  </w:r>
                </w:p>
              </w:tc>
              <w:tc>
                <w:tcPr/>
                <w:p>
                  <w:pPr>
                    <w:pStyle w:val="Compact"/>
                    <w:jc w:val="right"/>
                    <w:jc w:val="center"/>
                  </w:pPr>
                  <w:r>
                    <w:t xml:space="preserve">916.634</w:t>
                  </w:r>
                </w:p>
              </w:tc>
              <w:tc>
                <w:tcPr/>
                <w:p>
                  <w:pPr>
                    <w:pStyle w:val="Compact"/>
                    <w:jc w:val="right"/>
                    <w:jc w:val="center"/>
                  </w:pPr>
                  <w:r>
                    <w:t xml:space="preserve">0.858</w:t>
                  </w:r>
                </w:p>
              </w:tc>
            </w:tr>
            <w:tr>
              <w:tc>
                <w:tcPr/>
                <w:p>
                  <w:pPr>
                    <w:pStyle w:val="Compact"/>
                    <w:jc w:val="left"/>
                    <w:jc w:val="center"/>
                  </w:pPr>
                  <w:r>
                    <w:t xml:space="preserve">f1</w:t>
                  </w:r>
                </w:p>
              </w:tc>
              <w:tc>
                <w:tcPr/>
                <w:p>
                  <w:pPr>
                    <w:pStyle w:val="Compact"/>
                    <w:jc w:val="left"/>
                    <w:jc w:val="center"/>
                  </w:pPr>
                  <w:r>
                    <w:t xml:space="preserve">I(elo.A + elo.B - 3000)</w:t>
                  </w:r>
                </w:p>
              </w:tc>
              <w:tc>
                <w:tcPr/>
                <w:p>
                  <w:pPr>
                    <w:pStyle w:val="Compact"/>
                    <w:jc w:val="right"/>
                    <w:jc w:val="center"/>
                  </w:pPr>
                  <w:r>
                    <w:t xml:space="preserve">1</w:t>
                  </w:r>
                </w:p>
              </w:tc>
              <w:tc>
                <w:tcPr/>
                <w:p>
                  <w:pPr>
                    <w:pStyle w:val="Compact"/>
                    <w:jc w:val="right"/>
                    <w:jc w:val="center"/>
                  </w:pPr>
                  <w:r>
                    <w:t xml:space="preserve">8.035</w:t>
                  </w:r>
                </w:p>
              </w:tc>
              <w:tc>
                <w:tcPr/>
                <w:p>
                  <w:pPr>
                    <w:pStyle w:val="Compact"/>
                    <w:jc w:val="right"/>
                    <w:jc w:val="center"/>
                  </w:pPr>
                  <w:r>
                    <w:t xml:space="preserve">5061</w:t>
                  </w:r>
                </w:p>
              </w:tc>
              <w:tc>
                <w:tcPr/>
                <w:p>
                  <w:pPr>
                    <w:pStyle w:val="Compact"/>
                    <w:jc w:val="right"/>
                    <w:jc w:val="center"/>
                  </w:pPr>
                  <w:r>
                    <w:t xml:space="preserve">908.631</w:t>
                  </w:r>
                </w:p>
              </w:tc>
              <w:tc>
                <w:tcPr/>
                <w:p>
                  <w:pPr>
                    <w:pStyle w:val="Compact"/>
                    <w:jc w:val="right"/>
                    <w:jc w:val="center"/>
                  </w:pPr>
                  <w:r>
                    <w:t xml:space="preserve">0.005</w:t>
                  </w:r>
                </w:p>
              </w:tc>
            </w:tr>
            <w:tr>
              <w:tc>
                <w:tcPr/>
                <w:p>
                  <w:pPr>
                    <w:pStyle w:val="Compact"/>
                    <w:jc w:val="left"/>
                    <w:jc w:val="center"/>
                  </w:pPr>
                  <w:r>
                    <w:t xml:space="preserve">f3</w:t>
                  </w:r>
                </w:p>
              </w:tc>
              <w:tc>
                <w:tcPr/>
                <w:p>
                  <w:pPr>
                    <w:pStyle w:val="Compact"/>
                    <w:jc w:val="left"/>
                    <w:jc w:val="center"/>
                  </w:pPr>
                  <w:r>
                    <w:t xml:space="preserve">I(home_win_prob - 0.5)</w:t>
                  </w:r>
                </w:p>
              </w:tc>
              <w:tc>
                <w:tcPr/>
                <w:p>
                  <w:pPr>
                    <w:pStyle w:val="Compact"/>
                    <w:jc w:val="right"/>
                    <w:jc w:val="center"/>
                  </w:pPr>
                  <w:r>
                    <w:t xml:space="preserve">1</w:t>
                  </w:r>
                </w:p>
              </w:tc>
              <w:tc>
                <w:tcPr/>
                <w:p>
                  <w:pPr>
                    <w:pStyle w:val="Compact"/>
                    <w:jc w:val="right"/>
                    <w:jc w:val="center"/>
                  </w:pPr>
                  <w:r>
                    <w:t xml:space="preserve">0.906</w:t>
                  </w:r>
                </w:p>
              </w:tc>
              <w:tc>
                <w:tcPr/>
                <w:p>
                  <w:pPr>
                    <w:pStyle w:val="Compact"/>
                    <w:jc w:val="right"/>
                    <w:jc w:val="center"/>
                  </w:pPr>
                  <w:r>
                    <w:t xml:space="preserve">5061</w:t>
                  </w:r>
                </w:p>
              </w:tc>
              <w:tc>
                <w:tcPr/>
                <w:p>
                  <w:pPr>
                    <w:pStyle w:val="Compact"/>
                    <w:jc w:val="right"/>
                    <w:jc w:val="center"/>
                  </w:pPr>
                  <w:r>
                    <w:t xml:space="preserve">915.760</w:t>
                  </w:r>
                </w:p>
              </w:tc>
              <w:tc>
                <w:tcPr/>
                <w:p>
                  <w:pPr>
                    <w:pStyle w:val="Compact"/>
                    <w:jc w:val="right"/>
                    <w:jc w:val="center"/>
                  </w:pPr>
                  <w:r>
                    <w:t xml:space="preserve">0.341</w:t>
                  </w:r>
                </w:p>
              </w:tc>
            </w:tr>
            <w:tr>
              <w:tc>
                <w:tcPr/>
                <w:p>
                  <w:pPr>
                    <w:pStyle w:val="Compact"/>
                    <w:jc w:val="left"/>
                    <w:jc w:val="center"/>
                  </w:pPr>
                  <w:r>
                    <w:t xml:space="preserve">f1</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24.002</w:t>
                  </w:r>
                </w:p>
              </w:tc>
              <w:tc>
                <w:tcPr/>
                <w:p>
                  <w:pPr>
                    <w:pStyle w:val="Compact"/>
                    <w:jc w:val="right"/>
                    <w:jc w:val="center"/>
                  </w:pPr>
                  <w:r>
                    <w:t xml:space="preserve">5010</w:t>
                  </w:r>
                </w:p>
              </w:tc>
              <w:tc>
                <w:tcPr/>
                <w:p>
                  <w:pPr>
                    <w:pStyle w:val="Compact"/>
                    <w:jc w:val="right"/>
                    <w:jc w:val="center"/>
                  </w:pPr>
                  <w:r>
                    <w:t xml:space="preserve">573.411</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23.389</w:t>
                  </w:r>
                </w:p>
              </w:tc>
              <w:tc>
                <w:tcPr/>
                <w:p>
                  <w:pPr>
                    <w:pStyle w:val="Compact"/>
                    <w:jc w:val="right"/>
                    <w:jc w:val="center"/>
                  </w:pPr>
                  <w:r>
                    <w:t xml:space="preserve">5010</w:t>
                  </w:r>
                </w:p>
              </w:tc>
              <w:tc>
                <w:tcPr/>
                <w:p>
                  <w:pPr>
                    <w:pStyle w:val="Compact"/>
                    <w:jc w:val="right"/>
                    <w:jc w:val="center"/>
                  </w:pPr>
                  <w:r>
                    <w:t xml:space="preserve">581.441</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22.520</w:t>
                  </w:r>
                </w:p>
              </w:tc>
              <w:tc>
                <w:tcPr/>
                <w:p>
                  <w:pPr>
                    <w:pStyle w:val="Compact"/>
                    <w:jc w:val="right"/>
                    <w:jc w:val="center"/>
                  </w:pPr>
                  <w:r>
                    <w:t xml:space="preserve">5010</w:t>
                  </w:r>
                </w:p>
              </w:tc>
              <w:tc>
                <w:tcPr/>
                <w:p>
                  <w:pPr>
                    <w:pStyle w:val="Compact"/>
                    <w:jc w:val="right"/>
                    <w:jc w:val="center"/>
                  </w:pPr>
                  <w:r>
                    <w:t xml:space="preserve">579.403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0.977</w:t>
                  </w:r>
                </w:p>
              </w:tc>
              <w:tc>
                <w:tcPr/>
                <w:p>
                  <w:pPr>
                    <w:pStyle w:val="Compact"/>
                    <w:jc w:val="right"/>
                    <w:jc w:val="center"/>
                  </w:pPr>
                  <w:r>
                    <w:t xml:space="preserve">5012</w:t>
                  </w:r>
                </w:p>
              </w:tc>
              <w:tc>
                <w:tcPr/>
                <w:p>
                  <w:pPr>
                    <w:pStyle w:val="Compact"/>
                    <w:jc w:val="right"/>
                    <w:jc w:val="center"/>
                  </w:pPr>
                  <w:r>
                    <w:t xml:space="preserve">601.451</w:t>
                  </w:r>
                </w:p>
              </w:tc>
              <w:tc>
                <w:tcPr/>
                <w:p>
                  <w:pPr>
                    <w:pStyle w:val="Compact"/>
                    <w:jc w:val="right"/>
                    <w:jc w:val="center"/>
                  </w:pPr>
                  <w:r>
                    <w:t xml:space="preserve">0.323</w:t>
                  </w:r>
                </w:p>
              </w:tc>
            </w:tr>
            <w:tr>
              <w:tc>
                <w:tcPr/>
                <w:p>
                  <w:pPr>
                    <w:pStyle w:val="Compact"/>
                    <w:jc w:val="left"/>
                    <w:jc w:val="center"/>
                  </w:pPr>
                  <w:r>
                    <w:t xml:space="preserve">f2</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1.038</w:t>
                  </w:r>
                </w:p>
              </w:tc>
              <w:tc>
                <w:tcPr/>
                <w:p>
                  <w:pPr>
                    <w:pStyle w:val="Compact"/>
                    <w:jc w:val="right"/>
                    <w:jc w:val="center"/>
                  </w:pPr>
                  <w:r>
                    <w:t xml:space="preserve">5012</w:t>
                  </w:r>
                </w:p>
              </w:tc>
              <w:tc>
                <w:tcPr/>
                <w:p>
                  <w:pPr>
                    <w:pStyle w:val="Compact"/>
                    <w:jc w:val="right"/>
                    <w:jc w:val="center"/>
                  </w:pPr>
                  <w:r>
                    <w:t xml:space="preserve">608.706</w:t>
                  </w:r>
                </w:p>
              </w:tc>
              <w:tc>
                <w:tcPr/>
                <w:p>
                  <w:pPr>
                    <w:pStyle w:val="Compact"/>
                    <w:jc w:val="right"/>
                    <w:jc w:val="center"/>
                  </w:pPr>
                  <w:r>
                    <w:t xml:space="preserve">0.308</w:t>
                  </w:r>
                </w:p>
              </w:tc>
            </w:tr>
            <w:tr>
              <w:tc>
                <w:tcPr/>
                <w:p>
                  <w:pPr>
                    <w:pStyle w:val="Compact"/>
                    <w:jc w:val="left"/>
                    <w:jc w:val="center"/>
                  </w:pPr>
                  <w:r>
                    <w:t xml:space="preserve">f3</w:t>
                  </w:r>
                </w:p>
              </w:tc>
              <w:tc>
                <w:tcPr/>
                <w:p>
                  <w:pPr>
                    <w:pStyle w:val="Compact"/>
                    <w:jc w:val="left"/>
                    <w:jc w:val="center"/>
                  </w:pPr>
                  <w:r>
                    <w:t xml:space="preserve">median_income</w:t>
                  </w:r>
                </w:p>
              </w:tc>
              <w:tc>
                <w:tcPr/>
                <w:p>
                  <w:pPr>
                    <w:pStyle w:val="Compact"/>
                    <w:jc w:val="right"/>
                    <w:jc w:val="center"/>
                  </w:pPr>
                  <w:r>
                    <w:t xml:space="preserve">1</w:t>
                  </w:r>
                </w:p>
              </w:tc>
              <w:tc>
                <w:tcPr/>
                <w:p>
                  <w:pPr>
                    <w:pStyle w:val="Compact"/>
                    <w:jc w:val="right"/>
                    <w:jc w:val="center"/>
                  </w:pPr>
                  <w:r>
                    <w:t xml:space="preserve">0.972</w:t>
                  </w:r>
                </w:p>
              </w:tc>
              <w:tc>
                <w:tcPr/>
                <w:p>
                  <w:pPr>
                    <w:pStyle w:val="Compact"/>
                    <w:jc w:val="right"/>
                    <w:jc w:val="center"/>
                  </w:pPr>
                  <w:r>
                    <w:t xml:space="preserve">5012</w:t>
                  </w:r>
                </w:p>
              </w:tc>
              <w:tc>
                <w:tcPr/>
                <w:p>
                  <w:pPr>
                    <w:pStyle w:val="Compact"/>
                    <w:jc w:val="right"/>
                    <w:jc w:val="center"/>
                  </w:pPr>
                  <w:r>
                    <w:t xml:space="preserve">606.342</w:t>
                  </w:r>
                </w:p>
              </w:tc>
              <w:tc>
                <w:tcPr/>
                <w:p>
                  <w:pPr>
                    <w:pStyle w:val="Compact"/>
                    <w:jc w:val="right"/>
                    <w:jc w:val="center"/>
                  </w:pPr>
                  <w:r>
                    <w:t xml:space="preserve">0.324</w:t>
                  </w:r>
                </w:p>
              </w:tc>
            </w:tr>
            <w:tr>
              <w:tc>
                <w:tcPr/>
                <w:p>
                  <w:pPr>
                    <w:pStyle w:val="Compact"/>
                    <w:jc w:val="left"/>
                    <w:jc w:val="center"/>
                  </w:pPr>
                  <w:r>
                    <w:t xml:space="preserve">f1</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4.038</w:t>
                  </w:r>
                </w:p>
              </w:tc>
              <w:tc>
                <w:tcPr/>
                <w:p>
                  <w:pPr>
                    <w:pStyle w:val="Compact"/>
                    <w:jc w:val="right"/>
                    <w:jc w:val="center"/>
                  </w:pPr>
                  <w:r>
                    <w:t xml:space="preserve">5011</w:t>
                  </w:r>
                </w:p>
              </w:tc>
              <w:tc>
                <w:tcPr/>
                <w:p>
                  <w:pPr>
                    <w:pStyle w:val="Compact"/>
                    <w:jc w:val="right"/>
                    <w:jc w:val="center"/>
                  </w:pPr>
                  <w:r>
                    <w:t xml:space="preserve">597.414</w:t>
                  </w:r>
                </w:p>
              </w:tc>
              <w:tc>
                <w:tcPr/>
                <w:p>
                  <w:pPr>
                    <w:pStyle w:val="Compact"/>
                    <w:jc w:val="right"/>
                    <w:jc w:val="center"/>
                  </w:pPr>
                  <w:r>
                    <w:t xml:space="preserve">0.044</w:t>
                  </w:r>
                </w:p>
              </w:tc>
            </w:tr>
            <w:tr>
              <w:tc>
                <w:tcPr/>
                <w:p>
                  <w:pPr>
                    <w:pStyle w:val="Compact"/>
                    <w:jc w:val="left"/>
                    <w:jc w:val="center"/>
                  </w:pPr>
                  <w:r>
                    <w:t xml:space="preserve">f2</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3.876</w:t>
                  </w:r>
                </w:p>
              </w:tc>
              <w:tc>
                <w:tcPr/>
                <w:p>
                  <w:pPr>
                    <w:pStyle w:val="Compact"/>
                    <w:jc w:val="right"/>
                    <w:jc w:val="center"/>
                  </w:pPr>
                  <w:r>
                    <w:t xml:space="preserve">5011</w:t>
                  </w:r>
                </w:p>
              </w:tc>
              <w:tc>
                <w:tcPr/>
                <w:p>
                  <w:pPr>
                    <w:pStyle w:val="Compact"/>
                    <w:jc w:val="right"/>
                    <w:jc w:val="center"/>
                  </w:pPr>
                  <w:r>
                    <w:t xml:space="preserve">604.830</w:t>
                  </w:r>
                </w:p>
              </w:tc>
              <w:tc>
                <w:tcPr/>
                <w:p>
                  <w:pPr>
                    <w:pStyle w:val="Compact"/>
                    <w:jc w:val="right"/>
                    <w:jc w:val="center"/>
                  </w:pPr>
                  <w:r>
                    <w:t xml:space="preserve">0.049</w:t>
                  </w:r>
                </w:p>
              </w:tc>
            </w:tr>
            <w:tr>
              <w:tc>
                <w:tcPr/>
                <w:p>
                  <w:pPr>
                    <w:pStyle w:val="Compact"/>
                    <w:jc w:val="left"/>
                    <w:jc w:val="center"/>
                  </w:pPr>
                  <w:r>
                    <w:t xml:space="preserve">f3</w:t>
                  </w:r>
                </w:p>
              </w:tc>
              <w:tc>
                <w:tcPr/>
                <w:p>
                  <w:pPr>
                    <w:pStyle w:val="Compact"/>
                    <w:jc w:val="left"/>
                    <w:jc w:val="center"/>
                  </w:pPr>
                  <w:r>
                    <w:t xml:space="preserve">median_pop</w:t>
                  </w:r>
                </w:p>
              </w:tc>
              <w:tc>
                <w:tcPr/>
                <w:p>
                  <w:pPr>
                    <w:pStyle w:val="Compact"/>
                    <w:jc w:val="right"/>
                    <w:jc w:val="center"/>
                  </w:pPr>
                  <w:r>
                    <w:t xml:space="preserve">1</w:t>
                  </w:r>
                </w:p>
              </w:tc>
              <w:tc>
                <w:tcPr/>
                <w:p>
                  <w:pPr>
                    <w:pStyle w:val="Compact"/>
                    <w:jc w:val="right"/>
                    <w:jc w:val="center"/>
                  </w:pPr>
                  <w:r>
                    <w:t xml:space="preserve">4.419</w:t>
                  </w:r>
                </w:p>
              </w:tc>
              <w:tc>
                <w:tcPr/>
                <w:p>
                  <w:pPr>
                    <w:pStyle w:val="Compact"/>
                    <w:jc w:val="right"/>
                    <w:jc w:val="center"/>
                  </w:pPr>
                  <w:r>
                    <w:t xml:space="preserve">5011</w:t>
                  </w:r>
                </w:p>
              </w:tc>
              <w:tc>
                <w:tcPr/>
                <w:p>
                  <w:pPr>
                    <w:pStyle w:val="Compact"/>
                    <w:jc w:val="right"/>
                    <w:jc w:val="center"/>
                  </w:pPr>
                  <w:r>
                    <w:t xml:space="preserve">601.923</w:t>
                  </w:r>
                </w:p>
              </w:tc>
              <w:tc>
                <w:tcPr/>
                <w:p>
                  <w:pPr>
                    <w:pStyle w:val="Compact"/>
                    <w:jc w:val="right"/>
                    <w:jc w:val="center"/>
                  </w:pPr>
                  <w:r>
                    <w:t xml:space="preserve">0.036</w:t>
                  </w:r>
                </w:p>
              </w:tc>
            </w:tr>
            <w:tr>
              <w:tc>
                <w:tcPr/>
                <w:p>
                  <w:pPr>
                    <w:pStyle w:val="Compact"/>
                    <w:jc w:val="left"/>
                    <w:jc w:val="center"/>
                  </w:pPr>
                  <w:r>
                    <w:t xml:space="preserve">f1</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13.370</w:t>
                  </w:r>
                </w:p>
              </w:tc>
              <w:tc>
                <w:tcPr/>
                <w:p>
                  <w:pPr>
                    <w:pStyle w:val="Compact"/>
                    <w:jc w:val="right"/>
                    <w:jc w:val="center"/>
                  </w:pPr>
                  <w:r>
                    <w:t xml:space="preserve">5025</w:t>
                  </w:r>
                </w:p>
              </w:tc>
              <w:tc>
                <w:tcPr/>
                <w:p>
                  <w:pPr>
                    <w:pStyle w:val="Compact"/>
                    <w:jc w:val="right"/>
                    <w:jc w:val="center"/>
                  </w:pPr>
                  <w:r>
                    <w:t xml:space="preserve">696.118</w:t>
                  </w:r>
                </w:p>
              </w:tc>
              <w:tc>
                <w:tcPr/>
                <w:p>
                  <w:pPr>
                    <w:pStyle w:val="Compact"/>
                    <w:jc w:val="right"/>
                    <w:jc w:val="center"/>
                  </w:pPr>
                  <w:r>
                    <w:t xml:space="preserve">0.010</w:t>
                  </w:r>
                </w:p>
              </w:tc>
            </w:tr>
            <w:tr>
              <w:tc>
                <w:tcPr/>
                <w:p>
                  <w:pPr>
                    <w:pStyle w:val="Compact"/>
                    <w:jc w:val="left"/>
                    <w:jc w:val="center"/>
                  </w:pPr>
                  <w:r>
                    <w:t xml:space="preserve">f2</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13.218</w:t>
                  </w:r>
                </w:p>
              </w:tc>
              <w:tc>
                <w:tcPr/>
                <w:p>
                  <w:pPr>
                    <w:pStyle w:val="Compact"/>
                    <w:jc w:val="right"/>
                    <w:jc w:val="center"/>
                  </w:pPr>
                  <w:r>
                    <w:t xml:space="preserve">5025</w:t>
                  </w:r>
                </w:p>
              </w:tc>
              <w:tc>
                <w:tcPr/>
                <w:p>
                  <w:pPr>
                    <w:pStyle w:val="Compact"/>
                    <w:jc w:val="right"/>
                    <w:jc w:val="center"/>
                  </w:pPr>
                  <w:r>
                    <w:t xml:space="preserve">706.988</w:t>
                  </w:r>
                </w:p>
              </w:tc>
              <w:tc>
                <w:tcPr/>
                <w:p>
                  <w:pPr>
                    <w:pStyle w:val="Compact"/>
                    <w:jc w:val="right"/>
                    <w:jc w:val="center"/>
                  </w:pPr>
                  <w:r>
                    <w:t xml:space="preserve">0.010</w:t>
                  </w:r>
                </w:p>
              </w:tc>
            </w:tr>
            <w:tr>
              <w:tc>
                <w:tcPr/>
                <w:p>
                  <w:pPr>
                    <w:pStyle w:val="Compact"/>
                    <w:jc w:val="left"/>
                    <w:jc w:val="center"/>
                  </w:pPr>
                  <w:r>
                    <w:t xml:space="preserve">f3</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12.953</w:t>
                  </w:r>
                </w:p>
              </w:tc>
              <w:tc>
                <w:tcPr/>
                <w:p>
                  <w:pPr>
                    <w:pStyle w:val="Compact"/>
                    <w:jc w:val="right"/>
                    <w:jc w:val="center"/>
                  </w:pPr>
                  <w:r>
                    <w:t xml:space="preserve">5025</w:t>
                  </w:r>
                </w:p>
              </w:tc>
              <w:tc>
                <w:tcPr/>
                <w:p>
                  <w:pPr>
                    <w:pStyle w:val="Compact"/>
                    <w:jc w:val="right"/>
                    <w:jc w:val="center"/>
                  </w:pPr>
                  <w:r>
                    <w:t xml:space="preserve">701.429</w:t>
                  </w:r>
                </w:p>
              </w:tc>
              <w:tc>
                <w:tcPr/>
                <w:p>
                  <w:pPr>
                    <w:pStyle w:val="Compact"/>
                    <w:jc w:val="right"/>
                    <w:jc w:val="center"/>
                  </w:pPr>
                  <w:r>
                    <w:t xml:space="preserve">0.012</w:t>
                  </w:r>
                </w:p>
              </w:tc>
            </w:tr>
            <w:tr>
              <w:tc>
                <w:tcPr/>
                <w:p>
                  <w:pPr>
                    <w:pStyle w:val="Compact"/>
                    <w:jc w:val="left"/>
                    <w:jc w:val="center"/>
                  </w:pPr>
                  <w:r>
                    <w:t xml:space="preserve">f1</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18.624</w:t>
                  </w:r>
                </w:p>
              </w:tc>
              <w:tc>
                <w:tcPr/>
                <w:p>
                  <w:pPr>
                    <w:pStyle w:val="Compact"/>
                    <w:jc w:val="right"/>
                    <w:jc w:val="center"/>
                  </w:pPr>
                  <w:r>
                    <w:t xml:space="preserve">5029</w:t>
                  </w:r>
                </w:p>
              </w:tc>
              <w:tc>
                <w:tcPr/>
                <w:p>
                  <w:pPr>
                    <w:pStyle w:val="Compact"/>
                    <w:jc w:val="right"/>
                    <w:jc w:val="center"/>
                  </w:pPr>
                  <w:r>
                    <w:t xml:space="preserve">709.487</w:t>
                  </w:r>
                </w:p>
              </w:tc>
              <w:tc>
                <w:tcPr/>
                <w:p>
                  <w:pPr>
                    <w:pStyle w:val="Compact"/>
                    <w:jc w:val="right"/>
                    <w:jc w:val="center"/>
                  </w:pPr>
                  <w:r>
                    <w:t xml:space="preserve">0.005</w:t>
                  </w:r>
                </w:p>
              </w:tc>
            </w:tr>
            <w:tr>
              <w:tc>
                <w:tcPr/>
                <w:p>
                  <w:pPr>
                    <w:pStyle w:val="Compact"/>
                    <w:jc w:val="left"/>
                    <w:jc w:val="center"/>
                  </w:pPr>
                  <w:r>
                    <w:t xml:space="preserve">f2</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18.719</w:t>
                  </w:r>
                </w:p>
              </w:tc>
              <w:tc>
                <w:tcPr/>
                <w:p>
                  <w:pPr>
                    <w:pStyle w:val="Compact"/>
                    <w:jc w:val="right"/>
                    <w:jc w:val="center"/>
                  </w:pPr>
                  <w:r>
                    <w:t xml:space="preserve">5029</w:t>
                  </w:r>
                </w:p>
              </w:tc>
              <w:tc>
                <w:tcPr/>
                <w:p>
                  <w:pPr>
                    <w:pStyle w:val="Compact"/>
                    <w:jc w:val="right"/>
                    <w:jc w:val="center"/>
                  </w:pPr>
                  <w:r>
                    <w:t xml:space="preserve">720.205</w:t>
                  </w:r>
                </w:p>
              </w:tc>
              <w:tc>
                <w:tcPr/>
                <w:p>
                  <w:pPr>
                    <w:pStyle w:val="Compact"/>
                    <w:jc w:val="right"/>
                    <w:jc w:val="center"/>
                  </w:pPr>
                  <w:r>
                    <w:t xml:space="preserve">0.005</w:t>
                  </w:r>
                </w:p>
              </w:tc>
            </w:tr>
            <w:tr>
              <w:tc>
                <w:tcPr/>
                <w:p>
                  <w:pPr>
                    <w:pStyle w:val="Compact"/>
                    <w:jc w:val="left"/>
                    <w:jc w:val="center"/>
                  </w:pPr>
                  <w:r>
                    <w:t xml:space="preserve">f3</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19.034</w:t>
                  </w:r>
                </w:p>
              </w:tc>
              <w:tc>
                <w:tcPr/>
                <w:p>
                  <w:pPr>
                    <w:pStyle w:val="Compact"/>
                    <w:jc w:val="right"/>
                    <w:jc w:val="center"/>
                  </w:pPr>
                  <w:r>
                    <w:t xml:space="preserve">5029</w:t>
                  </w:r>
                </w:p>
              </w:tc>
              <w:tc>
                <w:tcPr/>
                <w:p>
                  <w:pPr>
                    <w:pStyle w:val="Compact"/>
                    <w:jc w:val="right"/>
                    <w:jc w:val="center"/>
                  </w:pPr>
                  <w:r>
                    <w:t xml:space="preserve">714.381</w:t>
                  </w:r>
                </w:p>
              </w:tc>
              <w:tc>
                <w:tcPr/>
                <w:p>
                  <w:pPr>
                    <w:pStyle w:val="Compact"/>
                    <w:jc w:val="right"/>
                    <w:jc w:val="center"/>
                  </w:pPr>
                  <w:r>
                    <w:t xml:space="preserve">0.004</w:t>
                  </w:r>
                </w:p>
              </w:tc>
            </w:tr>
            <w:tr>
              <w:tc>
                <w:tcPr/>
                <w:p>
                  <w:pPr>
                    <w:pStyle w:val="Compact"/>
                    <w:jc w:val="left"/>
                    <w:jc w:val="center"/>
                  </w:pPr>
                  <w:r>
                    <w:t xml:space="preserve">f1</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93.689</w:t>
                  </w:r>
                </w:p>
              </w:tc>
              <w:tc>
                <w:tcPr/>
                <w:p>
                  <w:pPr>
                    <w:pStyle w:val="Compact"/>
                    <w:jc w:val="right"/>
                    <w:jc w:val="center"/>
                  </w:pPr>
                  <w:r>
                    <w:t xml:space="preserve">5013</w:t>
                  </w:r>
                </w:p>
              </w:tc>
              <w:tc>
                <w:tcPr/>
                <w:p>
                  <w:pPr>
                    <w:pStyle w:val="Compact"/>
                    <w:jc w:val="right"/>
                    <w:jc w:val="center"/>
                  </w:pPr>
                  <w:r>
                    <w:t xml:space="preserve">602.429</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97.243</w:t>
                  </w:r>
                </w:p>
              </w:tc>
              <w:tc>
                <w:tcPr/>
                <w:p>
                  <w:pPr>
                    <w:pStyle w:val="Compact"/>
                    <w:jc w:val="right"/>
                    <w:jc w:val="center"/>
                  </w:pPr>
                  <w:r>
                    <w:t xml:space="preserve">5013</w:t>
                  </w:r>
                </w:p>
              </w:tc>
              <w:tc>
                <w:tcPr/>
                <w:p>
                  <w:pPr>
                    <w:pStyle w:val="Compact"/>
                    <w:jc w:val="right"/>
                    <w:jc w:val="center"/>
                  </w:pPr>
                  <w:r>
                    <w:t xml:space="preserve">609.745</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name_current</w:t>
                  </w:r>
                </w:p>
              </w:tc>
              <w:tc>
                <w:tcPr/>
                <w:p>
                  <w:pPr>
                    <w:pStyle w:val="Compact"/>
                    <w:jc w:val="right"/>
                    <w:jc w:val="center"/>
                  </w:pPr>
                  <w:r>
                    <w:t xml:space="preserve">12</w:t>
                  </w:r>
                </w:p>
              </w:tc>
              <w:tc>
                <w:tcPr/>
                <w:p>
                  <w:pPr>
                    <w:pStyle w:val="Compact"/>
                    <w:jc w:val="right"/>
                    <w:jc w:val="center"/>
                  </w:pPr>
                  <w:r>
                    <w:t xml:space="preserve">94.115</w:t>
                  </w:r>
                </w:p>
              </w:tc>
              <w:tc>
                <w:tcPr/>
                <w:p>
                  <w:pPr>
                    <w:pStyle w:val="Compact"/>
                    <w:jc w:val="right"/>
                    <w:jc w:val="center"/>
                  </w:pPr>
                  <w:r>
                    <w:t xml:space="preserve">5013</w:t>
                  </w:r>
                </w:p>
              </w:tc>
              <w:tc>
                <w:tcPr/>
                <w:p>
                  <w:pPr>
                    <w:pStyle w:val="Compact"/>
                    <w:jc w:val="right"/>
                    <w:jc w:val="center"/>
                  </w:pPr>
                  <w:r>
                    <w:t xml:space="preserve">607.314</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I(abs(elo.A - elo.B)):factor(season_id)</w:t>
                  </w:r>
                </w:p>
              </w:tc>
              <w:tc>
                <w:tcPr/>
                <w:p>
                  <w:pPr>
                    <w:pStyle w:val="Compact"/>
                    <w:jc w:val="right"/>
                    <w:jc w:val="center"/>
                  </w:pPr>
                  <w:r>
                    <w:t xml:space="preserve">26</w:t>
                  </w:r>
                </w:p>
              </w:tc>
              <w:tc>
                <w:tcPr/>
                <w:p>
                  <w:pPr>
                    <w:pStyle w:val="Compact"/>
                    <w:jc w:val="right"/>
                    <w:jc w:val="center"/>
                  </w:pPr>
                  <w:r>
                    <w:t xml:space="preserve">7.299</w:t>
                  </w:r>
                </w:p>
              </w:tc>
              <w:tc>
                <w:tcPr/>
                <w:p>
                  <w:pPr>
                    <w:pStyle w:val="Compact"/>
                    <w:jc w:val="right"/>
                    <w:jc w:val="center"/>
                  </w:pPr>
                  <w:r>
                    <w:t xml:space="preserve">4984</w:t>
                  </w:r>
                </w:p>
              </w:tc>
              <w:tc>
                <w:tcPr/>
                <w:p>
                  <w:pPr>
                    <w:pStyle w:val="Compact"/>
                    <w:jc w:val="right"/>
                    <w:jc w:val="center"/>
                  </w:pPr>
                  <w:r>
                    <w:t xml:space="preserve">574.142</w:t>
                  </w:r>
                </w:p>
              </w:tc>
              <w:tc>
                <w:tcPr/>
                <w:p>
                  <w:pPr>
                    <w:pStyle w:val="Compact"/>
                    <w:jc w:val="right"/>
                    <w:jc w:val="center"/>
                  </w:pPr>
                  <w:r>
                    <w:t xml:space="preserve">1.000</w:t>
                  </w:r>
                </w:p>
              </w:tc>
            </w:tr>
            <w:tr>
              <w:tc>
                <w:tcPr/>
                <w:p>
                  <w:pPr>
                    <w:pStyle w:val="Compact"/>
                    <w:jc w:val="left"/>
                    <w:jc w:val="center"/>
                  </w:pPr>
                  <w:r>
                    <w:t xml:space="preserve">f1</w:t>
                  </w:r>
                </w:p>
              </w:tc>
              <w:tc>
                <w:tcPr/>
                <w:p>
                  <w:pPr>
                    <w:pStyle w:val="Compact"/>
                    <w:jc w:val="left"/>
                    <w:jc w:val="center"/>
                  </w:pPr>
                  <w:r>
                    <w:t xml:space="preserve">I(elo.A + elo.B - 3000):factor(season_id)</w:t>
                  </w:r>
                </w:p>
              </w:tc>
              <w:tc>
                <w:tcPr/>
                <w:p>
                  <w:pPr>
                    <w:pStyle w:val="Compact"/>
                    <w:jc w:val="right"/>
                    <w:jc w:val="center"/>
                  </w:pPr>
                  <w:r>
                    <w:t xml:space="preserve">26</w:t>
                  </w:r>
                </w:p>
              </w:tc>
              <w:tc>
                <w:tcPr/>
                <w:p>
                  <w:pPr>
                    <w:pStyle w:val="Compact"/>
                    <w:jc w:val="right"/>
                    <w:jc w:val="center"/>
                  </w:pPr>
                  <w:r>
                    <w:t xml:space="preserve">13.894</w:t>
                  </w:r>
                </w:p>
              </w:tc>
              <w:tc>
                <w:tcPr/>
                <w:p>
                  <w:pPr>
                    <w:pStyle w:val="Compact"/>
                    <w:jc w:val="right"/>
                    <w:jc w:val="center"/>
                  </w:pPr>
                  <w:r>
                    <w:t xml:space="preserve">4984</w:t>
                  </w:r>
                </w:p>
              </w:tc>
              <w:tc>
                <w:tcPr/>
                <w:p>
                  <w:pPr>
                    <w:pStyle w:val="Compact"/>
                    <w:jc w:val="right"/>
                    <w:jc w:val="center"/>
                  </w:pPr>
                  <w:r>
                    <w:t xml:space="preserve">559.518</w:t>
                  </w:r>
                </w:p>
              </w:tc>
              <w:tc>
                <w:tcPr/>
                <w:p>
                  <w:pPr>
                    <w:pStyle w:val="Compact"/>
                    <w:jc w:val="right"/>
                    <w:jc w:val="center"/>
                  </w:pPr>
                  <w:r>
                    <w:t xml:space="preserve">0.974</w:t>
                  </w:r>
                </w:p>
              </w:tc>
            </w:tr>
            <w:tr>
              <w:tc>
                <w:tcPr/>
                <w:p>
                  <w:pPr>
                    <w:pStyle w:val="Compact"/>
                    <w:jc w:val="left"/>
                    <w:jc w:val="center"/>
                  </w:pPr>
                  <w:r>
                    <w:t xml:space="preserve">f3</w:t>
                  </w:r>
                </w:p>
              </w:tc>
              <w:tc>
                <w:tcPr/>
                <w:p>
                  <w:pPr>
                    <w:pStyle w:val="Compact"/>
                    <w:jc w:val="left"/>
                    <w:jc w:val="center"/>
                  </w:pPr>
                  <w:r>
                    <w:t xml:space="preserve">I(home_win_prob - 0.5):factor(season_id)</w:t>
                  </w:r>
                </w:p>
              </w:tc>
              <w:tc>
                <w:tcPr/>
                <w:p>
                  <w:pPr>
                    <w:pStyle w:val="Compact"/>
                    <w:jc w:val="right"/>
                    <w:jc w:val="center"/>
                  </w:pPr>
                  <w:r>
                    <w:t xml:space="preserve">26</w:t>
                  </w:r>
                </w:p>
              </w:tc>
              <w:tc>
                <w:tcPr/>
                <w:p>
                  <w:pPr>
                    <w:pStyle w:val="Compact"/>
                    <w:jc w:val="right"/>
                    <w:jc w:val="center"/>
                  </w:pPr>
                  <w:r>
                    <w:t xml:space="preserve">15.042</w:t>
                  </w:r>
                </w:p>
              </w:tc>
              <w:tc>
                <w:tcPr/>
                <w:p>
                  <w:pPr>
                    <w:pStyle w:val="Compact"/>
                    <w:jc w:val="right"/>
                    <w:jc w:val="center"/>
                  </w:pPr>
                  <w:r>
                    <w:t xml:space="preserve">4984</w:t>
                  </w:r>
                </w:p>
              </w:tc>
              <w:tc>
                <w:tcPr/>
                <w:p>
                  <w:pPr>
                    <w:pStyle w:val="Compact"/>
                    <w:jc w:val="right"/>
                    <w:jc w:val="center"/>
                  </w:pPr>
                  <w:r>
                    <w:t xml:space="preserve">564.361</w:t>
                  </w:r>
                </w:p>
              </w:tc>
              <w:tc>
                <w:tcPr/>
                <w:p>
                  <w:pPr>
                    <w:pStyle w:val="Compact"/>
                    <w:jc w:val="right"/>
                    <w:jc w:val="center"/>
                  </w:pPr>
                  <w:r>
                    <w:t xml:space="preserve">0.957</w:t>
                  </w:r>
                </w:p>
              </w:tc>
            </w:tr>
            <w:tr>
              <w:tc>
                <w:tcPr/>
                <w:p>
                  <w:pPr>
                    <w:pStyle w:val="Compact"/>
                    <w:jc w:val="left"/>
                    <w:jc w:val="center"/>
                  </w:pPr>
                  <w:r>
                    <w:t xml:space="preserve">f1</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180.519</w:t>
                  </w:r>
                </w:p>
              </w:tc>
              <w:tc>
                <w:tcPr/>
                <w:p>
                  <w:pPr>
                    <w:pStyle w:val="Compact"/>
                    <w:jc w:val="right"/>
                    <w:jc w:val="center"/>
                  </w:pPr>
                  <w:r>
                    <w:t xml:space="preserve">5035</w:t>
                  </w:r>
                </w:p>
              </w:tc>
              <w:tc>
                <w:tcPr/>
                <w:p>
                  <w:pPr>
                    <w:pStyle w:val="Compact"/>
                    <w:jc w:val="right"/>
                    <w:jc w:val="center"/>
                  </w:pPr>
                  <w:r>
                    <w:t xml:space="preserve">728.112</w:t>
                  </w:r>
                </w:p>
              </w:tc>
              <w:tc>
                <w:tcPr/>
                <w:p>
                  <w:pPr>
                    <w:pStyle w:val="Compact"/>
                    <w:jc w:val="right"/>
                    <w:jc w:val="center"/>
                  </w:pPr>
                  <w:r>
                    <w:t xml:space="preserve">0.000</w:t>
                  </w:r>
                </w:p>
              </w:tc>
            </w:tr>
            <w:tr>
              <w:tc>
                <w:tcPr/>
                <w:p>
                  <w:pPr>
                    <w:pStyle w:val="Compact"/>
                    <w:jc w:val="left"/>
                    <w:jc w:val="center"/>
                  </w:pPr>
                  <w:r>
                    <w:t xml:space="preserve">f2</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177.710</w:t>
                  </w:r>
                </w:p>
              </w:tc>
              <w:tc>
                <w:tcPr/>
                <w:p>
                  <w:pPr>
                    <w:pStyle w:val="Compact"/>
                    <w:jc w:val="right"/>
                    <w:jc w:val="center"/>
                  </w:pPr>
                  <w:r>
                    <w:t xml:space="preserve">5035</w:t>
                  </w:r>
                </w:p>
              </w:tc>
              <w:tc>
                <w:tcPr/>
                <w:p>
                  <w:pPr>
                    <w:pStyle w:val="Compact"/>
                    <w:jc w:val="right"/>
                    <w:jc w:val="center"/>
                  </w:pPr>
                  <w:r>
                    <w:t xml:space="preserve">738.924</w:t>
                  </w:r>
                </w:p>
              </w:tc>
              <w:tc>
                <w:tcPr/>
                <w:p>
                  <w:pPr>
                    <w:pStyle w:val="Compact"/>
                    <w:jc w:val="right"/>
                    <w:jc w:val="center"/>
                  </w:pPr>
                  <w:r>
                    <w:t xml:space="preserve">0.000</w:t>
                  </w:r>
                </w:p>
              </w:tc>
            </w:tr>
            <w:tr>
              <w:tc>
                <w:tcPr/>
                <w:p>
                  <w:pPr>
                    <w:pStyle w:val="Compact"/>
                    <w:jc w:val="left"/>
                    <w:jc w:val="center"/>
                  </w:pPr>
                  <w:r>
                    <w:t xml:space="preserve">f3</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182.345</w:t>
                  </w:r>
                </w:p>
              </w:tc>
              <w:tc>
                <w:tcPr/>
                <w:p>
                  <w:pPr>
                    <w:pStyle w:val="Compact"/>
                    <w:jc w:val="right"/>
                    <w:jc w:val="center"/>
                  </w:pPr>
                  <w:r>
                    <w:t xml:space="preserve">5035</w:t>
                  </w:r>
                </w:p>
              </w:tc>
              <w:tc>
                <w:tcPr/>
                <w:p>
                  <w:pPr>
                    <w:pStyle w:val="Compact"/>
                    <w:jc w:val="right"/>
                    <w:jc w:val="center"/>
                  </w:pPr>
                  <w:r>
                    <w:t xml:space="preserve">733.416</w:t>
                  </w:r>
                </w:p>
              </w:tc>
              <w:tc>
                <w:tcPr/>
                <w:p>
                  <w:pPr>
                    <w:pStyle w:val="Compact"/>
                    <w:jc w:val="right"/>
                    <w:jc w:val="center"/>
                  </w:pPr>
                  <w:r>
                    <w:t xml:space="preserve">0.000</w:t>
                  </w:r>
                </w:p>
              </w:tc>
            </w:tr>
          </w:tbl>
          <w:bookmarkEnd w:id="155"/>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56"/>
    <w:bookmarkStart w:id="206" w:name="sec-resid-attend"/>
    <w:p>
      <w:pPr>
        <w:pStyle w:val="Heading3"/>
      </w:pPr>
      <w:r>
        <w:t xml:space="preserve">6.2 Residual analysis of attendance models</w:t>
      </w:r>
    </w:p>
    <w:bookmarkStart w:id="205" w:name="cell-fig-resids"/>
    <w:tbl>
      <w:tblPr>
        <w:tblStyle w:val="Table"/>
        <w:tblW w:type="pct" w:w="5000"/>
        <w:tblLayout w:type="fixed"/>
        <w:tblLook w:firstRow="0" w:lastRow="0" w:firstColumn="0" w:lastColumn="0" w:noHBand="0" w:noVBand="0" w:val="0000"/>
      </w:tblPr>
      <w:tblGrid>
        <w:gridCol w:w="3960"/>
        <w:gridCol w:w="3960"/>
      </w:tblGrid>
      <w:tr>
        <w:tc>
          <w:tcPr/>
          <w:p>
            <w:pPr>
              <w:pStyle w:val="SourceCode"/>
              <w:jc w:val="left"/>
            </w:pPr>
            <w:r>
              <w:rPr>
                <w:rStyle w:val="VerbatimChar"/>
              </w:rPr>
              <w:t xml:space="preserve">$f1</w:t>
            </w:r>
            <w:r>
              <w:br/>
            </w:r>
            <w:r>
              <w:rPr>
                <w:rStyle w:val="VerbatimChar"/>
              </w:rPr>
              <w:t xml:space="preserve">NULL</w:t>
            </w:r>
            <w:r>
              <w:br/>
            </w:r>
            <w:r>
              <w:br/>
            </w:r>
            <w:r>
              <w:rPr>
                <w:rStyle w:val="VerbatimChar"/>
              </w:rPr>
              <w:t xml:space="preserve">$f2</w:t>
            </w:r>
            <w:r>
              <w:br/>
            </w:r>
            <w:r>
              <w:rPr>
                <w:rStyle w:val="VerbatimChar"/>
              </w:rPr>
              <w:t xml:space="preserve">NULL</w:t>
            </w:r>
            <w:r>
              <w:br/>
            </w:r>
            <w:r>
              <w:br/>
            </w:r>
            <w:r>
              <w:rPr>
                <w:rStyle w:val="VerbatimChar"/>
              </w:rPr>
              <w:t xml:space="preserve">$f3</w:t>
            </w:r>
            <w:r>
              <w:br/>
            </w:r>
            <w:r>
              <w:rPr>
                <w:rStyle w:val="VerbatimChar"/>
              </w:rPr>
              <w:t xml:space="preserve">NULL</w:t>
            </w:r>
          </w:p>
        </w:tc>
        <w:tc>
          <w:tcPr/>
          <w:tbl>
            <w:tblPr>
              <w:tblStyle w:val="Table"/>
              <w:tblW w:type="pct" w:w="5000"/>
              <w:tblLayout w:type="fixed"/>
              <w:tblLook w:firstRow="0" w:lastRow="0" w:firstColumn="0" w:lastColumn="0" w:noHBand="0" w:noVBand="0" w:val="0000"/>
            </w:tblPr>
            <w:tblGrid>
              <w:gridCol w:w="7920"/>
            </w:tblGrid>
            <w:tr>
              <w:tc>
                <w:tcPr/>
                <w:bookmarkStart w:id="160" w:name="fig-resids-1"/>
                <w:p>
                  <w:pPr>
                    <w:pStyle w:val="Compact"/>
                    <w:jc w:val="center"/>
                    <w:jc w:val="left"/>
                  </w:pPr>
                  <w:r>
                    <w:drawing>
                      <wp:inline>
                        <wp:extent cx="4620126" cy="3696101"/>
                        <wp:effectExtent b="0" l="0" r="0" t="0"/>
                        <wp:docPr descr="" title="" id="158" name="Picture"/>
                        <a:graphic>
                          <a:graphicData uri="http://schemas.openxmlformats.org/drawingml/2006/picture">
                            <pic:pic>
                              <pic:nvPicPr>
                                <pic:cNvPr descr="index_files/figure-docx/fig-resids-1.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13: Residual plots for models.</w:t>
                  </w:r>
                </w:p>
                <w:bookmarkEnd w:id="160"/>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64" w:name="fig-resids-2"/>
                <w:p>
                  <w:pPr>
                    <w:pStyle w:val="Compact"/>
                    <w:jc w:val="center"/>
                    <w:jc w:val="left"/>
                  </w:pPr>
                  <w:r>
                    <w:drawing>
                      <wp:inline>
                        <wp:extent cx="4620126" cy="3696101"/>
                        <wp:effectExtent b="0" l="0" r="0" t="0"/>
                        <wp:docPr descr="" title="" id="162" name="Picture"/>
                        <a:graphic>
                          <a:graphicData uri="http://schemas.openxmlformats.org/drawingml/2006/picture">
                            <pic:pic>
                              <pic:nvPicPr>
                                <pic:cNvPr descr="index_files/figure-docx/fig-resids-2.png" id="163" name="Picture"/>
                                <pic:cNvPicPr>
                                  <a:picLocks noChangeArrowheads="1" noChangeAspect="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14: Residual plots for models.</w:t>
                  </w:r>
                </w:p>
                <w:bookmarkEnd w:id="164"/>
              </w:tc>
            </w:tr>
          </w:tbl>
          <w:p/>
        </w:tc>
        <w:tc>
          <w:tcPr/>
          <w:tbl>
            <w:tblPr>
              <w:tblStyle w:val="Table"/>
              <w:tblW w:type="pct" w:w="5000"/>
              <w:tblLayout w:type="fixed"/>
              <w:tblLook w:firstRow="0" w:lastRow="0" w:firstColumn="0" w:lastColumn="0" w:noHBand="0" w:noVBand="0" w:val="0000"/>
            </w:tblPr>
            <w:tblGrid>
              <w:gridCol w:w="7920"/>
            </w:tblGrid>
            <w:tr>
              <w:tc>
                <w:tcPr/>
                <w:bookmarkStart w:id="168" w:name="fig-resids-3"/>
                <w:p>
                  <w:pPr>
                    <w:pStyle w:val="Compact"/>
                    <w:jc w:val="center"/>
                    <w:jc w:val="left"/>
                  </w:pPr>
                  <w:r>
                    <w:drawing>
                      <wp:inline>
                        <wp:extent cx="4620126" cy="3696101"/>
                        <wp:effectExtent b="0" l="0" r="0" t="0"/>
                        <wp:docPr descr="" title="" id="166" name="Picture"/>
                        <a:graphic>
                          <a:graphicData uri="http://schemas.openxmlformats.org/drawingml/2006/picture">
                            <pic:pic>
                              <pic:nvPicPr>
                                <pic:cNvPr descr="index_files/figure-docx/fig-resids-3.png" id="167" name="Picture"/>
                                <pic:cNvPicPr>
                                  <a:picLocks noChangeArrowheads="1" noChangeAspect="1"/>
                                </pic:cNvPicPr>
                              </pic:nvPicPr>
                              <pic:blipFill>
                                <a:blip r:embed="rId165"/>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15: Residual plots for models.</w:t>
                  </w:r>
                </w:p>
                <w:bookmarkEnd w:id="168"/>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72" w:name="fig-resids-4"/>
                <w:p>
                  <w:pPr>
                    <w:pStyle w:val="Compact"/>
                    <w:jc w:val="center"/>
                    <w:jc w:val="left"/>
                  </w:pPr>
                  <w:r>
                    <w:drawing>
                      <wp:inline>
                        <wp:extent cx="4620126" cy="3696101"/>
                        <wp:effectExtent b="0" l="0" r="0" t="0"/>
                        <wp:docPr descr="" title="" id="170" name="Picture"/>
                        <a:graphic>
                          <a:graphicData uri="http://schemas.openxmlformats.org/drawingml/2006/picture">
                            <pic:pic>
                              <pic:nvPicPr>
                                <pic:cNvPr descr="index_files/figure-docx/fig-resids-4.png" id="171" name="Picture"/>
                                <pic:cNvPicPr>
                                  <a:picLocks noChangeArrowheads="1" noChangeAspect="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16: Residual plots for models.</w:t>
                  </w:r>
                </w:p>
                <w:bookmarkEnd w:id="172"/>
              </w:tc>
            </w:tr>
          </w:tbl>
          <w:p/>
        </w:tc>
        <w:tc>
          <w:tcPr/>
          <w:tbl>
            <w:tblPr>
              <w:tblStyle w:val="Table"/>
              <w:tblW w:type="pct" w:w="5000"/>
              <w:tblLayout w:type="fixed"/>
              <w:tblLook w:firstRow="0" w:lastRow="0" w:firstColumn="0" w:lastColumn="0" w:noHBand="0" w:noVBand="0" w:val="0000"/>
            </w:tblPr>
            <w:tblGrid>
              <w:gridCol w:w="7920"/>
            </w:tblGrid>
            <w:tr>
              <w:tc>
                <w:tcPr/>
                <w:bookmarkStart w:id="176" w:name="fig-resids-5"/>
                <w:p>
                  <w:pPr>
                    <w:pStyle w:val="Compact"/>
                    <w:jc w:val="center"/>
                    <w:jc w:val="left"/>
                  </w:pPr>
                  <w:r>
                    <w:drawing>
                      <wp:inline>
                        <wp:extent cx="4620126" cy="3696101"/>
                        <wp:effectExtent b="0" l="0" r="0" t="0"/>
                        <wp:docPr descr="" title="" id="174" name="Picture"/>
                        <a:graphic>
                          <a:graphicData uri="http://schemas.openxmlformats.org/drawingml/2006/picture">
                            <pic:pic>
                              <pic:nvPicPr>
                                <pic:cNvPr descr="index_files/figure-docx/fig-resids-5.png" id="175" name="Picture"/>
                                <pic:cNvPicPr>
                                  <a:picLocks noChangeArrowheads="1" noChangeAspect="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17: Residual plots for models.</w:t>
                  </w:r>
                </w:p>
                <w:bookmarkEnd w:id="176"/>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80" w:name="fig-resids-6"/>
                <w:p>
                  <w:pPr>
                    <w:pStyle w:val="Compact"/>
                    <w:jc w:val="center"/>
                    <w:jc w:val="left"/>
                  </w:pPr>
                  <w:r>
                    <w:drawing>
                      <wp:inline>
                        <wp:extent cx="4620126" cy="3696101"/>
                        <wp:effectExtent b="0" l="0" r="0" t="0"/>
                        <wp:docPr descr="" title="" id="178" name="Picture"/>
                        <a:graphic>
                          <a:graphicData uri="http://schemas.openxmlformats.org/drawingml/2006/picture">
                            <pic:pic>
                              <pic:nvPicPr>
                                <pic:cNvPr descr="index_files/figure-docx/fig-resids-6.png" id="179" name="Picture"/>
                                <pic:cNvPicPr>
                                  <a:picLocks noChangeArrowheads="1" noChangeAspect="1"/>
                                </pic:cNvPicPr>
                              </pic:nvPicPr>
                              <pic:blipFill>
                                <a:blip r:embed="rId177"/>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18: Residual plots for models.</w:t>
                  </w:r>
                </w:p>
                <w:bookmarkEnd w:id="180"/>
              </w:tc>
            </w:tr>
          </w:tbl>
          <w:p/>
        </w:tc>
        <w:tc>
          <w:tcPr/>
          <w:tbl>
            <w:tblPr>
              <w:tblStyle w:val="Table"/>
              <w:tblW w:type="pct" w:w="5000"/>
              <w:tblLayout w:type="fixed"/>
              <w:tblLook w:firstRow="0" w:lastRow="0" w:firstColumn="0" w:lastColumn="0" w:noHBand="0" w:noVBand="0" w:val="0000"/>
            </w:tblPr>
            <w:tblGrid>
              <w:gridCol w:w="7920"/>
            </w:tblGrid>
            <w:tr>
              <w:tc>
                <w:tcPr/>
                <w:bookmarkStart w:id="184" w:name="fig-resids-7"/>
                <w:p>
                  <w:pPr>
                    <w:pStyle w:val="Compact"/>
                    <w:jc w:val="center"/>
                    <w:jc w:val="left"/>
                  </w:pPr>
                  <w:r>
                    <w:drawing>
                      <wp:inline>
                        <wp:extent cx="4620126" cy="3696101"/>
                        <wp:effectExtent b="0" l="0" r="0" t="0"/>
                        <wp:docPr descr="" title="" id="182" name="Picture"/>
                        <a:graphic>
                          <a:graphicData uri="http://schemas.openxmlformats.org/drawingml/2006/picture">
                            <pic:pic>
                              <pic:nvPicPr>
                                <pic:cNvPr descr="index_files/figure-docx/fig-resids-7.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19: Residual plots for models.</w:t>
                  </w:r>
                </w:p>
                <w:bookmarkEnd w:id="184"/>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88" w:name="fig-resids-8"/>
                <w:p>
                  <w:pPr>
                    <w:pStyle w:val="Compact"/>
                    <w:jc w:val="center"/>
                    <w:jc w:val="left"/>
                  </w:pPr>
                  <w:r>
                    <w:drawing>
                      <wp:inline>
                        <wp:extent cx="4620126" cy="3696101"/>
                        <wp:effectExtent b="0" l="0" r="0" t="0"/>
                        <wp:docPr descr="" title="" id="186" name="Picture"/>
                        <a:graphic>
                          <a:graphicData uri="http://schemas.openxmlformats.org/drawingml/2006/picture">
                            <pic:pic>
                              <pic:nvPicPr>
                                <pic:cNvPr descr="index_files/figure-docx/fig-resids-8.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20: Residual plots for models.</w:t>
                  </w:r>
                </w:p>
                <w:bookmarkEnd w:id="188"/>
              </w:tc>
            </w:tr>
          </w:tbl>
          <w:p/>
        </w:tc>
        <w:tc>
          <w:tcPr/>
          <w:tbl>
            <w:tblPr>
              <w:tblStyle w:val="Table"/>
              <w:tblW w:type="pct" w:w="5000"/>
              <w:tblLayout w:type="fixed"/>
              <w:tblLook w:firstRow="0" w:lastRow="0" w:firstColumn="0" w:lastColumn="0" w:noHBand="0" w:noVBand="0" w:val="0000"/>
            </w:tblPr>
            <w:tblGrid>
              <w:gridCol w:w="7920"/>
            </w:tblGrid>
            <w:tr>
              <w:tc>
                <w:tcPr/>
                <w:bookmarkStart w:id="192" w:name="fig-resids-9"/>
                <w:p>
                  <w:pPr>
                    <w:pStyle w:val="Compact"/>
                    <w:jc w:val="center"/>
                    <w:jc w:val="left"/>
                  </w:pPr>
                  <w:r>
                    <w:drawing>
                      <wp:inline>
                        <wp:extent cx="4620126" cy="3696101"/>
                        <wp:effectExtent b="0" l="0" r="0" t="0"/>
                        <wp:docPr descr="" title="" id="190" name="Picture"/>
                        <a:graphic>
                          <a:graphicData uri="http://schemas.openxmlformats.org/drawingml/2006/picture">
                            <pic:pic>
                              <pic:nvPicPr>
                                <pic:cNvPr descr="index_files/figure-docx/fig-resids-9.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 Residual plots for models.</w:t>
                  </w:r>
                </w:p>
                <w:bookmarkEnd w:id="192"/>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96" w:name="fig-resids-10"/>
                <w:p>
                  <w:pPr>
                    <w:pStyle w:val="Compact"/>
                    <w:jc w:val="center"/>
                    <w:jc w:val="left"/>
                  </w:pPr>
                  <w:r>
                    <w:drawing>
                      <wp:inline>
                        <wp:extent cx="4620126" cy="3696101"/>
                        <wp:effectExtent b="0" l="0" r="0" t="0"/>
                        <wp:docPr descr="" title="" id="194" name="Picture"/>
                        <a:graphic>
                          <a:graphicData uri="http://schemas.openxmlformats.org/drawingml/2006/picture">
                            <pic:pic>
                              <pic:nvPicPr>
                                <pic:cNvPr descr="index_files/figure-docx/fig-resids-10.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22: Residual plots for models.</w:t>
                  </w:r>
                </w:p>
                <w:bookmarkEnd w:id="196"/>
              </w:tc>
            </w:tr>
          </w:tbl>
          <w:p/>
        </w:tc>
        <w:tc>
          <w:tcPr/>
          <w:tbl>
            <w:tblPr>
              <w:tblStyle w:val="Table"/>
              <w:tblW w:type="pct" w:w="5000"/>
              <w:tblLayout w:type="fixed"/>
              <w:tblLook w:firstRow="0" w:lastRow="0" w:firstColumn="0" w:lastColumn="0" w:noHBand="0" w:noVBand="0" w:val="0000"/>
            </w:tblPr>
            <w:tblGrid>
              <w:gridCol w:w="7920"/>
            </w:tblGrid>
            <w:tr>
              <w:tc>
                <w:tcPr/>
                <w:bookmarkStart w:id="200" w:name="fig-resids-11"/>
                <w:p>
                  <w:pPr>
                    <w:pStyle w:val="Compact"/>
                    <w:jc w:val="center"/>
                    <w:jc w:val="left"/>
                  </w:pPr>
                  <w:r>
                    <w:drawing>
                      <wp:inline>
                        <wp:extent cx="4620126" cy="3696101"/>
                        <wp:effectExtent b="0" l="0" r="0" t="0"/>
                        <wp:docPr descr="" title="" id="198" name="Picture"/>
                        <a:graphic>
                          <a:graphicData uri="http://schemas.openxmlformats.org/drawingml/2006/picture">
                            <pic:pic>
                              <pic:nvPicPr>
                                <pic:cNvPr descr="index_files/figure-docx/fig-resids-11.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23: Residual plots for models.</w:t>
                  </w:r>
                </w:p>
                <w:bookmarkEnd w:id="200"/>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204" w:name="fig-resids-12"/>
                <w:p>
                  <w:pPr>
                    <w:pStyle w:val="Compact"/>
                    <w:jc w:val="center"/>
                    <w:jc w:val="left"/>
                  </w:pPr>
                  <w:r>
                    <w:drawing>
                      <wp:inline>
                        <wp:extent cx="4620126" cy="3696101"/>
                        <wp:effectExtent b="0" l="0" r="0" t="0"/>
                        <wp:docPr descr="" title="" id="202" name="Picture"/>
                        <a:graphic>
                          <a:graphicData uri="http://schemas.openxmlformats.org/drawingml/2006/picture">
                            <pic:pic>
                              <pic:nvPicPr>
                                <pic:cNvPr descr="index_files/figure-docx/fig-resids-12.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24: Residual plots for models.</w:t>
                  </w:r>
                </w:p>
                <w:bookmarkEnd w:id="204"/>
              </w:tc>
            </w:tr>
          </w:tbl>
          <w:p/>
        </w:tc>
        <w:tc>
          <w:tcPr/>
          <w:p>
            <w:pPr>
              <w:jc w:val="left"/>
            </w:pPr>
            <w:r>
              <w:rPr>
                <w:vertAlign w:val="subscript"/>
              </w:rPr>
              <w:t xml:space="preserve">Source:</w:t>
            </w:r>
            <w:r>
              <w:rPr>
                <w:vertAlign w:val="subscript"/>
              </w:rPr>
              <w:t xml:space="preserve"> </w:t>
            </w:r>
            <w:hyperlink r:id="rId9">
              <w:r>
                <w:rPr>
                  <w:rStyle w:val="Hyperlink"/>
                  <w:vertAlign w:val="subscript"/>
                </w:rPr>
                <w:t xml:space="preserve">Article Notebook</w:t>
              </w:r>
            </w:hyperlink>
          </w:p>
        </w:tc>
      </w:tr>
    </w:tbl>
    <w:bookmarkEnd w:id="205"/>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Note that, as in most sports leagues, there is always the possibility of finagling with game attendance figures. The WNBA appears to give attendance counting instructions to teams that define attendance as tickets out, including total ticket sales, plus complimentary tickets and promotions. There is considerable room for these factors to be manipulated, rendering the possibility of noise in the attendance figures we use.</w:t>
      </w:r>
    </w:p>
  </w:footnote>
  <w:footnote w:id="13">
    <w:p>
      <w:pPr>
        <w:pStyle w:val="FootnoteText"/>
      </w:pPr>
      <w:r>
        <w:rPr>
          <w:rStyle w:val="FootnoteReference"/>
        </w:rPr>
        <w:footnoteRef/>
      </w:r>
      <w:r>
        <w:t xml:space="preserve"> </w:t>
      </w:r>
      <w:r>
        <w:t xml:space="preserve">We were only able to collect an estimate for the</w:t>
      </w:r>
      <w:r>
        <w:t xml:space="preserve"> </w:t>
      </w:r>
      <w:r>
        <w:rPr>
          <w:i/>
          <w:iCs/>
        </w:rPr>
        <w:t xml:space="preserve">current</w:t>
      </w:r>
      <w:r>
        <w:t xml:space="preserve"> </w:t>
      </w:r>
      <w:r>
        <w:t xml:space="preserve">arena capacity, which is not necessarily the same as the arena capacity on the day of the game.</w:t>
      </w:r>
    </w:p>
  </w:footnote>
  <w:footnote w:id="62">
    <w:p>
      <w:pPr>
        <w:pStyle w:val="FootnoteText"/>
      </w:pPr>
      <w:r>
        <w:rPr>
          <w:rStyle w:val="FootnoteReference"/>
        </w:rPr>
        <w:footnoteRef/>
      </w:r>
      <w:r>
        <w:t xml:space="preserve"> </w:t>
      </w:r>
      <w:r>
        <w:t xml:space="preserve">The data for the population and the median income of cities comes from the American Community Survey, access to which was provided in R by the</w:t>
      </w:r>
      <w:r>
        <w:t xml:space="preserve"> </w:t>
      </w:r>
      <w:r>
        <w:rPr>
          <w:b/>
          <w:bCs/>
        </w:rPr>
        <w:t xml:space="preserve">tidycensus</w:t>
      </w:r>
      <w:r>
        <w:t xml:space="preserve"> </w:t>
      </w:r>
      <w:r>
        <w:t xml:space="preserve">package. Because the population and median income statistics were available at irregular time periods (due to the COVID-19 pandemic and other factors), we chose to use the median of the population and median income across all of the available years of data as a constant value. While this does mean that the population growth in cities like Phoenix or Las Vegas is ignored, we doubt this will meaningfully affect our results, especially since the team fixed effect should capture some of that variability.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157" Target="media/rId157.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hyperlink" Id="rId147" Target="https://accessecon.com/pubs/eb/2003/volume1/eb-03a10003a.pdf" TargetMode="External" /><Relationship Type="http://schemas.openxmlformats.org/officeDocument/2006/relationships/hyperlink" Id="rId137" Target="https://doi.org/10.1002/(SICI)1099-1255(199611)11:6&lt;619::AID-JAE418&gt;3.0.CO;2-1" TargetMode="External" /><Relationship Type="http://schemas.openxmlformats.org/officeDocument/2006/relationships/hyperlink" Id="rId124" Target="https://doi.org/10.1002/mde.1308" TargetMode="External" /><Relationship Type="http://schemas.openxmlformats.org/officeDocument/2006/relationships/hyperlink" Id="rId132" Target="https://doi.org/10.1016/0304-4076(85)90158-7" TargetMode="External" /><Relationship Type="http://schemas.openxmlformats.org/officeDocument/2006/relationships/hyperlink" Id="rId143" Target="https://doi.org/10.1080/00031305.2016.1154108" TargetMode="External" /><Relationship Type="http://schemas.openxmlformats.org/officeDocument/2006/relationships/hyperlink" Id="rId145" Target="https://doi.org/10.1080/00031305.2019.1583913" TargetMode="External" /><Relationship Type="http://schemas.openxmlformats.org/officeDocument/2006/relationships/hyperlink" Id="rId130" Target="https://doi.org/10.1080/14660970.2022.2037218" TargetMode="External" /><Relationship Type="http://schemas.openxmlformats.org/officeDocument/2006/relationships/hyperlink" Id="rId120" Target="https://doi.org/10.1080/17430437.2017.1346620" TargetMode="External" /><Relationship Type="http://schemas.openxmlformats.org/officeDocument/2006/relationships/hyperlink" Id="rId105" Target="https://doi.org/10.1111/ecin.12061" TargetMode="External" /><Relationship Type="http://schemas.openxmlformats.org/officeDocument/2006/relationships/hyperlink" Id="rId113" Target="https://doi.org/10.1123/jsm.16.4.311" TargetMode="External" /><Relationship Type="http://schemas.openxmlformats.org/officeDocument/2006/relationships/hyperlink" Id="rId111" Target="https://doi.org/10.1123/jsm.2019-0404" TargetMode="External" /><Relationship Type="http://schemas.openxmlformats.org/officeDocument/2006/relationships/hyperlink" Id="rId101" Target="https://doi.org/10.1177/019372359001400102" TargetMode="External" /><Relationship Type="http://schemas.openxmlformats.org/officeDocument/2006/relationships/hyperlink" Id="rId122" Target="https://doi.org/10.1177/152700250200300204" TargetMode="External" /><Relationship Type="http://schemas.openxmlformats.org/officeDocument/2006/relationships/hyperlink" Id="rId103" Target="https://doi.org/10.1177/1527002504265957" TargetMode="External" /><Relationship Type="http://schemas.openxmlformats.org/officeDocument/2006/relationships/hyperlink" Id="rId109" Target="https://doi.org/10.1177/1527002508327387" TargetMode="External" /><Relationship Type="http://schemas.openxmlformats.org/officeDocument/2006/relationships/hyperlink" Id="rId128" Target="https://doi.org/10.1177/1527002509337212" TargetMode="External" /><Relationship Type="http://schemas.openxmlformats.org/officeDocument/2006/relationships/hyperlink" Id="rId107" Target="https://doi.org/10.1177/155862350800300105" TargetMode="External" /><Relationship Type="http://schemas.openxmlformats.org/officeDocument/2006/relationships/hyperlink" Id="rId118" Target="https://doi.org/10.32614/cran.package.wehoop" TargetMode="External" /><Relationship Type="http://schemas.openxmlformats.org/officeDocument/2006/relationships/hyperlink" Id="rId139" Target="https://doi.org/10.3390/ijfs7010012" TargetMode="External" /><Relationship Type="http://schemas.openxmlformats.org/officeDocument/2006/relationships/hyperlink" Id="rId126" Target="https://doi.org/10.53728/2765-6500.1616" TargetMode="External" /><Relationship Type="http://schemas.openxmlformats.org/officeDocument/2006/relationships/hyperlink" Id="rId9" Target="https://g-eastwood.github.io/wnbaattendance/index.qmd.html" TargetMode="External" /><Relationship Type="http://schemas.openxmlformats.org/officeDocument/2006/relationships/hyperlink" Id="rId116" Target="https://polecom.org/index.php/polecom/article/view/119" TargetMode="External" /><Relationship Type="http://schemas.openxmlformats.org/officeDocument/2006/relationships/hyperlink" Id="rId99" Target="https://www.acrossthetimeline.com/wnba/attendance.html" TargetMode="External" /><Relationship Type="http://schemas.openxmlformats.org/officeDocument/2006/relationships/hyperlink" Id="rId134" Target="https://www.jstor.org/stable/1924766" TargetMode="External" /><Relationship Type="http://schemas.openxmlformats.org/officeDocument/2006/relationships/hyperlink" Id="rId149" Target="https://www.wnba.com/news/wnba-delivers-record-setting-2024-season" TargetMode="External" /></Relationships>
</file>

<file path=word/_rels/footnotes.xml.rels><?xml version="1.0" encoding="UTF-8"?><Relationships xmlns="http://schemas.openxmlformats.org/package/2006/relationships"><Relationship Type="http://schemas.openxmlformats.org/officeDocument/2006/relationships/hyperlink" Id="rId147" Target="https://accessecon.com/pubs/eb/2003/volume1/eb-03a10003a.pdf" TargetMode="External" /><Relationship Type="http://schemas.openxmlformats.org/officeDocument/2006/relationships/hyperlink" Id="rId137" Target="https://doi.org/10.1002/(SICI)1099-1255(199611)11:6&lt;619::AID-JAE418&gt;3.0.CO;2-1" TargetMode="External" /><Relationship Type="http://schemas.openxmlformats.org/officeDocument/2006/relationships/hyperlink" Id="rId124" Target="https://doi.org/10.1002/mde.1308" TargetMode="External" /><Relationship Type="http://schemas.openxmlformats.org/officeDocument/2006/relationships/hyperlink" Id="rId132" Target="https://doi.org/10.1016/0304-4076(85)90158-7" TargetMode="External" /><Relationship Type="http://schemas.openxmlformats.org/officeDocument/2006/relationships/hyperlink" Id="rId143" Target="https://doi.org/10.1080/00031305.2016.1154108" TargetMode="External" /><Relationship Type="http://schemas.openxmlformats.org/officeDocument/2006/relationships/hyperlink" Id="rId145" Target="https://doi.org/10.1080/00031305.2019.1583913" TargetMode="External" /><Relationship Type="http://schemas.openxmlformats.org/officeDocument/2006/relationships/hyperlink" Id="rId130" Target="https://doi.org/10.1080/14660970.2022.2037218" TargetMode="External" /><Relationship Type="http://schemas.openxmlformats.org/officeDocument/2006/relationships/hyperlink" Id="rId120" Target="https://doi.org/10.1080/17430437.2017.1346620" TargetMode="External" /><Relationship Type="http://schemas.openxmlformats.org/officeDocument/2006/relationships/hyperlink" Id="rId105" Target="https://doi.org/10.1111/ecin.12061" TargetMode="External" /><Relationship Type="http://schemas.openxmlformats.org/officeDocument/2006/relationships/hyperlink" Id="rId113" Target="https://doi.org/10.1123/jsm.16.4.311" TargetMode="External" /><Relationship Type="http://schemas.openxmlformats.org/officeDocument/2006/relationships/hyperlink" Id="rId111" Target="https://doi.org/10.1123/jsm.2019-0404" TargetMode="External" /><Relationship Type="http://schemas.openxmlformats.org/officeDocument/2006/relationships/hyperlink" Id="rId101" Target="https://doi.org/10.1177/019372359001400102" TargetMode="External" /><Relationship Type="http://schemas.openxmlformats.org/officeDocument/2006/relationships/hyperlink" Id="rId122" Target="https://doi.org/10.1177/152700250200300204" TargetMode="External" /><Relationship Type="http://schemas.openxmlformats.org/officeDocument/2006/relationships/hyperlink" Id="rId103" Target="https://doi.org/10.1177/1527002504265957" TargetMode="External" /><Relationship Type="http://schemas.openxmlformats.org/officeDocument/2006/relationships/hyperlink" Id="rId109" Target="https://doi.org/10.1177/1527002508327387" TargetMode="External" /><Relationship Type="http://schemas.openxmlformats.org/officeDocument/2006/relationships/hyperlink" Id="rId128" Target="https://doi.org/10.1177/1527002509337212" TargetMode="External" /><Relationship Type="http://schemas.openxmlformats.org/officeDocument/2006/relationships/hyperlink" Id="rId107" Target="https://doi.org/10.1177/155862350800300105" TargetMode="External" /><Relationship Type="http://schemas.openxmlformats.org/officeDocument/2006/relationships/hyperlink" Id="rId118" Target="https://doi.org/10.32614/cran.package.wehoop" TargetMode="External" /><Relationship Type="http://schemas.openxmlformats.org/officeDocument/2006/relationships/hyperlink" Id="rId139" Target="https://doi.org/10.3390/ijfs7010012" TargetMode="External" /><Relationship Type="http://schemas.openxmlformats.org/officeDocument/2006/relationships/hyperlink" Id="rId126" Target="https://doi.org/10.53728/2765-6500.1616" TargetMode="External" /><Relationship Type="http://schemas.openxmlformats.org/officeDocument/2006/relationships/hyperlink" Id="rId9" Target="https://g-eastwood.github.io/wnbaattendance/index.qmd.html" TargetMode="External" /><Relationship Type="http://schemas.openxmlformats.org/officeDocument/2006/relationships/hyperlink" Id="rId116" Target="https://polecom.org/index.php/polecom/article/view/119" TargetMode="External" /><Relationship Type="http://schemas.openxmlformats.org/officeDocument/2006/relationships/hyperlink" Id="rId99" Target="https://www.acrossthetimeline.com/wnba/attendance.html" TargetMode="External" /><Relationship Type="http://schemas.openxmlformats.org/officeDocument/2006/relationships/hyperlink" Id="rId134" Target="https://www.jstor.org/stable/1924766" TargetMode="External" /><Relationship Type="http://schemas.openxmlformats.org/officeDocument/2006/relationships/hyperlink" Id="rId149" Target="https://www.wnba.com/news/wnba-delivers-record-setting-2024-sea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Winning and Attendance in the WNBA</dc:title>
  <dc:creator>Gabriela Eastwood; Benjamin S. Baumer; Andrew Zimbalist</dc:creator>
  <cp:keywords>WNBA, Game Attendance</cp:keywords>
  <dcterms:created xsi:type="dcterms:W3CDTF">2026-06-08T17:57:15Z</dcterms:created>
  <dcterms:modified xsi:type="dcterms:W3CDTF">2026-06-08T17:57:15Z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the relationship between team quality, game quality, and attendance has changed over the history of the WNBA. In general, the literature expects that stronger teams will see higher live game attendance in professional sports. However, previous research and analyst commentary has cast doubt on the strength of the relationship between team strength and game attendance in the WNBA. Our study improves upon previous research by studying attendance in the broader context of the league’s growth during 1997-2025, finding that the factors that drive fan demand have evolved as the league has matured. We test whether three leading theories of fan behavior- quality of play, loss aversion, and outcome uncertainty- have become more important drivers of attendance as the league has grown. We use game-level attendance data reported directly by the WNBA from the “Across the Timeline: WNBA League Attendance Dashboard” as well as team ELO ratings and game-by-game home win probabilities and find that in recent years fans are increasingly likely to attend games in response to these factors. ELO ratings and win probabilities offer a significant advantage to other measures of team strength or outcome likelihood because they are dynamic and incorporate information available up to the date of each game. Our results suggest that the WNBA is entering a new era in which fans are choosing to attend games to watch good basketball rather than novelty-driven interest or broader support for women’s sports.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2026-06-08</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