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66.png" ContentType="image/png"/>
  <Override PartName="/word/media/rId175.png" ContentType="image/png"/>
  <Override PartName="/word/media/rId180.png" ContentType="image/png"/>
  <Override PartName="/word/media/rId38.png" ContentType="image/png"/>
  <Override PartName="/word/media/rId17.png" ContentType="image/png"/>
  <Override PartName="/word/media/rId23.png" ContentType="image/png"/>
  <Override PartName="/word/media/rId185.png" ContentType="image/png"/>
  <Override PartName="/word/media/rId190.png" ContentType="image/png"/>
  <Override PartName="/word/media/rId43.png" ContentType="image/png"/>
  <Override PartName="/word/media/rId29.png" ContentType="image/png"/>
  <Override PartName="/word/media/rId87.png" ContentType="image/png"/>
  <Override PartName="/word/media/rId169.png" ContentType="image/png"/>
  <Override PartName="/word/media/rId73.png" ContentType="image/png"/>
  <Override PartName="/word/media/rId93.png" ContentType="image/png"/>
  <Override PartName="/word/media/rId79.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2026-07-10</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w:t>
      </w:r>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r>
        <w:t xml:space="preserve"> </w:t>
      </w:r>
      <w:r>
        <w:t xml:space="preserve">(Rottenberg 1956; Neale 1964)</w:t>
      </w:r>
      <w:r>
        <w:t xml:space="preserve">.</w:t>
      </w:r>
    </w:p>
    <w:p>
      <w:pPr>
        <w:pStyle w:val="BodyText"/>
      </w:pPr>
      <w:r>
        <w:t xml:space="preserve">Coates et al. (2014)</w:t>
      </w:r>
      <w:r>
        <w:t xml:space="preserve"> </w:t>
      </w:r>
      <w:r>
        <w:t xml:space="preserve">use more recent behavioral economics models to suggest that people evaluate gains and losses relative to a reference point and place greater weight on avoiding expected losses than on achieving comparable gains. Rather than predicting a simple linear relationship between attendance and win probability, their model theorizes that attendance relates non-linearly to win probability.</w:t>
      </w:r>
      <w:r>
        <w:t xml:space="preserve"> </w:t>
      </w:r>
      <w:r>
        <w:t xml:space="preserve">They argue that applying this idea of loss aversion may better explain why fans choose to go to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Studies of attendance and winning percentage often consider the latter as causing the former.</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w:t>
      </w:r>
      <w:r>
        <w:t xml:space="preserve"> </w:t>
      </w:r>
      <w:r>
        <w:t xml:space="preserve">The study did not establish causation both ways.</w:t>
      </w:r>
      <w:r>
        <w:t xml:space="preserve"> </w:t>
      </w:r>
      <w:r>
        <w:t xml:space="preserve">Lemke et al. (2010)</w:t>
      </w:r>
      <w:r>
        <w:t xml:space="preserve"> </w:t>
      </w:r>
      <w:r>
        <w:t xml:space="preserve">found attendance increases as home team win probability increases.</w:t>
      </w:r>
      <w:r>
        <w:t xml:space="preserve"> </w:t>
      </w:r>
      <w:r>
        <w:t xml:space="preserve">The bulk of the literature has found that the causal direction runs from winning percentage to attendance</w:t>
      </w:r>
      <w:r>
        <w:rPr>
          <w:rStyle w:val="FootnoteReference"/>
        </w:rPr>
        <w:footnoteReference w:id="9"/>
      </w:r>
      <w:r>
        <w:t xml:space="preserve">.</w:t>
      </w:r>
    </w:p>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is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10"/>
    <w:bookmarkStart w:id="11"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They do not control for the growth in population over the period 1955-2006.</w:t>
      </w:r>
      <w:r>
        <w:t xml:space="preserve"> </w:t>
      </w:r>
      <w:r>
        <w:t xml:space="preserve">This comparison suggests that the current disparity in attendance between the women’s and men’s league should not be interpreted simply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among others.</w:t>
      </w:r>
    </w:p>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11"/>
    <w:bookmarkStart w:id="12"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7" w:name="sec-data"/>
    <w:p>
      <w:pPr>
        <w:pStyle w:val="Heading2"/>
      </w:pPr>
      <w:r>
        <w:t xml:space="preserve">2 Data</w:t>
      </w:r>
    </w:p>
    <w:bookmarkStart w:id="16"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 an online repository for women’s basketball data that collects attendance numbers</w:t>
      </w:r>
      <w:r>
        <w:rPr>
          <w:rStyle w:val="FootnoteReference"/>
        </w:rPr>
        <w:footnoteReference w:id="14"/>
      </w:r>
      <w:r>
        <w:t xml:space="preserve"> </w:t>
      </w:r>
      <w:r>
        <w:t xml:space="preserve">directly from the league’s records</w:t>
      </w:r>
      <w:r>
        <w:t xml:space="preserve"> </w:t>
      </w:r>
      <w:r>
        <w:t xml:space="preserve">(Zimmerman 2026)</w:t>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For example, 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5"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Moda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2010-07-30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2005-08-27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2007-08-03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Toyota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2024-07-05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College Park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2002-07-28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2015-08-02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Reliant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2018-07-20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5"/>
        </w:tc>
      </w:tr>
    </w:tbl>
    <w:bookmarkEnd w:id="16"/>
    <w:bookmarkStart w:id="22"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w:t>
      </w:r>
      <w:r>
        <w:t xml:space="preserve"> </w:t>
      </w:r>
      <w:r>
        <w:t xml:space="preserve">Agha and Berri (2023)</w:t>
      </w:r>
      <w:r>
        <w:t xml:space="preserve"> </w:t>
      </w:r>
      <w:r>
        <w:t xml:space="preserve">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by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player with less celebrity, Wilson’s effect on attendance relative to Clark’s provides additional benchmarking possibilities.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20"/>
        </w:tc>
      </w:tr>
    </w:tbl>
    <w:bookmarkEnd w:id="21"/>
    <w:bookmarkEnd w:id="22"/>
    <w:bookmarkStart w:id="28" w:name="sec-arenas"/>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r>
        <w:t xml:space="preserve"> </w:t>
      </w:r>
      <w:r>
        <w:t xml:space="preserve">The overall average percentage of arena capacity is 0.499.</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27" w:name="cell-fig-boxplots-capacity"/>
    <w:tbl>
      <w:tblPr>
        <w:tblStyle w:val="Table"/>
        <w:tblW w:type="pct" w:w="5000"/>
        <w:tblLayout w:type="fixed"/>
        <w:tblLook w:firstRow="0" w:lastRow="0" w:firstColumn="0" w:lastColumn="0" w:noHBand="0" w:noVBand="0" w:val="0000"/>
      </w:tblPr>
      <w:tblGrid>
        <w:gridCol w:w="7920"/>
      </w:tblGrid>
      <w:tr>
        <w:tc>
          <w:tcPr/>
          <w:bookmarkStart w:id="26" w:name="fig-boxplots-capacity"/>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boxplots-capacity-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26"/>
        </w:tc>
      </w:tr>
    </w:tbl>
    <w:bookmarkEnd w:id="27"/>
    <w:bookmarkEnd w:id="28"/>
    <w:bookmarkStart w:id="34"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3" w:name="cell-fig-elo"/>
    <w:tbl>
      <w:tblPr>
        <w:tblStyle w:val="Table"/>
        <w:tblW w:type="pct" w:w="5000"/>
        <w:tblLayout w:type="fixed"/>
        <w:tblLook w:firstRow="0" w:lastRow="0" w:firstColumn="0" w:lastColumn="0" w:noHBand="0" w:noVBand="0" w:val="0000"/>
      </w:tblPr>
      <w:tblGrid>
        <w:gridCol w:w="7920"/>
      </w:tblGrid>
      <w:tr>
        <w:tc>
          <w:tcPr/>
          <w:bookmarkStart w:id="32" w:name="fig-elo"/>
          <w:p>
            <w:pPr>
              <w:pStyle w:val="Compact"/>
              <w:jc w:val="center"/>
            </w:pPr>
            <w:r>
              <w:drawing>
                <wp:inline>
                  <wp:extent cx="4620126" cy="3696101"/>
                  <wp:effectExtent b="0" l="0" r="0" t="0"/>
                  <wp:docPr descr="" title="" id="30" name="Picture"/>
                  <a:graphic>
                    <a:graphicData uri="http://schemas.openxmlformats.org/drawingml/2006/picture">
                      <pic:pic>
                        <pic:nvPicPr>
                          <pic:cNvPr descr="index_files/figure-docx/fig-el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2"/>
        </w:tc>
      </w:tr>
    </w:tbl>
    <w:bookmarkEnd w:id="33"/>
    <w:bookmarkEnd w:id="34"/>
    <w:bookmarkStart w:id="36"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5"/>
        </w:tc>
      </w:tr>
    </w:tbl>
    <w:bookmarkEnd w:id="36"/>
    <w:bookmarkEnd w:id="37"/>
    <w:bookmarkStart w:id="64" w:name="methods"/>
    <w:p>
      <w:pPr>
        <w:pStyle w:val="Heading2"/>
      </w:pPr>
      <w:r>
        <w:t xml:space="preserve">3 Methods</w:t>
      </w:r>
    </w:p>
    <w:bookmarkStart w:id="49"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examine the relationship between attendance and estimated home win probability.</w:t>
      </w:r>
      <w:r>
        <w:t xml:space="preserve"> </w:t>
      </w:r>
      <w:r>
        <w:t xml:space="preserve">We add a simple quadratic regression line as a flexible approximation of the nonlinear relationship posited by</w:t>
      </w:r>
      <w:r>
        <w:t xml:space="preserve"> </w:t>
      </w:r>
      <w:r>
        <w:t xml:space="preserve">Coates et al. (2014)</w:t>
      </w:r>
      <w:r>
        <w:t xml:space="preserve">.</w:t>
      </w:r>
      <w:r>
        <w:t xml:space="preserve"> </w:t>
      </w:r>
      <w:r>
        <w:t xml:space="preserve">In most years, the slope appears to be positive and the curvature concave up.</w:t>
      </w:r>
      <w:r>
        <w:t xml:space="preserve"> </w:t>
      </w:r>
      <w:r>
        <w:t xml:space="preserve">This pattern is broadly consistent with</w:t>
      </w:r>
      <w:r>
        <w:t xml:space="preserve"> </w:t>
      </w:r>
      <w:r>
        <w:t xml:space="preserve">Coates et al. (2014)</w:t>
      </w:r>
      <w:r>
        <w:t xml:space="preserve">’s hypothesis that the expected utility of attending a game increases as the likelihood of a home-team victory rises.</w:t>
      </w:r>
      <w:r>
        <w:t xml:space="preserve"> </w:t>
      </w:r>
      <w:r>
        <w:t xml:space="preserve">However, these observed relationships do not provide strong evidence that fans primarily seek to avoid losses.</w:t>
      </w:r>
      <w:r>
        <w:t xml:space="preserve"> </w:t>
      </w:r>
      <w:r>
        <w:t xml:space="preserve">We do not observe a pronounced decline in attendance for games in which the home team’s estimated win probability falls below 50%.</w:t>
      </w:r>
    </w:p>
    <w:bookmarkStart w:id="42" w:name="cell-fig-attendance-year"/>
    <w:tbl>
      <w:tblPr>
        <w:tblStyle w:val="Table"/>
        <w:tblW w:type="pct" w:w="5000"/>
        <w:tblLayout w:type="fixed"/>
        <w:tblLook w:firstRow="0" w:lastRow="0" w:firstColumn="0" w:lastColumn="0" w:noHBand="0" w:noVBand="0" w:val="0000"/>
      </w:tblPr>
      <w:tblGrid>
        <w:gridCol w:w="7920"/>
      </w:tblGrid>
      <w:tr>
        <w:tc>
          <w:tcPr/>
          <w:bookmarkStart w:id="41" w:name="fig-attendance-year"/>
          <w:p>
            <w:pPr>
              <w:pStyle w:val="Compact"/>
              <w:jc w:val="center"/>
            </w:pPr>
            <w:r>
              <w:drawing>
                <wp:inline>
                  <wp:extent cx="4620126" cy="3696101"/>
                  <wp:effectExtent b="0" l="0" r="0" t="0"/>
                  <wp:docPr descr="" title="" id="39" name="Picture"/>
                  <a:graphic>
                    <a:graphicData uri="http://schemas.openxmlformats.org/drawingml/2006/picture">
                      <pic:pic>
                        <pic:nvPicPr>
                          <pic:cNvPr descr="index_files/figure-docx/fig-attendance-year-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 up.</w:t>
            </w:r>
          </w:p>
          <w:bookmarkEnd w:id="41"/>
        </w:tc>
      </w:tr>
    </w:tbl>
    <w:bookmarkEnd w:id="42"/>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47" w:name="cell-fig-capacity-year"/>
    <w:tbl>
      <w:tblPr>
        <w:tblStyle w:val="Table"/>
        <w:tblW w:type="pct" w:w="5000"/>
        <w:tblLayout w:type="fixed"/>
        <w:tblLook w:firstRow="0" w:lastRow="0" w:firstColumn="0" w:lastColumn="0" w:noHBand="0" w:noVBand="0" w:val="0000"/>
      </w:tblPr>
      <w:tblGrid>
        <w:gridCol w:w="7920"/>
      </w:tblGrid>
      <w:tr>
        <w:tc>
          <w:tcPr/>
          <w:bookmarkStart w:id="46" w:name="fig-capacity-year"/>
          <w:p>
            <w:pPr>
              <w:pStyle w:val="Compact"/>
              <w:jc w:val="center"/>
            </w:pPr>
            <w:r>
              <w:drawing>
                <wp:inline>
                  <wp:extent cx="4620126" cy="3696101"/>
                  <wp:effectExtent b="0" l="0" r="0" t="0"/>
                  <wp:docPr descr="" title="" id="44" name="Picture"/>
                  <a:graphic>
                    <a:graphicData uri="http://schemas.openxmlformats.org/drawingml/2006/picture">
                      <pic:pic>
                        <pic:nvPicPr>
                          <pic:cNvPr descr="index_files/figure-docx/fig-capacity-year-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46"/>
        </w:tc>
      </w:tr>
    </w:tbl>
    <w:bookmarkEnd w:id="47"/>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in order to generate more excitement in the arena and positive images on telecasts,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48"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 Teams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Avg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Sellouts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Pct Sellouts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Avg Capacity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Entertainment and Sports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among 60 arenas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r>
          </w:tbl>
          <w:bookmarkEnd w:id="48"/>
        </w:tc>
      </w:tr>
    </w:tbl>
    <w:bookmarkEnd w:id="49"/>
    <w:bookmarkStart w:id="58"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r>
        <w:rPr>
          <w:rStyle w:val="FootnoteReference"/>
        </w:rPr>
        <w:footnoteReference w:id="50"/>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57"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51" w:name="tbl-cor"/>
          <w:p>
            <w:pPr>
              <w:jc w:val="center"/>
            </w:pPr>
            <w:pPr>
              <w:jc w:val="left"/>
              <w:spacing w:before="200"/>
              <w:pStyle w:val="ImageCaption"/>
            </w:pPr>
            <w:r>
              <w:t xml:space="preserve">Table 4: Correlations among normalized fan engagement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Z1 Quality of Play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Z2 Uncertain Outcome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Z3 Loss Aversion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51"/>
        </w:tc>
      </w:tr>
    </w:tbl>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56" w:name="cell-fig-all-z"/>
    <w:tbl>
      <w:tblPr>
        <w:tblStyle w:val="Table"/>
        <w:tblW w:type="pct" w:w="5000"/>
        <w:tblLayout w:type="fixed"/>
        <w:tblLook w:firstRow="0" w:lastRow="0" w:firstColumn="0" w:lastColumn="0" w:noHBand="0" w:noVBand="0" w:val="0000"/>
      </w:tblPr>
      <w:tblGrid>
        <w:gridCol w:w="7920"/>
      </w:tblGrid>
      <w:tr>
        <w:tc>
          <w:tcPr/>
          <w:bookmarkStart w:id="55" w:name="fig-all-z"/>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ll-z-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engagement measures as a function of home and away pregame Elo ratings. The lack of correlation across these measures is obvious. The 4th panel shows the simple sum of all three measures.</w:t>
            </w:r>
          </w:p>
          <w:bookmarkEnd w:id="55"/>
        </w:tc>
      </w:tr>
    </w:tbl>
    <w:bookmarkEnd w:id="56"/>
    <w:bookmarkEnd w:id="57"/>
    <w:bookmarkEnd w:id="58"/>
    <w:bookmarkStart w:id="60" w:name="sec-control"/>
    <w:p>
      <w:pPr>
        <w:pStyle w:val="Heading3"/>
      </w:pPr>
      <w:r>
        <w:t xml:space="preserve">3.3 Control variables</w:t>
      </w:r>
    </w:p>
    <w:p>
      <w:pPr>
        <w:pStyle w:val="FirstParagraph"/>
      </w:pPr>
      <w:r>
        <w:t xml:space="preserve">As time-related control variables, we include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59"/>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60"/>
    <w:bookmarkStart w:id="61"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61"/>
    <w:bookmarkStart w:id="62"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8</m:t>
        </m:r>
        <m:r>
          <m:rPr>
            <m:sty m:val="p"/>
          </m:rPr>
          <m:t>,</m:t>
        </m:r>
        <m:r>
          <m:t>9</m:t>
        </m:r>
        <m:r>
          <m:rPr>
            <m:sty m:val="p"/>
          </m:rPr>
          <m:t>,</m:t>
        </m:r>
        <m:r>
          <m:t>10</m:t>
        </m:r>
        <m:r>
          <m:rPr>
            <m:sty m:val="p"/>
          </m:rPr>
          <m:t>,</m:t>
        </m:r>
        <m:r>
          <m:t>11</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4</m:t>
            </m:r>
          </m:sub>
        </m:sSub>
        <m:r>
          <m:rPr>
            <m:sty m:val="p"/>
          </m:rPr>
          <m:t>,</m:t>
        </m:r>
        <m:sSub>
          <m:e>
            <m:r>
              <m:t>β</m:t>
            </m:r>
          </m:e>
          <m:sub>
            <m:r>
              <m:t>12</m:t>
            </m:r>
          </m:sub>
        </m:sSub>
        <m:r>
          <m:rPr>
            <m:sty m:val="p"/>
          </m:rPr>
          <m:t>,</m:t>
        </m:r>
        <m:sSub>
          <m:e>
            <m:r>
              <m:t>β</m:t>
            </m:r>
          </m:e>
          <m:sub>
            <m:r>
              <m:t>13</m:t>
            </m:r>
          </m:sub>
        </m:sSub>
        <m:r>
          <m:rPr>
            <m:sty m:val="p"/>
          </m:rPr>
          <m:t>,</m:t>
        </m:r>
        <m:sSub>
          <m:e>
            <m:r>
              <m:t>β</m:t>
            </m:r>
          </m:e>
          <m:sub>
            <m:r>
              <m:t>14</m:t>
            </m:r>
          </m:sub>
        </m:sSub>
      </m:oMath>
      <w:r>
        <w:t xml:space="preserve"> </w:t>
      </w:r>
      <w:r>
        <w:t xml:space="preserve">have 26 values (corresponding to each season after 1997) and</w:t>
      </w:r>
      <w:r>
        <w:t xml:space="preserve"> </w:t>
      </w:r>
      <m:oMath>
        <m:sSub>
          <m:e>
            <m:r>
              <m:t>β</m:t>
            </m:r>
          </m:e>
          <m:sub>
            <m:r>
              <m:t>7</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t xml:space="preserve">Also like</w:t>
      </w:r>
      <w:r>
        <w:t xml:space="preserve"> </w:t>
      </w:r>
      <w:r>
        <w:t xml:space="preserve">Coates et al. (2014)</w:t>
      </w:r>
      <w:r>
        <w:t xml:space="preserve">, we employ a Tobit model</w:t>
      </w:r>
      <w:r>
        <w:t xml:space="preserve"> </w:t>
      </w:r>
      <w:r>
        <w:t xml:space="preserve">(Tobin 1958; McDonald and Moffitt 1980)</w:t>
      </w:r>
      <w:r>
        <w:t xml:space="preserve">, because the observed attendance is censored by the arena’s capacity.</w:t>
      </w:r>
      <w:r>
        <w:t xml:space="preserve"> </w:t>
      </w:r>
      <w:r>
        <w:t xml:space="preserve">This means that what we are modeling is an unobserved, latent potential attendance, that may or may not exceed the arena’s capacity.</w:t>
      </w:r>
      <w:r>
        <w:t xml:space="preserve"> </w:t>
      </w:r>
      <w:r>
        <w:t xml:space="preserve">In this Tobit model, we have:</w:t>
      </w:r>
    </w:p>
    <w:p>
      <w:pPr>
        <w:pStyle w:val="BodyText"/>
      </w:pPr>
      <m:oMathPara>
        <m:oMathParaPr>
          <m:jc m:val="center"/>
        </m:oMathParaPr>
        <m:oMath>
          <m:r>
            <m:rPr>
              <m:scr m:val="double-struck"/>
              <m:sty m:val="p"/>
            </m:rPr>
            <m:t>E</m:t>
          </m:r>
          <m:r>
            <m:rPr>
              <m:sty m:val="p"/>
            </m:rPr>
            <m:t>(</m:t>
          </m:r>
          <m:r>
            <m:rPr>
              <m:sty m:val="p"/>
            </m:rPr>
            <m:t>ln</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k</m:t>
                        </m:r>
                      </m:sub>
                      <m:sup>
                        <m:r>
                          <m:rPr>
                            <m:sty m:val="p"/>
                          </m:rPr>
                          <m:t>*</m:t>
                        </m:r>
                      </m:sup>
                    </m:sSubSup>
                  </m:e>
                  <m:e>
                    <m:r>
                      <m:rPr>
                        <m:nor/>
                        <m:sty m:val="p"/>
                      </m:rPr>
                      <m:t>if </m:t>
                    </m:r>
                    <m:r>
                      <m:rPr>
                        <m:sty m:val="b"/>
                      </m:rPr>
                      <m:t>X</m:t>
                    </m:r>
                    <m:r>
                      <m:rPr>
                        <m:sty m:val="b"/>
                      </m:rPr>
                      <m:t>β</m:t>
                    </m:r>
                    <m:r>
                      <m:rPr>
                        <m:sty m:val="p"/>
                      </m:rPr>
                      <m:t>&gt;</m:t>
                    </m:r>
                    <m:r>
                      <m:t>0.92</m:t>
                    </m:r>
                    <m:r>
                      <m:rPr>
                        <m:sty m:val="p"/>
                      </m:rPr>
                      <m:t>⋅</m:t>
                    </m:r>
                    <m:sSubSup>
                      <m:e>
                        <m:r>
                          <m:t>y</m:t>
                        </m:r>
                      </m:e>
                      <m:sub>
                        <m:r>
                          <m:t>k</m:t>
                        </m:r>
                      </m:sub>
                      <m:sup>
                        <m:r>
                          <m:rPr>
                            <m:sty m:val="p"/>
                          </m:rPr>
                          <m:t>*</m:t>
                        </m:r>
                      </m:sup>
                    </m:sSubSup>
                    <m:r>
                      <m:t> </m:t>
                    </m:r>
                    <m:r>
                      <m:rPr>
                        <m:sty m:val="p"/>
                      </m:rPr>
                      <m:t>,</m:t>
                    </m:r>
                  </m:e>
                </m:mr>
                <m:mr>
                  <m:e>
                    <m:r>
                      <m:rPr>
                        <m:sty m:val="b"/>
                      </m:rPr>
                      <m:t>X</m:t>
                    </m:r>
                    <m:r>
                      <m:rPr>
                        <m:sty m:val="b"/>
                      </m:rPr>
                      <m:t>β</m:t>
                    </m:r>
                  </m:e>
                  <m:e>
                    <m:r>
                      <m:rPr>
                        <m:nor/>
                        <m:sty m:val="p"/>
                      </m:rPr>
                      <m:t>if </m:t>
                    </m:r>
                    <m:r>
                      <m:rPr>
                        <m:sty m:val="b"/>
                      </m:rPr>
                      <m:t>X</m:t>
                    </m:r>
                    <m:r>
                      <m:rPr>
                        <m:sty m:val="b"/>
                      </m:rPr>
                      <m:t>β</m:t>
                    </m:r>
                    <m:r>
                      <m:rPr>
                        <m:sty m:val="p"/>
                      </m:rPr>
                      <m:t>≤</m:t>
                    </m:r>
                    <m:r>
                      <m:t>0.92</m:t>
                    </m:r>
                    <m:r>
                      <m:rPr>
                        <m:sty m:val="p"/>
                      </m:rPr>
                      <m:t>⋅</m:t>
                    </m:r>
                    <m:sSubSup>
                      <m:e>
                        <m:r>
                          <m:t>y</m:t>
                        </m:r>
                      </m:e>
                      <m:sub>
                        <m:r>
                          <m:t>k</m:t>
                        </m:r>
                      </m:sub>
                      <m:sup>
                        <m:r>
                          <m:rPr>
                            <m:sty m:val="p"/>
                          </m:rPr>
                          <m:t>*</m:t>
                        </m:r>
                      </m:sup>
                    </m:sSubSup>
                  </m:e>
                </m:mr>
              </m:m>
            </m:e>
          </m:d>
          <m:r>
            <m:t> </m:t>
          </m:r>
          <m:r>
            <m:rPr>
              <m:sty m:val="p"/>
            </m:rPr>
            <m:t>,</m:t>
          </m:r>
        </m:oMath>
      </m:oMathPara>
    </w:p>
    <w:p>
      <w:pPr>
        <w:pStyle w:val="FirstParagraph"/>
      </w:pPr>
      <w:r>
        <w:t xml:space="preserve">where</w:t>
      </w:r>
      <w:r>
        <w:t xml:space="preserve"> </w:t>
      </w:r>
      <m:oMath>
        <m:sSubSup>
          <m:e>
            <m:r>
              <m:t>y</m:t>
            </m:r>
          </m:e>
          <m:sub>
            <m:r>
              <m:t>k</m:t>
            </m:r>
          </m:sub>
          <m:sup>
            <m:r>
              <m:rPr>
                <m:sty m:val="p"/>
              </m:rPr>
              <m:t>*</m:t>
            </m:r>
          </m:sup>
        </m:sSubSup>
      </m:oMath>
      <w:r>
        <w:t xml:space="preserve"> </w:t>
      </w:r>
      <w:r>
        <w:t xml:space="preserve">is the estimated capacity of arena</w:t>
      </w:r>
      <w:r>
        <w:t xml:space="preserve"> </w:t>
      </w:r>
      <m:oMath>
        <m:r>
          <m:t>k</m:t>
        </m:r>
      </m:oMath>
      <w:r>
        <w:t xml:space="preserve">, as described in</w:t>
      </w:r>
      <w:r>
        <w:t xml:space="preserve"> </w:t>
      </w:r>
      <w:hyperlink w:anchor="sec-arenas">
        <w:r>
          <w:rPr>
            <w:rStyle w:val="Hyperlink"/>
          </w:rPr>
          <w:t xml:space="preserve">Section 2.3</w:t>
        </w:r>
      </w:hyperlink>
      <w:r>
        <w:t xml:space="preserve">.</w:t>
      </w:r>
    </w:p>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package.</w:t>
      </w:r>
    </w:p>
    <w:bookmarkEnd w:id="62"/>
    <w:bookmarkStart w:id="63"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63"/>
    <w:bookmarkEnd w:id="64"/>
    <w:bookmarkStart w:id="105" w:name="results"/>
    <w:p>
      <w:pPr>
        <w:pStyle w:val="Heading2"/>
      </w:pPr>
      <w:r>
        <w:t xml:space="preserve">4 Results</w:t>
      </w:r>
    </w:p>
    <w:p>
      <w:pPr>
        <w:pStyle w:val="FirstParagraph"/>
      </w:pPr>
      <w:r>
        <w:t xml:space="preserve">In keeping with recent guidance from the American Statistical Association</w:t>
      </w:r>
      <w:r>
        <w:t xml:space="preserve"> </w:t>
      </w:r>
      <w:r>
        <w:t xml:space="preserve">(Wasserstein and Lazar 2016; Wasserstein et al. 2019)</w:t>
      </w:r>
      <w:r>
        <w:t xml:space="preserve">, we focus our attention on the magnitude and practical impact of the fitted coefficients.</w:t>
      </w:r>
      <w:r>
        <w:t xml:space="preserve"> </w:t>
      </w:r>
      <w:r>
        <w:t xml:space="preserve">With a sample size of over 5000 observations and dozens of coefficients, it is not so surprising that many of our statistical tests result in p-values less than 0.05.</w:t>
      </w:r>
    </w:p>
    <w:bookmarkStart w:id="85" w:name="sec-attend"/>
    <w:p>
      <w:pPr>
        <w:pStyle w:val="Heading3"/>
      </w:pPr>
      <w:r>
        <w:t xml:space="preserve">4.1 Modeling attendance</w:t>
      </w:r>
    </w:p>
    <w:bookmarkStart w:id="71"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estimated coefficients in the Tobit model.</w:t>
      </w:r>
      <w:r>
        <w:t xml:space="preserve"> </w:t>
      </w:r>
      <w:r>
        <w:t xml:space="preserve">Because each measure of fan engagement interacts with season, the reported coefficients for quality of play, outcome uncertainty, and loss aversion represent their estimated effects for the reference level: a home game for the Atlanta Dream taking place on a Sunday in August 1997,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tbl>
      <w:tblPr>
        <w:tblStyle w:val="Table"/>
        <w:tblW w:type="pct" w:w="5000"/>
        <w:tblLayout w:type="fixed"/>
        <w:tblLook w:firstRow="0" w:lastRow="0" w:firstColumn="0" w:lastColumn="0" w:noHBand="0" w:noVBand="0" w:val="0000"/>
      </w:tblPr>
      <w:tblGrid>
        <w:gridCol w:w="7920"/>
      </w:tblGrid>
      <w:tr>
        <w:tc>
          <w:tcPr/>
          <w:bookmarkStart w:id="65" w:name="tbl-coefs"/>
          <w:p>
            <w:pPr>
              <w:jc w:val="center"/>
            </w:pPr>
            <w:pPr>
              <w:jc w:val="left"/>
              <w:spacing w:before="200"/>
              <w:pStyle w:val="ImageCaption"/>
            </w:pPr>
            <w:r>
              <w:t xml:space="preserve">Table 5: Fitted coefficients for scalar terms in Tobit model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Coef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$\hat{\sigma}$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bl>
          <w:bookmarkEnd w:id="65"/>
        </w:tc>
      </w:tr>
    </w:tbl>
    <w:p>
      <w:pPr>
        <w:pStyle w:val="BodyText"/>
      </w:pPr>
      <w:r>
        <w:t xml:space="preserve">In the reference season, the evidence for loss aversion (</w:t>
      </w:r>
      <m:oMath>
        <m:sSub>
          <m:e>
            <m:acc>
              <m:accPr>
                <m:chr m:val="̂"/>
              </m:accPr>
              <m:e>
                <m:r>
                  <m:t>β</m:t>
                </m:r>
              </m:e>
            </m:acc>
          </m:e>
          <m:sub>
            <m:r>
              <m:t>3</m:t>
            </m:r>
          </m:sub>
        </m:sSub>
      </m:oMath>
      <w:r>
        <w:t xml:space="preserve">) and uncertainty of outcome (</w:t>
      </w:r>
      <m:oMath>
        <m:sSub>
          <m:e>
            <m:acc>
              <m:accPr>
                <m:chr m:val="̂"/>
              </m:accPr>
              <m:e>
                <m:r>
                  <m:t>β</m:t>
                </m:r>
              </m:e>
            </m:acc>
          </m:e>
          <m:sub>
            <m:r>
              <m:t>2</m:t>
            </m:r>
          </m:sub>
        </m:sSub>
      </m:oMath>
      <w:r>
        <w:t xml:space="preserve">) is weak, with those coefficients being of little significance, either practically or statistically.</w:t>
      </w:r>
      <w:r>
        <w:t xml:space="preserve"> </w:t>
      </w:r>
      <w:r>
        <w:t xml:space="preserve">The coefficient for quality of play (</w:t>
      </w:r>
      <m:oMath>
        <m:sSub>
          <m:e>
            <m:acc>
              <m:accPr>
                <m:chr m:val="̂"/>
              </m:accPr>
              <m:e>
                <m:r>
                  <m:t>β</m:t>
                </m:r>
              </m:e>
            </m:acc>
          </m:e>
          <m:sub>
            <m:r>
              <m:t>1</m:t>
            </m:r>
          </m:sub>
        </m:sSub>
      </m:oMath>
      <w:r>
        <w:t xml:space="preserve">, which</w:t>
      </w:r>
      <w:r>
        <w:t xml:space="preserve"> </w:t>
      </w:r>
      <w:r>
        <w:rPr>
          <w:i/>
          <w:iCs/>
        </w:rPr>
        <w:t xml:space="preserve">is</w:t>
      </w:r>
      <w:r>
        <w:t xml:space="preserve"> </w:t>
      </w:r>
      <w:r>
        <w:t xml:space="preserve">statistically significant) suggests that in 1997, a 1 standard deviation increase in the quality of play (as measured by the product of the Elo ratings) is associated with a modest 2.15% increase in the expected latent attendance, after controlling for our other factors.</w:t>
      </w:r>
      <w:r>
        <w:t xml:space="preserve"> </w:t>
      </w:r>
      <w:r>
        <w:t xml:space="preserve">The support for quality of play (relative to uncertainty of outcome and loss aversion) as a driver of attendance is a key finding.</w:t>
      </w:r>
    </w:p>
    <w:p>
      <w:pPr>
        <w:pStyle w:val="BodyText"/>
      </w:pPr>
      <w:r>
        <w:t xml:space="preserve">Games featuring Caitlin Clark were associated with substantially higher attendance (</w:t>
      </w:r>
      <m:oMath>
        <m:sSub>
          <m:e>
            <m:acc>
              <m:accPr>
                <m:chr m:val="̂"/>
              </m:accPr>
              <m:e>
                <m:r>
                  <m:t>β</m:t>
                </m:r>
              </m:e>
            </m:acc>
          </m:e>
          <m:sub>
            <m:r>
              <m:t>10</m:t>
            </m:r>
          </m:sub>
        </m:sSub>
      </m:oMath>
      <w:r>
        <w:t xml:space="preserve">), while A’ja Wilson’s presence was associated with a smaller but still nontrivial increase in attendance (</w:t>
      </w:r>
      <m:oMath>
        <m:sSub>
          <m:e>
            <m:acc>
              <m:accPr>
                <m:chr m:val="̂"/>
              </m:accPr>
              <m:e>
                <m:r>
                  <m:t>β</m:t>
                </m:r>
              </m:e>
            </m:acc>
          </m:e>
          <m:sub>
            <m:r>
              <m:t>11</m:t>
            </m:r>
          </m:sub>
        </m:sSub>
      </m:oMath>
      <w:r>
        <w:t xml:space="preserve">).</w:t>
      </w:r>
      <w:r>
        <w:t xml:space="preserve"> </w:t>
      </w:r>
      <w:r>
        <w:t xml:space="preserve">The expected latent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levels of fan engagement, and the season effects!</w:t>
      </w:r>
      <w:r>
        <w:t xml:space="preserve"> </w:t>
      </w:r>
      <w:r>
        <w:t xml:space="preserve">The corresponding change in attendance for A’ja Wilson—by most accounts a better player than Clark—is multiplication by just 1.05.</w:t>
      </w:r>
    </w:p>
    <w:p>
      <w:pPr>
        <w:pStyle w:val="BodyText"/>
      </w:pPr>
      <w:r>
        <w:t xml:space="preserve">Among the control variables, median income (</w:t>
      </w:r>
      <m:oMath>
        <m:sSub>
          <m:e>
            <m:acc>
              <m:accPr>
                <m:chr m:val="̂"/>
              </m:accPr>
              <m:e>
                <m:r>
                  <m:t>β</m:t>
                </m:r>
              </m:e>
            </m:acc>
          </m:e>
          <m:sub>
            <m:r>
              <m:t>8</m:t>
            </m:r>
          </m:sub>
        </m:sSub>
      </m:oMath>
      <w:r>
        <w:t xml:space="preserve">) and metro area population (</w:t>
      </w:r>
      <m:oMath>
        <m:sSub>
          <m:e>
            <m:acc>
              <m:accPr>
                <m:chr m:val="̂"/>
              </m:accPr>
              <m:e>
                <m:r>
                  <m:t>β</m:t>
                </m:r>
              </m:e>
            </m:acc>
          </m:e>
          <m:sub>
            <m:r>
              <m:t>9</m:t>
            </m:r>
          </m:sub>
        </m:sSub>
      </m:oMath>
      <w:r>
        <w:t xml:space="preserve">)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(who have sold out all 22 of their home games) is omitted because it was so large that it renders all of the other effects indistinguishable.</w:t>
      </w:r>
      <w:r>
        <w:t xml:space="preserve"> </w:t>
      </w:r>
      <w:r>
        <w:t xml:space="preserve">The New York Liberty have the largest team effect (</w:t>
      </w:r>
      <m:oMath>
        <m:sSub>
          <m:e>
            <m:acc>
              <m:accPr>
                <m:chr m:val="̂"/>
              </m:accPr>
              <m:e>
                <m:r>
                  <m:t>β</m:t>
                </m:r>
              </m:e>
            </m:acc>
          </m:e>
          <m:sub>
            <m:r>
              <m:t>7</m:t>
            </m:r>
          </m:sub>
        </m:sSub>
      </m:oMath>
      <w:r>
        <w:t xml:space="preserve">), and all teams are positive relative to the Dream.</w:t>
      </w:r>
      <w:r>
        <w:t xml:space="preserve"> </w:t>
      </w:r>
      <w:r>
        <w:t xml:space="preserve">Saturday games have the highest attendance (</w:t>
      </w:r>
      <m:oMath>
        <m:sSub>
          <m:e>
            <m:acc>
              <m:accPr>
                <m:chr m:val="̂"/>
              </m:accPr>
              <m:e>
                <m:r>
                  <m:t>β</m:t>
                </m:r>
              </m:e>
            </m:acc>
          </m:e>
          <m:sub>
            <m:r>
              <m:t>6</m:t>
            </m:r>
          </m:sub>
        </m:sSub>
      </m:oMath>
      <w:r>
        <w:t xml:space="preserve">), as do games later in the season (</w:t>
      </w:r>
      <m:oMath>
        <m:sSub>
          <m:e>
            <m:acc>
              <m:accPr>
                <m:chr m:val="̂"/>
              </m:accPr>
              <m:e>
                <m:r>
                  <m:t>β</m:t>
                </m:r>
              </m:e>
            </m:acc>
          </m:e>
          <m:sub>
            <m:r>
              <m:t>5</m:t>
            </m:r>
          </m:sub>
        </m:sSub>
      </m:oMath>
      <w:r>
        <w:t xml:space="preserve">).</w:t>
      </w:r>
    </w:p>
    <w:bookmarkStart w:id="70" w:name="cell-fig-attend-coefs"/>
    <w:tbl>
      <w:tblPr>
        <w:tblStyle w:val="Table"/>
        <w:tblW w:type="pct" w:w="5000"/>
        <w:tblLayout w:type="fixed"/>
        <w:tblLook w:firstRow="0" w:lastRow="0" w:firstColumn="0" w:lastColumn="0" w:noHBand="0" w:noVBand="0" w:val="0000"/>
      </w:tblPr>
      <w:tblGrid>
        <w:gridCol w:w="7920"/>
      </w:tblGrid>
      <w:tr>
        <w:tc>
          <w:tcPr/>
          <w:bookmarkStart w:id="69" w:name="fig-attend-coefs"/>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attend-coefs-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in green. Note the relatively large size of the coefficient associated with Caitlin Clark.</w:t>
            </w:r>
          </w:p>
          <w:bookmarkEnd w:id="69"/>
        </w:tc>
      </w:tr>
    </w:tbl>
    <w:bookmarkEnd w:id="70"/>
    <w:p>
      <w:pPr>
        <w:pStyle w:val="BodyText"/>
      </w:pPr>
      <w:hyperlink w:anchor="tbl-glance">
        <w:r>
          <w:rPr>
            <w:rStyle w:val="Hyperlink"/>
          </w:rPr>
          <w:t xml:space="preserve">Table 8</w:t>
        </w:r>
      </w:hyperlink>
      <w:r>
        <w:t xml:space="preserve"> </w:t>
      </w:r>
      <w:r>
        <w:t xml:space="preserve">characterizes the model’s fit and</w:t>
      </w:r>
      <w:r>
        <w:t xml:space="preserve"> </w:t>
      </w:r>
      <w:hyperlink w:anchor="tbl-anova-tobit">
        <w:r>
          <w:rPr>
            <w:rStyle w:val="Hyperlink"/>
          </w:rPr>
          <w:t xml:space="preserve">Table 9</w:t>
        </w:r>
      </w:hyperlink>
      <w:r>
        <w:t xml:space="preserve"> </w:t>
      </w:r>
      <w:r>
        <w:t xml:space="preserve">shows the ANOVA table.</w:t>
      </w:r>
      <w:r>
        <w:t xml:space="preserve"> </w:t>
      </w:r>
      <w:r>
        <w:t xml:space="preserve">The Tobit coefficient of -1.18 approximates the standard deviation of the latent attendance (on the log scale) when exponentiated (i.e., 0.307).</w:t>
      </w:r>
    </w:p>
    <w:bookmarkEnd w:id="71"/>
    <w:bookmarkStart w:id="84"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72" w:name="tbl-lrt"/>
          <w:p>
            <w:pPr>
              <w:jc w:val="center"/>
            </w:pPr>
            <w:pPr>
              <w:jc w:val="left"/>
              <w:spacing w:before="200"/>
              <w:pStyle w:val="ImageCaption"/>
            </w:pPr>
            <w:r>
              <w:t xml:space="preserve">Table 6: Model comparison: constant vs season-varying effects of fan engagement on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 * LogLik Diff.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Pr(&gt;Chi)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396.3176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72"/>
        </w:tc>
      </w:tr>
    </w:tbl>
    <w:p>
      <w:pPr>
        <w:pStyle w:val="BodyText"/>
      </w:pPr>
      <w:hyperlink w:anchor="fig-season-coefs">
        <w:r>
          <w:rPr>
            <w:rStyle w:val="Hyperlink"/>
          </w:rPr>
          <w:t xml:space="preserve">Figure 8</w:t>
        </w:r>
      </w:hyperlink>
      <w:r>
        <w:t xml:space="preserve"> </w:t>
      </w:r>
      <w:r>
        <w:t xml:space="preserve">isolates the change in intercept associated with each WNBA season (the various values of the vector</w:t>
      </w:r>
      <w:r>
        <w:t xml:space="preserve"> </w:t>
      </w:r>
      <m:oMath>
        <m:sSub>
          <m:e>
            <m:acc>
              <m:accPr>
                <m:chr m:val="̂"/>
              </m:accPr>
              <m:e>
                <m:r>
                  <m:t>β</m:t>
                </m:r>
              </m:e>
            </m:acc>
          </m:e>
          <m:sub>
            <m:r>
              <m:t>4</m:t>
            </m:r>
          </m:sub>
        </m:sSub>
      </m:oMath>
      <w:r>
        <w:t xml:space="preserve">).</w:t>
      </w:r>
      <w:r>
        <w:t xml:space="preserve"> </w:t>
      </w:r>
      <w:r>
        <w:t xml:space="preserve">These reveal that even after controlling for our other variables—including the Caitlin Clark effect—expected attendance has exceeded its 1997 baseline in the most recent seasons.</w:t>
      </w:r>
      <w:r>
        <w:t xml:space="preserve"> </w:t>
      </w:r>
      <w:r>
        <w:t xml:space="preserve">Thus, even after controlling for the influence of Clark and Wilson, league expected attendance has fully recovered from the COVID-19 pandemic and the malaise of the early 2000s and 2010s.</w:t>
      </w:r>
      <w:r>
        <w:t xml:space="preserve"> </w:t>
      </w:r>
      <w:r>
        <w:t xml:space="preserve">This is a second key finding.</w:t>
      </w:r>
    </w:p>
    <w:bookmarkStart w:id="77" w:name="cell-fig-season-coefs"/>
    <w:tbl>
      <w:tblPr>
        <w:tblStyle w:val="Table"/>
        <w:tblW w:type="pct" w:w="5000"/>
        <w:tblLayout w:type="fixed"/>
        <w:tblLook w:firstRow="0" w:lastRow="0" w:firstColumn="0" w:lastColumn="0" w:noHBand="0" w:noVBand="0" w:val="0000"/>
      </w:tblPr>
      <w:tblGrid>
        <w:gridCol w:w="7920"/>
      </w:tblGrid>
      <w:tr>
        <w:tc>
          <w:tcPr/>
          <w:bookmarkStart w:id="76" w:name="fig-season-coefs"/>
          <w:p>
            <w:pPr>
              <w:pStyle w:val="Compact"/>
              <w:jc w:val="center"/>
            </w:pPr>
            <w:r>
              <w:drawing>
                <wp:inline>
                  <wp:extent cx="4620126" cy="3696101"/>
                  <wp:effectExtent b="0" l="0" r="0" t="0"/>
                  <wp:docPr descr="" title="" id="74" name="Picture"/>
                  <a:graphic>
                    <a:graphicData uri="http://schemas.openxmlformats.org/drawingml/2006/picture">
                      <pic:pic>
                        <pic:nvPicPr>
                          <pic:cNvPr descr="index_files/figure-docx/fig-season-coefs-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 (</w:t>
            </w:r>
            <m:oMath>
              <m:sSub>
                <m:e>
                  <m:acc>
                    <m:accPr>
                      <m:chr m:val="̂"/>
                    </m:accPr>
                    <m:e>
                      <m:r>
                        <m:t>β</m:t>
                      </m:r>
                    </m:e>
                  </m:acc>
                </m:e>
                <m:sub>
                  <m:r>
                    <m:t>7</m:t>
                  </m:r>
                </m:sub>
              </m:sSub>
            </m:oMath>
            <w:r>
              <w:t xml:space="preserve">).</w:t>
            </w:r>
          </w:p>
          <w:bookmarkEnd w:id="76"/>
        </w:tc>
      </w:tr>
    </w:tbl>
    <w:bookmarkEnd w:id="77"/>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w:t>
      </w:r>
      <m:oMath>
        <m:sSub>
          <m:e>
            <m:acc>
              <m:accPr>
                <m:chr m:val="̂"/>
              </m:accPr>
              <m:e>
                <m:r>
                  <m:t>β</m:t>
                </m:r>
              </m:e>
            </m:acc>
          </m:e>
          <m:sub>
            <m:r>
              <m:t>1</m:t>
            </m:r>
          </m:sub>
        </m:sSub>
        <m:r>
          <m:rPr>
            <m:sty m:val="p"/>
          </m:rPr>
          <m:t>,</m:t>
        </m:r>
        <m:sSub>
          <m:e>
            <m:acc>
              <m:accPr>
                <m:chr m:val="̂"/>
              </m:accPr>
              <m:e>
                <m:r>
                  <m:t>β</m:t>
                </m:r>
              </m:e>
            </m:acc>
          </m:e>
          <m:sub>
            <m:r>
              <m:t>2</m:t>
            </m:r>
          </m:sub>
        </m:sSub>
        <m:r>
          <m:rPr>
            <m:sty m:val="p"/>
          </m:rPr>
          <m:t>,</m:t>
        </m:r>
        <m:sSub>
          <m:e>
            <m:acc>
              <m:accPr>
                <m:chr m:val="̂"/>
              </m:accPr>
              <m:e>
                <m:r>
                  <m:t>β</m:t>
                </m:r>
              </m:e>
            </m:acc>
          </m:e>
          <m:sub>
            <m:r>
              <m:t>3</m:t>
            </m:r>
          </m:sub>
        </m:sSub>
      </m:oMath>
      <w:r>
        <w:t xml:space="preserve">, corresponding to 1997), match those in</w:t>
      </w:r>
      <w:r>
        <w:t xml:space="preserve"> </w:t>
      </w:r>
      <w:hyperlink w:anchor="tbl-coefs">
        <w:r>
          <w:rPr>
            <w:rStyle w:val="Hyperlink"/>
          </w:rPr>
          <w:t xml:space="preserve">Table 5</w:t>
        </w:r>
      </w:hyperlink>
      <w:r>
        <w:t xml:space="preserve">, and the subsequent interaction terms (</w:t>
      </w:r>
      <m:oMath>
        <m:sSub>
          <m:e>
            <m:acc>
              <m:accPr>
                <m:chr m:val="̂"/>
              </m:accPr>
              <m:e>
                <m:r>
                  <m:t>β</m:t>
                </m:r>
              </m:e>
            </m:acc>
          </m:e>
          <m:sub>
            <m:r>
              <m:t>12</m:t>
            </m:r>
          </m:sub>
        </m:sSub>
        <m:r>
          <m:rPr>
            <m:sty m:val="p"/>
          </m:rPr>
          <m:t>,</m:t>
        </m:r>
        <m:sSub>
          <m:e>
            <m:acc>
              <m:accPr>
                <m:chr m:val="̂"/>
              </m:accPr>
              <m:e>
                <m:r>
                  <m:t>β</m:t>
                </m:r>
              </m:e>
            </m:acc>
          </m:e>
          <m:sub>
            <m:r>
              <m:t>13</m:t>
            </m:r>
          </m:sub>
        </m:sSub>
        <m:r>
          <m:rPr>
            <m:sty m:val="p"/>
          </m:rPr>
          <m:t>,</m:t>
        </m:r>
        <m:sSub>
          <m:e>
            <m:acc>
              <m:accPr>
                <m:chr m:val="̂"/>
              </m:accPr>
              <m:e>
                <m:r>
                  <m:t>β</m:t>
                </m:r>
              </m:e>
            </m:acc>
          </m:e>
          <m:sub>
            <m:r>
              <m:t>14</m:t>
            </m:r>
          </m:sub>
        </m:sSub>
      </m:oMath>
      <w:r>
        <w:t xml:space="preserve">)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rPr>
          <w:rStyle w:val="FootnoteReference"/>
        </w:rPr>
        <w:footnoteReference w:id="78"/>
      </w:r>
      <w:r>
        <w:t xml:space="preserve"> </w:t>
      </w:r>
      <w:r>
        <w:t xml:space="preserve">The slope associated with loss aversion (</w:t>
      </w:r>
      <m:oMath>
        <m:sSub>
          <m:e>
            <m:acc>
              <m:accPr>
                <m:chr m:val="̂"/>
              </m:accPr>
              <m:e>
                <m:r>
                  <m:t>β</m:t>
                </m:r>
              </m:e>
            </m:acc>
          </m:e>
          <m:sub>
            <m:r>
              <m:t>3</m:t>
            </m:r>
          </m:sub>
        </m:sSub>
        <m:r>
          <m:rPr>
            <m:sty m:val="p"/>
          </m:rPr>
          <m:t>+</m:t>
        </m:r>
        <m:sSub>
          <m:e>
            <m:acc>
              <m:accPr>
                <m:chr m:val="̂"/>
              </m:accPr>
              <m:e>
                <m:r>
                  <m:t>β</m:t>
                </m:r>
              </m:e>
            </m:acc>
          </m:e>
          <m:sub>
            <m:r>
              <m:t>14</m:t>
            </m:r>
          </m:sub>
        </m:sSub>
      </m:oMath>
      <w:r>
        <w:t xml:space="preserve">) is always positive and generally increasing, suggesting that the attendance response to home win probability has strengthened over the league’s history.</w:t>
      </w:r>
      <w:r>
        <w:t xml:space="preserve"> </w:t>
      </w:r>
      <w:r>
        <w:t xml:space="preserve">While</w:t>
      </w:r>
      <w:r>
        <w:t xml:space="preserve"> </w:t>
      </w:r>
      <w:r>
        <w:t xml:space="preserve">Agha and Berri (2023)</w:t>
      </w:r>
      <w:r>
        <w:t xml:space="preserve"> </w:t>
      </w:r>
      <w:r>
        <w:t xml:space="preserve">did not find a statistically significant relationship between team strength and demand between 2004 and 2017, our analysis finds that estimated home win probability is a statistically significant predictor of attendance.</w:t>
      </w:r>
      <w:r>
        <w:t xml:space="preserve"> </w:t>
      </w:r>
      <w:r>
        <w:t xml:space="preserve">We use game-level expected probabilities and incorporate a more recent period of league growth, finding that estimated home win probability is a statistically significant predictor of attendance and that its effect has strengthened over time.</w:t>
      </w:r>
      <w:r>
        <w:t xml:space="preserve"> </w:t>
      </w:r>
      <w:r>
        <w:t xml:space="preserve">This suggests that fan behavior in the WNBA may be becoming more similar to the behavior observed in Major League Baseball by</w:t>
      </w:r>
      <w:r>
        <w:t xml:space="preserve"> </w:t>
      </w:r>
      <w:r>
        <w:t xml:space="preserve">Coates et al. (2014)</w:t>
      </w:r>
      <w:r>
        <w:t xml:space="preserve">.</w:t>
      </w:r>
    </w:p>
    <w:p>
      <w:pPr>
        <w:pStyle w:val="BodyText"/>
      </w:pPr>
      <w:r>
        <w:t xml:space="preserve">Similarly, the slope associated with quality of play (</w:t>
      </w:r>
      <m:oMath>
        <m:sSub>
          <m:e>
            <m:acc>
              <m:accPr>
                <m:chr m:val="̂"/>
              </m:accPr>
              <m:e>
                <m:r>
                  <m:t>β</m:t>
                </m:r>
              </m:e>
            </m:acc>
          </m:e>
          <m:sub>
            <m:r>
              <m:t>1</m:t>
            </m:r>
          </m:sub>
        </m:sSub>
        <m:r>
          <m:rPr>
            <m:sty m:val="p"/>
          </m:rPr>
          <m:t>+</m:t>
        </m:r>
        <m:sSub>
          <m:e>
            <m:acc>
              <m:accPr>
                <m:chr m:val="̂"/>
              </m:accPr>
              <m:e>
                <m:r>
                  <m:t>β</m:t>
                </m:r>
              </m:e>
            </m:acc>
          </m:e>
          <m:sub>
            <m:r>
              <m:t>12</m:t>
            </m:r>
          </m:sub>
        </m:sSub>
      </m:oMath>
      <w:r>
        <w:t xml:space="preserve">) is always positive and generally increasing, following a steep fall after the league’s first season.</w:t>
      </w:r>
      <w:r>
        <w:t xml:space="preserve"> </w:t>
      </w:r>
      <w:r>
        <w:t xml:space="preserve">One possible explanation for the anomalously large fitted slope in 1997 is that a few very good and/or very bad teams stood out in the first year in the league.</w:t>
      </w:r>
      <w:r>
        <w:t xml:space="preserve"> </w:t>
      </w:r>
      <w:r>
        <w:t xml:space="preserve">Another plausible explanation is that since all teams started with an initial Elo rating of 1500, it took a while for the relationship between attendance and team strength to settle down.</w:t>
      </w:r>
    </w:p>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bookmarkStart w:id="83" w:name="cell-fig-season-slopes"/>
    <w:tbl>
      <w:tblPr>
        <w:tblStyle w:val="Table"/>
        <w:tblW w:type="pct" w:w="5000"/>
        <w:tblLayout w:type="fixed"/>
        <w:tblLook w:firstRow="0" w:lastRow="0" w:firstColumn="0" w:lastColumn="0" w:noHBand="0" w:noVBand="0" w:val="0000"/>
      </w:tblPr>
      <w:tblGrid>
        <w:gridCol w:w="7920"/>
      </w:tblGrid>
      <w:tr>
        <w:tc>
          <w:tcPr/>
          <w:bookmarkStart w:id="82" w:name="fig-season-slopes"/>
          <w:p>
            <w:pPr>
              <w:pStyle w:val="Compact"/>
              <w:jc w:val="center"/>
            </w:pPr>
            <w:r>
              <w:drawing>
                <wp:inline>
                  <wp:extent cx="4620126" cy="3696101"/>
                  <wp:effectExtent b="0" l="0" r="0" t="0"/>
                  <wp:docPr descr="" title="" id="80" name="Picture"/>
                  <a:graphic>
                    <a:graphicData uri="http://schemas.openxmlformats.org/drawingml/2006/picture">
                      <pic:pic>
                        <pic:nvPicPr>
                          <pic:cNvPr descr="index_files/figure-docx/fig-season-slope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82"/>
        </w:tc>
      </w:tr>
    </w:tbl>
    <w:bookmarkEnd w:id="83"/>
    <w:bookmarkEnd w:id="84"/>
    <w:bookmarkEnd w:id="85"/>
    <w:bookmarkStart w:id="104" w:name="modeling-percentage-of-arena-capacity"/>
    <w:p>
      <w:pPr>
        <w:pStyle w:val="Heading3"/>
      </w:pPr>
      <w:r>
        <w:t xml:space="preserve">4.2 Modeling percentage of arena capacity</w:t>
      </w:r>
    </w:p>
    <w:bookmarkStart w:id="92"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estimated arena capacity model, while</w:t>
      </w:r>
      <w:r>
        <w:t xml:space="preserve"> </w:t>
      </w:r>
      <w:hyperlink w:anchor="fig-pct-coefs">
        <w:r>
          <w:rPr>
            <w:rStyle w:val="Hyperlink"/>
          </w:rPr>
          <w:t xml:space="preserve">Figure 10</w:t>
        </w:r>
      </w:hyperlink>
      <w:r>
        <w:t xml:space="preserve"> </w:t>
      </w:r>
      <w:r>
        <w:t xml:space="preserve">graphically illustrates the relatively magnitude of the coefficients.</w:t>
      </w:r>
      <w:r>
        <w:t xml:space="preserve"> </w:t>
      </w:r>
      <w:r>
        <w:t xml:space="preserve">The results largely mirror those of the Tobit model (compare to</w:t>
      </w:r>
      <w:r>
        <w:t xml:space="preserve"> </w:t>
      </w:r>
      <w:hyperlink w:anchor="tbl-coef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oefs2"/>
          <w:p>
            <w:pPr>
              <w:jc w:val="center"/>
            </w:pPr>
            <w:pPr>
              <w:jc w:val="left"/>
              <w:spacing w:before="200"/>
              <w:pStyle w:val="ImageCaption"/>
            </w:pPr>
            <w:r>
              <w:t xml:space="preserve">Table 7: Table of coefficients from percentage of estimated arena capacity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Coef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$\hat{\beta}_9$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bl>
          <w:bookmarkEnd w:id="86"/>
        </w:tc>
      </w:tr>
    </w:tbl>
    <w:p>
      <w:pPr>
        <w:pStyle w:val="BodyText"/>
      </w:pPr>
      <w:r>
        <w:t xml:space="preserve">In this model, the effect associated with Caitlin Clark’s appearance (</w:t>
      </w:r>
      <m:oMath>
        <m:sSub>
          <m:e>
            <m:acc>
              <m:accPr>
                <m:chr m:val="̂"/>
              </m:accPr>
              <m:e>
                <m:r>
                  <m:t>β</m:t>
                </m:r>
              </m:e>
            </m:acc>
          </m:e>
          <m:sub>
            <m:r>
              <m:t>10</m:t>
            </m:r>
          </m:sub>
        </m:sSub>
      </m:oMath>
      <w:r>
        <w:t xml:space="preserve">) is even more dramatic.</w:t>
      </w:r>
      <w:r>
        <w:t xml:space="preserve"> </w:t>
      </w:r>
      <w:r>
        <w:t xml:space="preserve">After controlling for our other factors, Clark’s presence is associated with a 6.8-fold increase in the ratio of the expected percentage of the arena filled relative to the percentage that is empty.</w:t>
      </w:r>
      <w:r>
        <w:t xml:space="preserve"> </w:t>
      </w:r>
      <w:r>
        <w:t xml:space="preserve">In other words, for an arena that would otherwise be expected to be half-full, Clark’s marginal effect corresponds to a jump in the expected percentage of arena capacity to nearly 0.98%.</w:t>
      </w:r>
      <w:r>
        <w:t xml:space="preserve"> </w:t>
      </w:r>
      <w:r>
        <w:t xml:space="preserve">Clark has played all but one of her games in arena’s that were more than 85% full (recall that the league average is about 50%).</w:t>
      </w:r>
    </w:p>
    <w:bookmarkStart w:id="91" w:name="cell-fig-pct-coefs"/>
    <w:tbl>
      <w:tblPr>
        <w:tblStyle w:val="Table"/>
        <w:tblW w:type="pct" w:w="5000"/>
        <w:tblLayout w:type="fixed"/>
        <w:tblLook w:firstRow="0" w:lastRow="0" w:firstColumn="0" w:lastColumn="0" w:noHBand="0" w:noVBand="0" w:val="0000"/>
      </w:tblPr>
      <w:tblGrid>
        <w:gridCol w:w="7920"/>
      </w:tblGrid>
      <w:tr>
        <w:tc>
          <w:tcPr/>
          <w:bookmarkStart w:id="90" w:name="fig-pct-coefs"/>
          <w:p>
            <w:pPr>
              <w:pStyle w:val="Compact"/>
              <w:jc w:val="center"/>
            </w:pPr>
            <w:r>
              <w:drawing>
                <wp:inline>
                  <wp:extent cx="4620126" cy="3696101"/>
                  <wp:effectExtent b="0" l="0" r="0" t="0"/>
                  <wp:docPr descr="" title="" id="88" name="Picture"/>
                  <a:graphic>
                    <a:graphicData uri="http://schemas.openxmlformats.org/drawingml/2006/picture">
                      <pic:pic>
                        <pic:nvPicPr>
                          <pic:cNvPr descr="index_files/figure-docx/fig-pct-coefs-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90"/>
        </w:tc>
      </w:tr>
    </w:tbl>
    <w:bookmarkEnd w:id="91"/>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92"/>
    <w:bookmarkStart w:id="103"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attendance trends shown in</w:t>
      </w:r>
      <w:r>
        <w:t xml:space="preserve"> </w:t>
      </w:r>
      <w:hyperlink w:anchor="fig-season-coefs">
        <w:r>
          <w:rPr>
            <w:rStyle w:val="Hyperlink"/>
          </w:rPr>
          <w:t xml:space="preserve">Figure 8</w:t>
        </w:r>
      </w:hyperlink>
      <w:r>
        <w:t xml:space="preserve">, these effects generally remained below their 1997 levels for much of the league’s history and only returned to comparable levels recently.</w:t>
      </w:r>
      <w:r>
        <w:t xml:space="preserve"> </w:t>
      </w:r>
      <w:r>
        <w:t xml:space="preserve">In the most recent years of measurement, however, we see the league exceeding its previous highs.</w:t>
      </w:r>
    </w:p>
    <w:bookmarkStart w:id="97" w:name="cell-fig-season-coefs2"/>
    <w:tbl>
      <w:tblPr>
        <w:tblStyle w:val="Table"/>
        <w:tblW w:type="pct" w:w="5000"/>
        <w:tblLayout w:type="fixed"/>
        <w:tblLook w:firstRow="0" w:lastRow="0" w:firstColumn="0" w:lastColumn="0" w:noHBand="0" w:noVBand="0" w:val="0000"/>
      </w:tblPr>
      <w:tblGrid>
        <w:gridCol w:w="7920"/>
      </w:tblGrid>
      <w:tr>
        <w:tc>
          <w:tcPr/>
          <w:bookmarkStart w:id="96" w:name="fig-season-coefs2"/>
          <w:p>
            <w:pPr>
              <w:pStyle w:val="Compact"/>
              <w:jc w:val="center"/>
            </w:pPr>
            <w:r>
              <w:drawing>
                <wp:inline>
                  <wp:extent cx="4620126" cy="3696101"/>
                  <wp:effectExtent b="0" l="0" r="0" t="0"/>
                  <wp:docPr descr="" title="" id="94" name="Picture"/>
                  <a:graphic>
                    <a:graphicData uri="http://schemas.openxmlformats.org/drawingml/2006/picture">
                      <pic:pic>
                        <pic:nvPicPr>
                          <pic:cNvPr descr="index_files/figure-docx/fig-season-coefs2-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 (</w:t>
            </w:r>
            <m:oMath>
              <m:sSub>
                <m:e>
                  <m:acc>
                    <m:accPr>
                      <m:chr m:val="̂"/>
                    </m:accPr>
                    <m:e>
                      <m:r>
                        <m:t>β</m:t>
                      </m:r>
                    </m:e>
                  </m:acc>
                </m:e>
                <m:sub>
                  <m:r>
                    <m:t>7</m:t>
                  </m:r>
                </m:sub>
              </m:sSub>
            </m:oMath>
            <w:r>
              <w:t xml:space="preserve">).</w:t>
            </w:r>
          </w:p>
          <w:bookmarkEnd w:id="96"/>
        </w:tc>
      </w:tr>
    </w:tbl>
    <w:bookmarkEnd w:id="97"/>
    <w:p>
      <w:pPr>
        <w:pStyle w:val="BodyText"/>
      </w:pPr>
      <w:hyperlink w:anchor="fig-season-slopes2">
        <w:r>
          <w:rPr>
            <w:rStyle w:val="Hyperlink"/>
          </w:rPr>
          <w:t xml:space="preserve">Figure 12</w:t>
        </w:r>
      </w:hyperlink>
      <w:r>
        <w:t xml:space="preserve"> </w:t>
      </w:r>
      <w:r>
        <w:t xml:space="preserve">shows that the changes in slopes associated with our measures of fan engagement follow similar patterns to those shown in</w:t>
      </w:r>
      <w:r>
        <w:t xml:space="preserve"> </w:t>
      </w:r>
      <w:hyperlink w:anchor="fig-season-slopes">
        <w:r>
          <w:rPr>
            <w:rStyle w:val="Hyperlink"/>
          </w:rPr>
          <w:t xml:space="preserve">Figure 9</w:t>
        </w:r>
      </w:hyperlink>
      <w:r>
        <w:t xml:space="preserve">.</w:t>
      </w:r>
    </w:p>
    <w:bookmarkStart w:id="102" w:name="cell-fig-season-slopes2"/>
    <w:tbl>
      <w:tblPr>
        <w:tblStyle w:val="Table"/>
        <w:tblW w:type="pct" w:w="5000"/>
        <w:tblLayout w:type="fixed"/>
        <w:tblLook w:firstRow="0" w:lastRow="0" w:firstColumn="0" w:lastColumn="0" w:noHBand="0" w:noVBand="0" w:val="0000"/>
      </w:tblPr>
      <w:tblGrid>
        <w:gridCol w:w="7920"/>
      </w:tblGrid>
      <w:tr>
        <w:tc>
          <w:tcPr/>
          <w:bookmarkStart w:id="101" w:name="fig-season-slopes2"/>
          <w:p>
            <w:pPr>
              <w:pStyle w:val="Compact"/>
              <w:jc w:val="center"/>
            </w:pPr>
            <w:r>
              <w:drawing>
                <wp:inline>
                  <wp:extent cx="4620126" cy="3696101"/>
                  <wp:effectExtent b="0" l="0" r="0" t="0"/>
                  <wp:docPr descr="" title="" id="99" name="Picture"/>
                  <a:graphic>
                    <a:graphicData uri="http://schemas.openxmlformats.org/drawingml/2006/picture">
                      <pic:pic>
                        <pic:nvPicPr>
                          <pic:cNvPr descr="index_files/figure-docx/fig-season-slopes2-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01"/>
        </w:tc>
      </w:tr>
    </w:tbl>
    <w:bookmarkEnd w:id="102"/>
    <w:bookmarkEnd w:id="103"/>
    <w:bookmarkEnd w:id="104"/>
    <w:bookmarkEnd w:id="105"/>
    <w:bookmarkStart w:id="109" w:name="conclusion"/>
    <w:p>
      <w:pPr>
        <w:pStyle w:val="Heading2"/>
      </w:pPr>
      <w:r>
        <w:t xml:space="preserve">5 Conclusion</w:t>
      </w:r>
    </w:p>
    <w:bookmarkStart w:id="106" w:name="key-results"/>
    <w:p>
      <w:pPr>
        <w:pStyle w:val="Heading3"/>
      </w:pPr>
      <w:r>
        <w:t xml:space="preserve">5.1 Key results</w:t>
      </w:r>
    </w:p>
    <w:p>
      <w:pPr>
        <w:pStyle w:val="FirstParagraph"/>
      </w:pPr>
      <w:r>
        <w:t xml:space="preserve">After considering attendance across the entire history of the WNBA, we arrive at several conclusions.</w:t>
      </w:r>
    </w:p>
    <w:p>
      <w:pPr>
        <w:pStyle w:val="BodyText"/>
      </w:pPr>
      <w:r>
        <w:t xml:space="preserve">First, the effect of Caitlin Clark’s presence on attendance is substantial.</w:t>
      </w:r>
      <w:r>
        <w:t xml:space="preserve"> </w:t>
      </w:r>
      <w:r>
        <w:t xml:space="preserve">As discussed above, Clark’s presence in a game more than doubles the expected attendance, even after controlling for other factors.</w:t>
      </w:r>
      <w:r>
        <w:t xml:space="preserve"> </w:t>
      </w:r>
      <w:r>
        <w:t xml:space="preserve">Although interest in a single star player is not by itself evidence of sustained development, it is notable that earlier work did not find star players to be significant drivers of WNBA game attendance</w:t>
      </w:r>
      <w:r>
        <w:t xml:space="preserve"> </w:t>
      </w:r>
      <w:r>
        <w:t xml:space="preserve">(Agha and Berri 2023)</w:t>
      </w:r>
      <w:r>
        <w:t xml:space="preserve">.</w:t>
      </w:r>
    </w:p>
    <w:p>
      <w:pPr>
        <w:pStyle w:val="BodyText"/>
      </w:pPr>
      <w:r>
        <w:t xml:space="preserve">Second, as has been widely reported, attendance has reached new heights in recent years even after controlling for Clark’s presence and other game, team, and market characteristics.</w:t>
      </w:r>
      <w:r>
        <w:t xml:space="preserve"> </w:t>
      </w:r>
      <w:r>
        <w:t xml:space="preserve">This means that the league’s recent success cannot be attributed only to the</w:t>
      </w:r>
      <w:r>
        <w:t xml:space="preserve"> </w:t>
      </w:r>
      <w:r>
        <w:t xml:space="preserve">“Caitlin Clark effect”</w:t>
      </w:r>
      <w:r>
        <w:t xml:space="preserve"> </w:t>
      </w:r>
      <w:r>
        <w:t xml:space="preserve">and instead indicates a broader increase in demand.</w:t>
      </w:r>
      <w:r>
        <w:t xml:space="preserve"> </w:t>
      </w:r>
      <w:r>
        <w:t xml:space="preserve">The Golden State Valkyries filled all 18,064 seats in each one of their 22 home games in 2025, only one of which involved Clark.</w:t>
      </w:r>
    </w:p>
    <w:p>
      <w:pPr>
        <w:pStyle w:val="BodyText"/>
      </w:pPr>
      <w:r>
        <w:t xml:space="preserve">Finally, we find evidence that the relationships between attendance and our measurements of both quality of play and loss aversion have strengthened over time.</w:t>
      </w:r>
      <w:r>
        <w:t xml:space="preserve"> </w:t>
      </w:r>
      <w:r>
        <w:t xml:space="preserve">The effect of quality of play appears to be more robust than the effect of our measurements of either loss aversion or uncertainty of outcome.</w:t>
      </w:r>
    </w:p>
    <w:p>
      <w:pPr>
        <w:pStyle w:val="BodyText"/>
      </w:pPr>
      <w:r>
        <w:t xml:space="preserve">These findings suggest that the WNBA is entering a more mature stage of development, in which fans increasingly attend games for the product on the court rather than primarily out of novelty or support for women’s sports.</w:t>
      </w:r>
    </w:p>
    <w:bookmarkEnd w:id="106"/>
    <w:bookmarkStart w:id="108" w:name="limitations-and-future-work"/>
    <w:p>
      <w:pPr>
        <w:pStyle w:val="Heading3"/>
      </w:pPr>
      <w:r>
        <w:t xml:space="preserve">5.2 Limitations and future work</w:t>
      </w:r>
    </w:p>
    <w:p>
      <w:pPr>
        <w:pStyle w:val="FirstParagraph"/>
      </w:pPr>
      <w:r>
        <w:t xml:space="preserve">We considered fitting a period-based model that would allow us to isolate specific periods across the league’s history and craft a more narrative explanation of fan engagement trends.</w:t>
      </w:r>
      <w:r>
        <w:t xml:space="preserve"> </w:t>
      </w:r>
      <w:r>
        <w:t xml:space="preserve">We ultimately decided against this approach because defining periods by hand would require subjective decisions about the timing of structural breaks and would risk introducing researcher bias into the analysis.</w:t>
      </w:r>
    </w:p>
    <w:p>
      <w:pPr>
        <w:pStyle w:val="BodyText"/>
      </w:pPr>
      <w:r>
        <w:t xml:space="preserve">There are reasonable objections to the way that we defined our measures of fan engagement.</w:t>
      </w:r>
      <w:r>
        <w:t xml:space="preserve"> </w:t>
      </w:r>
      <w:r>
        <w:t xml:space="preserve">We sought definitions that were supported in the literature and could be compared directly, but other approaches could also be valid.</w:t>
      </w:r>
      <w:r>
        <w:t xml:space="preserve"> </w:t>
      </w:r>
      <w:r>
        <w:t xml:space="preserve">In particular, our definition of the uncertainty of outcome is maximized when the two teams are equally strong, but one could argue that this should not be where the maximum occurs or that fans seek a range of uncertainty rather than a single point.</w:t>
      </w:r>
      <w:r>
        <w:t xml:space="preserve"> </w:t>
      </w:r>
      <w:r>
        <w:t xml:space="preserve">Coates et al. (2014)</w:t>
      </w:r>
      <w:r>
        <w:t xml:space="preserve"> </w:t>
      </w:r>
      <w:r>
        <w:t xml:space="preserve">use a reference based definition of uncertainty and find that fans only respond to uncertainty when other conditions are met, incorporating a reference based definition could be useful in future research in the WNBA context.</w:t>
      </w:r>
    </w:p>
    <w:p>
      <w:pPr>
        <w:pStyle w:val="BodyText"/>
      </w:pPr>
      <w:r>
        <w:t xml:space="preserve">There is no theoretical explanation for why the slopes in</w:t>
      </w:r>
      <w:r>
        <w:t xml:space="preserve"> </w:t>
      </w:r>
      <w:hyperlink w:anchor="fig-season-slopes2">
        <w:r>
          <w:rPr>
            <w:rStyle w:val="Hyperlink"/>
          </w:rPr>
          <w:t xml:space="preserve">Figure 12</w:t>
        </w:r>
      </w:hyperlink>
      <w:r>
        <w:t xml:space="preserve"> </w:t>
      </w:r>
      <w:r>
        <w:t xml:space="preserve">should converge to the same value.</w:t>
      </w:r>
    </w:p>
    <w:p>
      <w:pPr>
        <w:pStyle w:val="BodyText"/>
      </w:pPr>
      <w:r>
        <w:t xml:space="preserve">With just two seasons in our data set, while Clark’s impact on attendance is undeniable, only time will tell if this impact is persistent.</w:t>
      </w:r>
      <w:r>
        <w:rPr>
          <w:rStyle w:val="FootnoteReference"/>
        </w:rPr>
        <w:footnoteReference w:id="107"/>
      </w:r>
      <w:r>
        <w:t xml:space="preserve"> </w:t>
      </w:r>
      <w:r>
        <w:t xml:space="preserve">It may very well be the case that as Clark’s novelty wears off, her effect on attendance wanes.</w:t>
      </w:r>
      <w:r>
        <w:t xml:space="preserve"> </w:t>
      </w:r>
      <w:r>
        <w:t xml:space="preserve">A follow-up study could investigate this possibility.</w:t>
      </w:r>
    </w:p>
    <w:p>
      <w:pPr>
        <w:pStyle w:val="BodyText"/>
      </w:pPr>
      <w:r>
        <w:t xml:space="preserve">Finally, while we chose to focus on live, in-person game attendance, fan engagement with games on television and streaming also provide important insight into league health and development.</w:t>
      </w:r>
      <w:r>
        <w:t xml:space="preserve"> </w:t>
      </w:r>
      <w:r>
        <w:t xml:space="preserve">Future research might investigate what drives fans’ engagement with games from their own homes, where the lower cost of engagement might influence fan behavior.</w:t>
      </w:r>
    </w:p>
    <w:bookmarkEnd w:id="108"/>
    <w:bookmarkEnd w:id="109"/>
    <w:bookmarkStart w:id="168" w:name="references"/>
    <w:p>
      <w:pPr>
        <w:pStyle w:val="Heading2"/>
      </w:pPr>
      <w:r>
        <w:t xml:space="preserve">References</w:t>
      </w:r>
    </w:p>
    <w:bookmarkStart w:id="167" w:name="refs"/>
    <w:bookmarkStart w:id="111"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10">
        <w:r>
          <w:rPr>
            <w:rStyle w:val="Hyperlink"/>
          </w:rPr>
          <w:t xml:space="preserve">https://doi.org/10.32731/IJSF/181.022023.03</w:t>
        </w:r>
      </w:hyperlink>
      <w:r>
        <w:t xml:space="preserve">.</w:t>
      </w:r>
    </w:p>
    <w:bookmarkEnd w:id="111"/>
    <w:bookmarkStart w:id="113"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12">
        <w:r>
          <w:rPr>
            <w:rStyle w:val="Hyperlink"/>
          </w:rPr>
          <w:t xml:space="preserve">https://doi.org/10.1111/ecin.12061</w:t>
        </w:r>
      </w:hyperlink>
      <w:r>
        <w:t xml:space="preserve">.</w:t>
      </w:r>
    </w:p>
    <w:bookmarkEnd w:id="113"/>
    <w:bookmarkStart w:id="115"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14">
        <w:r>
          <w:rPr>
            <w:rStyle w:val="Hyperlink"/>
          </w:rPr>
          <w:t xml:space="preserve">https://doi.org/10.1177/155862350800300105</w:t>
        </w:r>
      </w:hyperlink>
      <w:r>
        <w:t xml:space="preserve">.</w:t>
      </w:r>
    </w:p>
    <w:bookmarkEnd w:id="115"/>
    <w:bookmarkStart w:id="117"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16">
        <w:r>
          <w:rPr>
            <w:rStyle w:val="Hyperlink"/>
          </w:rPr>
          <w:t xml:space="preserve">https://doi.org/10.1177/1527002508327387</w:t>
        </w:r>
      </w:hyperlink>
      <w:r>
        <w:t xml:space="preserve">.</w:t>
      </w:r>
    </w:p>
    <w:bookmarkEnd w:id="117"/>
    <w:bookmarkStart w:id="119"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18">
        <w:r>
          <w:rPr>
            <w:rStyle w:val="Hyperlink"/>
          </w:rPr>
          <w:t xml:space="preserve">https://doi.org/10.1123/jsm.2019-0404</w:t>
        </w:r>
      </w:hyperlink>
      <w:r>
        <w:t xml:space="preserve">.</w:t>
      </w:r>
    </w:p>
    <w:bookmarkEnd w:id="119"/>
    <w:bookmarkStart w:id="121"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20">
        <w:r>
          <w:rPr>
            <w:rStyle w:val="Hyperlink"/>
          </w:rPr>
          <w:t xml:space="preserve">https://doi.org/10.1123/jsm.16.4.311</w:t>
        </w:r>
      </w:hyperlink>
      <w:r>
        <w:t xml:space="preserve">.</w:t>
      </w:r>
    </w:p>
    <w:bookmarkEnd w:id="121"/>
    <w:bookmarkStart w:id="122"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22"/>
    <w:bookmarkStart w:id="124"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23">
        <w:r>
          <w:rPr>
            <w:rStyle w:val="Hyperlink"/>
          </w:rPr>
          <w:t xml:space="preserve">https://polecom.org/index.php/polecom/article/view/119</w:t>
        </w:r>
      </w:hyperlink>
      <w:r>
        <w:t xml:space="preserve">.</w:t>
      </w:r>
    </w:p>
    <w:bookmarkEnd w:id="124"/>
    <w:bookmarkStart w:id="126"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25">
        <w:r>
          <w:rPr>
            <w:rStyle w:val="Hyperlink"/>
          </w:rPr>
          <w:t xml:space="preserve">https://doi.org/10.32614/cran.package.wehoop</w:t>
        </w:r>
      </w:hyperlink>
      <w:r>
        <w:t xml:space="preserve">.</w:t>
      </w:r>
    </w:p>
    <w:bookmarkEnd w:id="126"/>
    <w:bookmarkStart w:id="128"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27">
        <w:r>
          <w:rPr>
            <w:rStyle w:val="Hyperlink"/>
          </w:rPr>
          <w:t xml:space="preserve">https://doi.org/10.1080/17430437.2017.1346620</w:t>
        </w:r>
      </w:hyperlink>
      <w:r>
        <w:t xml:space="preserve">.</w:t>
      </w:r>
    </w:p>
    <w:bookmarkEnd w:id="128"/>
    <w:bookmarkStart w:id="130"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29">
        <w:r>
          <w:rPr>
            <w:rStyle w:val="Hyperlink"/>
          </w:rPr>
          <w:t xml:space="preserve">https://doi.org/10.1177/152700250200300204</w:t>
        </w:r>
      </w:hyperlink>
      <w:r>
        <w:t xml:space="preserve">.</w:t>
      </w:r>
    </w:p>
    <w:bookmarkEnd w:id="130"/>
    <w:bookmarkStart w:id="132"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31">
        <w:r>
          <w:rPr>
            <w:rStyle w:val="Hyperlink"/>
          </w:rPr>
          <w:t xml:space="preserve">https://doi.org/10.1002/mde.1308</w:t>
        </w:r>
      </w:hyperlink>
      <w:r>
        <w:t xml:space="preserve">.</w:t>
      </w:r>
    </w:p>
    <w:bookmarkEnd w:id="132"/>
    <w:bookmarkStart w:id="134"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33">
        <w:r>
          <w:rPr>
            <w:rStyle w:val="Hyperlink"/>
          </w:rPr>
          <w:t xml:space="preserve">https://doi.org/10.53728/2765-6500.1616</w:t>
        </w:r>
      </w:hyperlink>
      <w:r>
        <w:t xml:space="preserve">.</w:t>
      </w:r>
    </w:p>
    <w:bookmarkEnd w:id="134"/>
    <w:bookmarkStart w:id="136"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35">
        <w:r>
          <w:rPr>
            <w:rStyle w:val="Hyperlink"/>
          </w:rPr>
          <w:t xml:space="preserve">https://doi.org/10.1177/1527002509337212</w:t>
        </w:r>
      </w:hyperlink>
      <w:r>
        <w:t xml:space="preserve">.</w:t>
      </w:r>
    </w:p>
    <w:bookmarkEnd w:id="136"/>
    <w:bookmarkStart w:id="138"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37">
        <w:r>
          <w:rPr>
            <w:rStyle w:val="Hyperlink"/>
          </w:rPr>
          <w:t xml:space="preserve">https://doi.org/10.1080/14660970.2022.2037218</w:t>
        </w:r>
      </w:hyperlink>
      <w:r>
        <w:t xml:space="preserve">.</w:t>
      </w:r>
    </w:p>
    <w:bookmarkEnd w:id="138"/>
    <w:bookmarkStart w:id="140"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39">
        <w:r>
          <w:rPr>
            <w:rStyle w:val="Hyperlink"/>
          </w:rPr>
          <w:t xml:space="preserve">https://doi.org/10.1016/0304-4076(85)90158-7</w:t>
        </w:r>
      </w:hyperlink>
      <w:r>
        <w:t xml:space="preserve">.</w:t>
      </w:r>
    </w:p>
    <w:bookmarkEnd w:id="140"/>
    <w:bookmarkStart w:id="142"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41">
        <w:r>
          <w:rPr>
            <w:rStyle w:val="Hyperlink"/>
          </w:rPr>
          <w:t xml:space="preserve">https://www.jstor.org/stable/1924766</w:t>
        </w:r>
      </w:hyperlink>
      <w:r>
        <w:t xml:space="preserve">.</w:t>
      </w:r>
    </w:p>
    <w:bookmarkEnd w:id="142"/>
    <w:bookmarkStart w:id="144" w:name="ref-neale1964peculiar"/>
    <w:p>
      <w:pPr>
        <w:pStyle w:val="Bibliography"/>
      </w:pPr>
      <w:r>
        <w:t xml:space="preserve">Neale, Walter C. 1964.</w:t>
      </w:r>
      <w:r>
        <w:t xml:space="preserve"> </w:t>
      </w:r>
      <w:r>
        <w:t xml:space="preserve">“The Peculiar Economics of Professional Sports.”</w:t>
      </w:r>
      <w:r>
        <w:t xml:space="preserve"> </w:t>
      </w:r>
      <w:r>
        <w:rPr>
          <w:i/>
          <w:iCs/>
        </w:rPr>
        <w:t xml:space="preserve">The Quarterly Journal of Economics</w:t>
      </w:r>
      <w:r>
        <w:t xml:space="preserve"> </w:t>
      </w:r>
      <w:r>
        <w:t xml:space="preserve">78 (1): 1–14.</w:t>
      </w:r>
      <w:r>
        <w:t xml:space="preserve"> </w:t>
      </w:r>
      <w:hyperlink r:id="rId143">
        <w:r>
          <w:rPr>
            <w:rStyle w:val="Hyperlink"/>
          </w:rPr>
          <w:t xml:space="preserve">https://doi.org/10.2307/1880543</w:t>
        </w:r>
      </w:hyperlink>
      <w:r>
        <w:t xml:space="preserve">.</w:t>
      </w:r>
    </w:p>
    <w:bookmarkEnd w:id="144"/>
    <w:bookmarkStart w:id="145"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45"/>
    <w:bookmarkStart w:id="147"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46">
        <w:r>
          <w:rPr>
            <w:rStyle w:val="Hyperlink"/>
          </w:rPr>
          <w:t xml:space="preserve">https://doi.org/10.1002/(SICI)1099-1255(199611)11:6&lt;619::AID-JAE418&gt;3.0.CO;2-1</w:t>
        </w:r>
      </w:hyperlink>
      <w:r>
        <w:t xml:space="preserve">.</w:t>
      </w:r>
    </w:p>
    <w:bookmarkEnd w:id="147"/>
    <w:bookmarkStart w:id="149"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48">
        <w:r>
          <w:rPr>
            <w:rStyle w:val="Hyperlink"/>
          </w:rPr>
          <w:t xml:space="preserve">https://doi.org/10.3390/ijfs7010012</w:t>
        </w:r>
      </w:hyperlink>
      <w:r>
        <w:t xml:space="preserve">.</w:t>
      </w:r>
    </w:p>
    <w:bookmarkEnd w:id="149"/>
    <w:bookmarkStart w:id="150"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50"/>
    <w:bookmarkStart w:id="152" w:name="ref-rottenberg1956baseball"/>
    <w:p>
      <w:pPr>
        <w:pStyle w:val="Bibliography"/>
      </w:pPr>
      <w:r>
        <w:t xml:space="preserve">Rottenberg, Simon. 1956.</w:t>
      </w:r>
      <w:r>
        <w:t xml:space="preserve"> </w:t>
      </w:r>
      <w:r>
        <w:t xml:space="preserve">“The Baseball Players’ Labor Market.”</w:t>
      </w:r>
      <w:r>
        <w:t xml:space="preserve"> </w:t>
      </w:r>
      <w:r>
        <w:rPr>
          <w:i/>
          <w:iCs/>
        </w:rPr>
        <w:t xml:space="preserve">Journal of Political Economy</w:t>
      </w:r>
      <w:r>
        <w:t xml:space="preserve"> </w:t>
      </w:r>
      <w:r>
        <w:t xml:space="preserve">64 (3): 242–58.</w:t>
      </w:r>
      <w:r>
        <w:t xml:space="preserve"> </w:t>
      </w:r>
      <w:hyperlink r:id="rId151">
        <w:r>
          <w:rPr>
            <w:rStyle w:val="Hyperlink"/>
          </w:rPr>
          <w:t xml:space="preserve">https://doi.org/10.1086/257790</w:t>
        </w:r>
      </w:hyperlink>
      <w:r>
        <w:t xml:space="preserve">.</w:t>
      </w:r>
    </w:p>
    <w:bookmarkEnd w:id="152"/>
    <w:bookmarkStart w:id="154" w:name="ref-tobin1958estimation"/>
    <w:p>
      <w:pPr>
        <w:pStyle w:val="Bibliography"/>
      </w:pPr>
      <w:r>
        <w:t xml:space="preserve">Tobin, James. 1958.</w:t>
      </w:r>
      <w:r>
        <w:t xml:space="preserve"> </w:t>
      </w:r>
      <w:r>
        <w:t xml:space="preserve">“Estimation of Relationships for Limited Dependent Variables.”</w:t>
      </w:r>
      <w:r>
        <w:t xml:space="preserve"> </w:t>
      </w:r>
      <w:r>
        <w:rPr>
          <w:i/>
          <w:iCs/>
        </w:rPr>
        <w:t xml:space="preserve">Econometrica</w:t>
      </w:r>
      <w:r>
        <w:t xml:space="preserve">, 24–36.</w:t>
      </w:r>
      <w:r>
        <w:t xml:space="preserve"> </w:t>
      </w:r>
      <w:hyperlink r:id="rId153">
        <w:r>
          <w:rPr>
            <w:rStyle w:val="Hyperlink"/>
          </w:rPr>
          <w:t xml:space="preserve">https://doi.org/10.2307/1907382</w:t>
        </w:r>
      </w:hyperlink>
      <w:r>
        <w:t xml:space="preserve">.</w:t>
      </w:r>
    </w:p>
    <w:bookmarkEnd w:id="154"/>
    <w:bookmarkStart w:id="156"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55">
        <w:r>
          <w:rPr>
            <w:rStyle w:val="Hyperlink"/>
          </w:rPr>
          <w:t xml:space="preserve">https://doi.org/10.1080/00031305.2016.1154108</w:t>
        </w:r>
      </w:hyperlink>
      <w:r>
        <w:t xml:space="preserve">.</w:t>
      </w:r>
    </w:p>
    <w:bookmarkEnd w:id="156"/>
    <w:bookmarkStart w:id="158"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57">
        <w:r>
          <w:rPr>
            <w:rStyle w:val="Hyperlink"/>
          </w:rPr>
          <w:t xml:space="preserve">https://doi.org/10.1080/00031305.2019.1583913</w:t>
        </w:r>
      </w:hyperlink>
      <w:r>
        <w:t xml:space="preserve">.</w:t>
      </w:r>
    </w:p>
    <w:bookmarkEnd w:id="158"/>
    <w:bookmarkStart w:id="160"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59">
        <w:r>
          <w:rPr>
            <w:rStyle w:val="Hyperlink"/>
          </w:rPr>
          <w:t xml:space="preserve">https://accessecon.com/pubs/eb/2003/volume1/eb-03a10003a.pdf</w:t>
        </w:r>
      </w:hyperlink>
      <w:r>
        <w:t xml:space="preserve">.</w:t>
      </w:r>
    </w:p>
    <w:bookmarkEnd w:id="160"/>
    <w:bookmarkStart w:id="162" w:name="ref-wnba2024recordseason"/>
    <w:p>
      <w:pPr>
        <w:pStyle w:val="Bibliography"/>
      </w:pPr>
      <w:r>
        <w:t xml:space="preserve">WNBA. 2024.</w:t>
      </w:r>
      <w:r>
        <w:t xml:space="preserve"> </w:t>
      </w:r>
      <w:r>
        <w:t xml:space="preserve">“WNBA Delivers Record‑setting 2024 Season.”</w:t>
      </w:r>
      <w:r>
        <w:t xml:space="preserve"> </w:t>
      </w:r>
      <w:hyperlink r:id="rId161">
        <w:r>
          <w:rPr>
            <w:rStyle w:val="Hyperlink"/>
          </w:rPr>
          <w:t xml:space="preserve">https://www.wnba.com/news/wnba-delivers-record-setting-2024-season</w:t>
        </w:r>
      </w:hyperlink>
      <w:r>
        <w:t xml:space="preserve">.</w:t>
      </w:r>
    </w:p>
    <w:bookmarkEnd w:id="162"/>
    <w:bookmarkStart w:id="164"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63">
        <w:r>
          <w:rPr>
            <w:rStyle w:val="Hyperlink"/>
          </w:rPr>
          <w:t xml:space="preserve">https://thesportjournal.org/article/attendance-still-matters-in-mlb-the-relationship-with-winning-percentage/</w:t>
        </w:r>
      </w:hyperlink>
      <w:r>
        <w:t xml:space="preserve">.</w:t>
      </w:r>
    </w:p>
    <w:bookmarkEnd w:id="164"/>
    <w:bookmarkStart w:id="166"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65">
        <w:r>
          <w:rPr>
            <w:rStyle w:val="Hyperlink"/>
          </w:rPr>
          <w:t xml:space="preserve">https://www.acrossthetimeline.com/wnba/attendance.html</w:t>
        </w:r>
      </w:hyperlink>
      <w:r>
        <w:t xml:space="preserve">.</w:t>
      </w:r>
    </w:p>
    <w:bookmarkEnd w:id="166"/>
    <w:bookmarkEnd w:id="167"/>
    <w:bookmarkEnd w:id="168"/>
    <w:bookmarkStart w:id="202" w:name="appendix"/>
    <w:p>
      <w:pPr>
        <w:pStyle w:val="Heading2"/>
      </w:pPr>
      <w:r>
        <w:t xml:space="preserve">6 Appendix</w:t>
      </w:r>
    </w:p>
    <w:bookmarkStart w:id="174" w:name="distribution-of-fan-engagement"/>
    <w:p>
      <w:pPr>
        <w:pStyle w:val="Heading3"/>
      </w:pPr>
      <w:r>
        <w:t xml:space="preserve">6.1 Distribution of fan engagement</w:t>
      </w:r>
    </w:p>
    <w:bookmarkStart w:id="173" w:name="cell-fig-rescaled"/>
    <w:tbl>
      <w:tblPr>
        <w:tblStyle w:val="Table"/>
        <w:tblW w:type="pct" w:w="5000"/>
        <w:tblLayout w:type="fixed"/>
        <w:tblLook w:firstRow="0" w:lastRow="0" w:firstColumn="0" w:lastColumn="0" w:noHBand="0" w:noVBand="0" w:val="0000"/>
      </w:tblPr>
      <w:tblGrid>
        <w:gridCol w:w="7920"/>
      </w:tblGrid>
      <w:tr>
        <w:tc>
          <w:tcPr/>
          <w:bookmarkStart w:id="172" w:name="fig-rescaled"/>
          <w:p>
            <w:pPr>
              <w:pStyle w:val="Compact"/>
              <w:jc w:val="center"/>
            </w:pPr>
            <w:r>
              <w:drawing>
                <wp:inline>
                  <wp:extent cx="4620126" cy="3696101"/>
                  <wp:effectExtent b="0" l="0" r="0" t="0"/>
                  <wp:docPr descr="" title="" id="170" name="Picture"/>
                  <a:graphic>
                    <a:graphicData uri="http://schemas.openxmlformats.org/drawingml/2006/picture">
                      <pic:pic>
                        <pic:nvPicPr>
                          <pic:cNvPr descr="index_files/figure-docx/fig-rescaled-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72"/>
        </w:tc>
      </w:tr>
    </w:tbl>
    <w:bookmarkEnd w:id="173"/>
    <w:bookmarkEnd w:id="174"/>
    <w:bookmarkStart w:id="195" w:name="X9ace4710bf5d1740b4f2eb03d92c7bb21252161"/>
    <w:p>
      <w:pPr>
        <w:pStyle w:val="Heading3"/>
      </w:pPr>
      <w:r>
        <w:t xml:space="preserve">6.2 Relationship between attendance and fan engagement</w:t>
      </w:r>
    </w:p>
    <w:bookmarkStart w:id="179" w:name="cell-fig-attend-f1"/>
    <w:tbl>
      <w:tblPr>
        <w:tblStyle w:val="Table"/>
        <w:tblW w:type="pct" w:w="5000"/>
        <w:tblLayout w:type="fixed"/>
        <w:tblLook w:firstRow="0" w:lastRow="0" w:firstColumn="0" w:lastColumn="0" w:noHBand="0" w:noVBand="0" w:val="0000"/>
      </w:tblPr>
      <w:tblGrid>
        <w:gridCol w:w="7920"/>
      </w:tblGrid>
      <w:tr>
        <w:tc>
          <w:tcPr/>
          <w:bookmarkStart w:id="178" w:name="fig-attend-f1"/>
          <w:p>
            <w:pPr>
              <w:pStyle w:val="Compact"/>
              <w:jc w:val="center"/>
            </w:pPr>
            <w:r>
              <w:drawing>
                <wp:inline>
                  <wp:extent cx="4620126" cy="3696101"/>
                  <wp:effectExtent b="0" l="0" r="0" t="0"/>
                  <wp:docPr descr="" title="" id="176" name="Picture"/>
                  <a:graphic>
                    <a:graphicData uri="http://schemas.openxmlformats.org/drawingml/2006/picture">
                      <pic:pic>
                        <pic:nvPicPr>
                          <pic:cNvPr descr="index_files/figure-docx/fig-attend-f1-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78"/>
        </w:tc>
      </w:tr>
    </w:tbl>
    <w:bookmarkEnd w:id="179"/>
    <w:bookmarkStart w:id="184" w:name="cell-fig-attend-f2"/>
    <w:tbl>
      <w:tblPr>
        <w:tblStyle w:val="Table"/>
        <w:tblW w:type="pct" w:w="5000"/>
        <w:tblLayout w:type="fixed"/>
        <w:tblLook w:firstRow="0" w:lastRow="0" w:firstColumn="0" w:lastColumn="0" w:noHBand="0" w:noVBand="0" w:val="0000"/>
      </w:tblPr>
      <w:tblGrid>
        <w:gridCol w:w="7920"/>
      </w:tblGrid>
      <w:tr>
        <w:tc>
          <w:tcPr/>
          <w:bookmarkStart w:id="183" w:name="fig-attend-f2"/>
          <w:p>
            <w:pPr>
              <w:pStyle w:val="Compact"/>
              <w:jc w:val="center"/>
            </w:pPr>
            <w:r>
              <w:drawing>
                <wp:inline>
                  <wp:extent cx="4620126" cy="3696101"/>
                  <wp:effectExtent b="0" l="0" r="0" t="0"/>
                  <wp:docPr descr="" title="" id="181" name="Picture"/>
                  <a:graphic>
                    <a:graphicData uri="http://schemas.openxmlformats.org/drawingml/2006/picture">
                      <pic:pic>
                        <pic:nvPicPr>
                          <pic:cNvPr descr="index_files/figure-docx/fig-attend-f2-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83"/>
        </w:tc>
      </w:tr>
    </w:tbl>
    <w:bookmarkEnd w:id="184"/>
    <w:bookmarkStart w:id="189" w:name="cell-fig-capacity-f1"/>
    <w:tbl>
      <w:tblPr>
        <w:tblStyle w:val="Table"/>
        <w:tblW w:type="pct" w:w="5000"/>
        <w:tblLayout w:type="fixed"/>
        <w:tblLook w:firstRow="0" w:lastRow="0" w:firstColumn="0" w:lastColumn="0" w:noHBand="0" w:noVBand="0" w:val="0000"/>
      </w:tblPr>
      <w:tblGrid>
        <w:gridCol w:w="7920"/>
      </w:tblGrid>
      <w:tr>
        <w:tc>
          <w:tcPr/>
          <w:bookmarkStart w:id="188" w:name="fig-capacity-f1"/>
          <w:p>
            <w:pPr>
              <w:pStyle w:val="Compact"/>
              <w:jc w:val="center"/>
            </w:pPr>
            <w:r>
              <w:drawing>
                <wp:inline>
                  <wp:extent cx="4620126" cy="3696101"/>
                  <wp:effectExtent b="0" l="0" r="0" t="0"/>
                  <wp:docPr descr="" title="" id="186" name="Picture"/>
                  <a:graphic>
                    <a:graphicData uri="http://schemas.openxmlformats.org/drawingml/2006/picture">
                      <pic:pic>
                        <pic:nvPicPr>
                          <pic:cNvPr descr="index_files/figure-docx/fig-capacity-f1-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188"/>
        </w:tc>
      </w:tr>
    </w:tbl>
    <w:bookmarkEnd w:id="189"/>
    <w:bookmarkStart w:id="194" w:name="cell-fig-capacity-f2"/>
    <w:tbl>
      <w:tblPr>
        <w:tblStyle w:val="Table"/>
        <w:tblW w:type="pct" w:w="5000"/>
        <w:tblLayout w:type="fixed"/>
        <w:tblLook w:firstRow="0" w:lastRow="0" w:firstColumn="0" w:lastColumn="0" w:noHBand="0" w:noVBand="0" w:val="0000"/>
      </w:tblPr>
      <w:tblGrid>
        <w:gridCol w:w="7920"/>
      </w:tblGrid>
      <w:tr>
        <w:tc>
          <w:tcPr/>
          <w:bookmarkStart w:id="193" w:name="fig-capacity-f2"/>
          <w:p>
            <w:pPr>
              <w:pStyle w:val="Compact"/>
              <w:jc w:val="center"/>
            </w:pPr>
            <w:r>
              <w:drawing>
                <wp:inline>
                  <wp:extent cx="4620126" cy="3696101"/>
                  <wp:effectExtent b="0" l="0" r="0" t="0"/>
                  <wp:docPr descr="" title="" id="191" name="Picture"/>
                  <a:graphic>
                    <a:graphicData uri="http://schemas.openxmlformats.org/drawingml/2006/picture">
                      <pic:pic>
                        <pic:nvPicPr>
                          <pic:cNvPr descr="index_files/figure-docx/fig-capacity-f2-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193"/>
        </w:tc>
      </w:tr>
    </w:tbl>
    <w:bookmarkEnd w:id="194"/>
    <w:bookmarkEnd w:id="195"/>
    <w:bookmarkStart w:id="198"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196" w:name="tbl-glance"/>
          <w:p>
            <w:pPr>
              <w:jc w:val="center"/>
            </w:pPr>
            <w:pPr>
              <w:jc w:val="left"/>
              <w:spacing w:before="200"/>
              <w:pStyle w:val="ImageCaption"/>
            </w:pPr>
            <w:r>
              <w:t xml:space="preserve">Table 8: Model fit metrics for the Tobit model for attendance.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196"/>
          <w:p/>
        </w:tc>
      </w:tr>
    </w:tbl>
    <w:tbl>
      <w:tblPr>
        <w:tblStyle w:val="Table"/>
        <w:tblW w:type="pct" w:w="5000"/>
        <w:tblLayout w:type="fixed"/>
        <w:tblLook w:firstRow="0" w:lastRow="0" w:firstColumn="0" w:lastColumn="0" w:noHBand="0" w:noVBand="0" w:val="0000"/>
      </w:tblPr>
      <w:tblGrid>
        <w:gridCol w:w="7920"/>
      </w:tblGrid>
      <w:tr>
        <w:tc>
          <w:tcPr/>
          <w:bookmarkStart w:id="197" w:name="tbl-anova-tobit"/>
          <w:p>
            <w:pPr>
              <w:jc w:val="center"/>
            </w:pPr>
            <w:pPr>
              <w:jc w:val="left"/>
              <w:spacing w:before="200"/>
              <w:pStyle w:val="ImageCaption"/>
            </w:pPr>
            <w:r>
              <w:t xml:space="preserve">Table 9: Analysis of variance for terms in models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X2 log Lik Diff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 Lik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 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-1,463.765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-1,292.279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-1,285.338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774.641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-1,869.156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-1,369.385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197"/>
        </w:tc>
      </w:tr>
    </w:tbl>
    <w:bookmarkEnd w:id="198"/>
    <w:bookmarkStart w:id="201"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199" w:name="tbl-glance2"/>
          <w:p>
            <w:pPr>
              <w:jc w:val="center"/>
            </w:pPr>
            <w:pPr>
              <w:jc w:val="left"/>
              <w:spacing w:before="200"/>
              <w:pStyle w:val="ImageCaption"/>
            </w:pPr>
            <w:r>
              <w:t xml:space="preserve">Table 10: Model fit metrics for the percentage of arena capacity model.</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199"/>
          <w:p/>
        </w:tc>
      </w:tr>
    </w:tbl>
    <w:tbl>
      <w:tblPr>
        <w:tblStyle w:val="Table"/>
        <w:tblW w:type="pct" w:w="5000"/>
        <w:tblLayout w:type="fixed"/>
        <w:tblLook w:firstRow="0" w:lastRow="0" w:firstColumn="0" w:lastColumn="0" w:noHBand="0" w:noVBand="0" w:val="0000"/>
      </w:tblPr>
      <w:tblGrid>
        <w:gridCol w:w="7920"/>
      </w:tblGrid>
      <w:tr>
        <w:tc>
          <w:tcPr/>
          <w:bookmarkStart w:id="200" w:name="tbl-anova2"/>
          <w:p>
            <w:pPr>
              <w:jc w:val="center"/>
            </w:pPr>
            <w:pPr>
              <w:jc w:val="left"/>
              <w:spacing w:before="200"/>
              <w:pStyle w:val="ImageCaption"/>
            </w:pPr>
            <w:r>
              <w:t xml:space="preserve">Table 11: Analysis of variance for terms in models for percentage of arena capacity.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 Residual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Residual Deviance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626.952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487.246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bl>
          <w:bookmarkEnd w:id="200"/>
        </w:tc>
      </w:tr>
    </w:tbl>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a discussion of modeling causal direction for time series data in the sports context,</w:t>
      </w:r>
      <w:r>
        <w:t xml:space="preserve"> </w:t>
      </w:r>
      <w:r>
        <w:t xml:space="preserve">see</w:t>
      </w:r>
      <w:r>
        <w:t xml:space="preserve"> </w:t>
      </w:r>
      <w:r>
        <w:t xml:space="preserve">Hall et al. (2002)</w:t>
      </w:r>
      <w:r>
        <w:t xml:space="preserve">.</w:t>
      </w:r>
    </w:p>
  </w:footnote>
  <w:footnote w:id="14">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50">
    <w:p>
      <w:pPr>
        <w:pStyle w:val="FootnoteText"/>
      </w:pPr>
      <w:r>
        <w:rPr>
          <w:rStyle w:val="FootnoteReference"/>
        </w:rPr>
        <w:footnoteRef/>
      </w:r>
      <w:r>
        <w:t xml:space="preserve"> </w:t>
      </w:r>
      <w:r>
        <w:t xml:space="preserve">It is possible that this formulation might misidentify how fans view outcome uncertainty. That is, fans might not seek exactly equal team strength across the two opponents, but rather would be just as satisfied as long as there is sufficient uncertainty.</w:t>
      </w:r>
    </w:p>
  </w:footnote>
  <w:footnote w:id="59">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extrapolated values.</w:t>
      </w:r>
    </w:p>
  </w:footnote>
  <w:footnote w:id="78">
    <w:p>
      <w:pPr>
        <w:pStyle w:val="FootnoteText"/>
      </w:pPr>
      <w:r>
        <w:rPr>
          <w:rStyle w:val="FootnoteReference"/>
        </w:rPr>
        <w:footnoteRef/>
      </w:r>
      <w:r>
        <w:t xml:space="preserve"> </w:t>
      </w:r>
      <w:r>
        <w:t xml:space="preserve">See the previous note about possible misspecification of the uncertainty of outcome variable.</w:t>
      </w:r>
    </w:p>
  </w:footnote>
  <w:footnote w:id="107">
    <w:p>
      <w:pPr>
        <w:pStyle w:val="FootnoteText"/>
      </w:pPr>
      <w:r>
        <w:rPr>
          <w:rStyle w:val="FootnoteReference"/>
        </w:rPr>
        <w:footnoteRef/>
      </w:r>
      <w:r>
        <w:t xml:space="preserve"> </w:t>
      </w:r>
      <w:r>
        <w:t xml:space="preserve">The excitement that Clark has brought to the WNBA may be reminiscent of the infusion of interest in the NBA that occurred in the early- to mid-1980s with the arrival of Magic Johnson, Larry Bird, and Michael Jordan.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175" Target="media/rId175.png" /><Relationship Type="http://schemas.openxmlformats.org/officeDocument/2006/relationships/image" Id="rId180" Target="media/rId180.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185" Target="media/rId185.png" /><Relationship Type="http://schemas.openxmlformats.org/officeDocument/2006/relationships/image" Id="rId190" Target="media/rId190.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87" Target="media/rId87.png" /><Relationship Type="http://schemas.openxmlformats.org/officeDocument/2006/relationships/image" Id="rId169" Target="media/rId169.png" /><Relationship Type="http://schemas.openxmlformats.org/officeDocument/2006/relationships/image" Id="rId73" Target="media/rId73.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hyperlink" Id="rId159" Target="https://accessecon.com/pubs/eb/2003/volume1/eb-03a10003a.pdf" TargetMode="External" /><Relationship Type="http://schemas.openxmlformats.org/officeDocument/2006/relationships/hyperlink" Id="rId146" Target="https://doi.org/10.1002/(SICI)1099-1255(199611)11:6&lt;619::AID-JAE418&gt;3.0.CO;2-1" TargetMode="External" /><Relationship Type="http://schemas.openxmlformats.org/officeDocument/2006/relationships/hyperlink" Id="rId131" Target="https://doi.org/10.1002/mde.1308" TargetMode="External" /><Relationship Type="http://schemas.openxmlformats.org/officeDocument/2006/relationships/hyperlink" Id="rId139" Target="https://doi.org/10.1016/0304-4076(85)90158-7" TargetMode="External" /><Relationship Type="http://schemas.openxmlformats.org/officeDocument/2006/relationships/hyperlink" Id="rId155" Target="https://doi.org/10.1080/00031305.2016.1154108" TargetMode="External" /><Relationship Type="http://schemas.openxmlformats.org/officeDocument/2006/relationships/hyperlink" Id="rId157" Target="https://doi.org/10.1080/00031305.2019.1583913" TargetMode="External" /><Relationship Type="http://schemas.openxmlformats.org/officeDocument/2006/relationships/hyperlink" Id="rId137" Target="https://doi.org/10.1080/14660970.2022.2037218" TargetMode="External" /><Relationship Type="http://schemas.openxmlformats.org/officeDocument/2006/relationships/hyperlink" Id="rId127" Target="https://doi.org/10.1080/17430437.2017.1346620" TargetMode="External" /><Relationship Type="http://schemas.openxmlformats.org/officeDocument/2006/relationships/hyperlink" Id="rId151" Target="https://doi.org/10.1086/257790" TargetMode="External" /><Relationship Type="http://schemas.openxmlformats.org/officeDocument/2006/relationships/hyperlink" Id="rId112" Target="https://doi.org/10.1111/ecin.12061" TargetMode="External" /><Relationship Type="http://schemas.openxmlformats.org/officeDocument/2006/relationships/hyperlink" Id="rId120" Target="https://doi.org/10.1123/jsm.16.4.311" TargetMode="External" /><Relationship Type="http://schemas.openxmlformats.org/officeDocument/2006/relationships/hyperlink" Id="rId118" Target="https://doi.org/10.1123/jsm.2019-0404" TargetMode="External" /><Relationship Type="http://schemas.openxmlformats.org/officeDocument/2006/relationships/hyperlink" Id="rId129" Target="https://doi.org/10.1177/152700250200300204" TargetMode="External" /><Relationship Type="http://schemas.openxmlformats.org/officeDocument/2006/relationships/hyperlink" Id="rId116" Target="https://doi.org/10.1177/1527002508327387" TargetMode="External" /><Relationship Type="http://schemas.openxmlformats.org/officeDocument/2006/relationships/hyperlink" Id="rId135" Target="https://doi.org/10.1177/1527002509337212" TargetMode="External" /><Relationship Type="http://schemas.openxmlformats.org/officeDocument/2006/relationships/hyperlink" Id="rId114" Target="https://doi.org/10.1177/155862350800300105" TargetMode="External" /><Relationship Type="http://schemas.openxmlformats.org/officeDocument/2006/relationships/hyperlink" Id="rId143" Target="https://doi.org/10.2307/1880543" TargetMode="External" /><Relationship Type="http://schemas.openxmlformats.org/officeDocument/2006/relationships/hyperlink" Id="rId153" Target="https://doi.org/10.2307/1907382" TargetMode="External" /><Relationship Type="http://schemas.openxmlformats.org/officeDocument/2006/relationships/hyperlink" Id="rId125" Target="https://doi.org/10.32614/cran.package.wehoop" TargetMode="External" /><Relationship Type="http://schemas.openxmlformats.org/officeDocument/2006/relationships/hyperlink" Id="rId110" Target="https://doi.org/10.32731/IJSF/181.022023.03" TargetMode="External" /><Relationship Type="http://schemas.openxmlformats.org/officeDocument/2006/relationships/hyperlink" Id="rId148" Target="https://doi.org/10.3390/ijfs7010012" TargetMode="External" /><Relationship Type="http://schemas.openxmlformats.org/officeDocument/2006/relationships/hyperlink" Id="rId133" Target="https://doi.org/10.53728/2765-6500.1616" TargetMode="External" /><Relationship Type="http://schemas.openxmlformats.org/officeDocument/2006/relationships/hyperlink" Id="rId123" Target="https://polecom.org/index.php/polecom/article/view/119" TargetMode="External" /><Relationship Type="http://schemas.openxmlformats.org/officeDocument/2006/relationships/hyperlink" Id="rId163" Target="https://thesportjournal.org/article/attendance-still-matters-in-mlb-the-relationship-with-winning-percentage/" TargetMode="External" /><Relationship Type="http://schemas.openxmlformats.org/officeDocument/2006/relationships/hyperlink" Id="rId165" Target="https://www.acrossthetimeline.com/wnba/attendance.html" TargetMode="External" /><Relationship Type="http://schemas.openxmlformats.org/officeDocument/2006/relationships/hyperlink" Id="rId141" Target="https://www.jstor.org/stable/1924766" TargetMode="External" /><Relationship Type="http://schemas.openxmlformats.org/officeDocument/2006/relationships/hyperlink" Id="rId161"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59" Target="https://accessecon.com/pubs/eb/2003/volume1/eb-03a10003a.pdf" TargetMode="External" /><Relationship Type="http://schemas.openxmlformats.org/officeDocument/2006/relationships/hyperlink" Id="rId146" Target="https://doi.org/10.1002/(SICI)1099-1255(199611)11:6&lt;619::AID-JAE418&gt;3.0.CO;2-1" TargetMode="External" /><Relationship Type="http://schemas.openxmlformats.org/officeDocument/2006/relationships/hyperlink" Id="rId131" Target="https://doi.org/10.1002/mde.1308" TargetMode="External" /><Relationship Type="http://schemas.openxmlformats.org/officeDocument/2006/relationships/hyperlink" Id="rId139" Target="https://doi.org/10.1016/0304-4076(85)90158-7" TargetMode="External" /><Relationship Type="http://schemas.openxmlformats.org/officeDocument/2006/relationships/hyperlink" Id="rId155" Target="https://doi.org/10.1080/00031305.2016.1154108" TargetMode="External" /><Relationship Type="http://schemas.openxmlformats.org/officeDocument/2006/relationships/hyperlink" Id="rId157" Target="https://doi.org/10.1080/00031305.2019.1583913" TargetMode="External" /><Relationship Type="http://schemas.openxmlformats.org/officeDocument/2006/relationships/hyperlink" Id="rId137" Target="https://doi.org/10.1080/14660970.2022.2037218" TargetMode="External" /><Relationship Type="http://schemas.openxmlformats.org/officeDocument/2006/relationships/hyperlink" Id="rId127" Target="https://doi.org/10.1080/17430437.2017.1346620" TargetMode="External" /><Relationship Type="http://schemas.openxmlformats.org/officeDocument/2006/relationships/hyperlink" Id="rId151" Target="https://doi.org/10.1086/257790" TargetMode="External" /><Relationship Type="http://schemas.openxmlformats.org/officeDocument/2006/relationships/hyperlink" Id="rId112" Target="https://doi.org/10.1111/ecin.12061" TargetMode="External" /><Relationship Type="http://schemas.openxmlformats.org/officeDocument/2006/relationships/hyperlink" Id="rId120" Target="https://doi.org/10.1123/jsm.16.4.311" TargetMode="External" /><Relationship Type="http://schemas.openxmlformats.org/officeDocument/2006/relationships/hyperlink" Id="rId118" Target="https://doi.org/10.1123/jsm.2019-0404" TargetMode="External" /><Relationship Type="http://schemas.openxmlformats.org/officeDocument/2006/relationships/hyperlink" Id="rId129" Target="https://doi.org/10.1177/152700250200300204" TargetMode="External" /><Relationship Type="http://schemas.openxmlformats.org/officeDocument/2006/relationships/hyperlink" Id="rId116" Target="https://doi.org/10.1177/1527002508327387" TargetMode="External" /><Relationship Type="http://schemas.openxmlformats.org/officeDocument/2006/relationships/hyperlink" Id="rId135" Target="https://doi.org/10.1177/1527002509337212" TargetMode="External" /><Relationship Type="http://schemas.openxmlformats.org/officeDocument/2006/relationships/hyperlink" Id="rId114" Target="https://doi.org/10.1177/155862350800300105" TargetMode="External" /><Relationship Type="http://schemas.openxmlformats.org/officeDocument/2006/relationships/hyperlink" Id="rId143" Target="https://doi.org/10.2307/1880543" TargetMode="External" /><Relationship Type="http://schemas.openxmlformats.org/officeDocument/2006/relationships/hyperlink" Id="rId153" Target="https://doi.org/10.2307/1907382" TargetMode="External" /><Relationship Type="http://schemas.openxmlformats.org/officeDocument/2006/relationships/hyperlink" Id="rId125" Target="https://doi.org/10.32614/cran.package.wehoop" TargetMode="External" /><Relationship Type="http://schemas.openxmlformats.org/officeDocument/2006/relationships/hyperlink" Id="rId110" Target="https://doi.org/10.32731/IJSF/181.022023.03" TargetMode="External" /><Relationship Type="http://schemas.openxmlformats.org/officeDocument/2006/relationships/hyperlink" Id="rId148" Target="https://doi.org/10.3390/ijfs7010012" TargetMode="External" /><Relationship Type="http://schemas.openxmlformats.org/officeDocument/2006/relationships/hyperlink" Id="rId133" Target="https://doi.org/10.53728/2765-6500.1616" TargetMode="External" /><Relationship Type="http://schemas.openxmlformats.org/officeDocument/2006/relationships/hyperlink" Id="rId123" Target="https://polecom.org/index.php/polecom/article/view/119" TargetMode="External" /><Relationship Type="http://schemas.openxmlformats.org/officeDocument/2006/relationships/hyperlink" Id="rId163" Target="https://thesportjournal.org/article/attendance-still-matters-in-mlb-the-relationship-with-winning-percentage/" TargetMode="External" /><Relationship Type="http://schemas.openxmlformats.org/officeDocument/2006/relationships/hyperlink" Id="rId165" Target="https://www.acrossthetimeline.com/wnba/attendance.html" TargetMode="External" /><Relationship Type="http://schemas.openxmlformats.org/officeDocument/2006/relationships/hyperlink" Id="rId141" Target="https://www.jstor.org/stable/1924766" TargetMode="External" /><Relationship Type="http://schemas.openxmlformats.org/officeDocument/2006/relationships/hyperlink" Id="rId161"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2026-07-10T16:23:27Z</dcterms:created>
  <dcterms:modified xsi:type="dcterms:W3CDTF">2026-07-10T16:23:27Z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2026-07-10</vt:lpwstr>
  </property>
  <property fmtid="{D5CDD505-2E9C-101B-9397-08002B2CF9AE}" pid="11" name="engines">
    <vt:lpwstr/>
  </property>
  <property fmtid="{D5CDD505-2E9C-101B-9397-08002B2CF9AE}" pid="12" name="footnotes-to-endnotes">
    <vt:lpwstr>True</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