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66.png" ContentType="image/png"/>
  <Override PartName="/word/media/rId183.png" ContentType="image/png"/>
  <Override PartName="/word/media/rId188.png" ContentType="image/png"/>
  <Override PartName="/word/media/rId38.png" ContentType="image/png"/>
  <Override PartName="/word/media/rId17.png" ContentType="image/png"/>
  <Override PartName="/word/media/rId23.png" ContentType="image/png"/>
  <Override PartName="/word/media/rId193.png" ContentType="image/png"/>
  <Override PartName="/word/media/rId198.png" ContentType="image/png"/>
  <Override PartName="/word/media/rId43.png" ContentType="image/png"/>
  <Override PartName="/word/media/rId29.png" ContentType="image/png"/>
  <Override PartName="/word/media/rId87.png" ContentType="image/png"/>
  <Override PartName="/word/media/rId177.png" ContentType="image/png"/>
  <Override PartName="/word/media/rId73.png" ContentType="image/png"/>
  <Override PartName="/word/media/rId93.png" ContentType="image/png"/>
  <Override PartName="/word/media/rId79.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Everyone Watches Women’s Basketball: Attendance and Fan Engagement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2026-07-11</w:t>
      </w:r>
    </w:p>
    <w:p>
      <w:pPr>
        <w:pStyle w:val="AbstractTitle"/>
      </w:pPr>
      <w:r>
        <w:t xml:space="preserve">Abstract</w:t>
      </w:r>
    </w:p>
    <w:p>
      <w:pPr>
        <w:pStyle w:val="Abstract"/>
      </w:pPr>
      <w:r>
        <w:t xml:space="preserve">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 This, in turn, is consistent with a more durable popularity for the league.</w:t>
      </w:r>
    </w:p>
    <w:bookmarkStart w:id="13"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w:t>
      </w:r>
      <w:r>
        <w:t xml:space="preserve"> </w:t>
      </w:r>
      <w:r>
        <w:t xml:space="preserve">Again during the CBA renegotiations in 2025, NBA and WNBA leadership made similar negative claims about the women’s league’s long term viability.</w:t>
      </w:r>
      <w:r>
        <w:t xml:space="preserve"> </w:t>
      </w:r>
      <w:r>
        <w:t xml:space="preserve">While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further breaking down the underlying components of this trend is necessary both to explain and sustain this growth.</w:t>
      </w:r>
      <w:r>
        <w:t xml:space="preserve"> </w:t>
      </w:r>
      <w:r>
        <w:t xml:space="preserve">For decades, league officials and sports economists have debated the primary drivers of game attendance, identifying game-related and market-related factors impacting fan interest and game attendance.</w:t>
      </w:r>
      <w:r>
        <w:t xml:space="preserve"> </w:t>
      </w:r>
      <w:r>
        <w:t xml:space="preserve">Much of this research, beginning with foundational work in the 1970s, assumes that fans are more likely to attend games when the home team is expected to do well.</w:t>
      </w:r>
      <w:r>
        <w:t xml:space="preserve"> </w:t>
      </w:r>
      <w:r>
        <w:t xml:space="preserve">This relationship is widely tested and supported in men’s professional sports, but women’s leagues and the WNBA in particular are still largely underresearched.</w:t>
      </w:r>
      <w:r>
        <w:t xml:space="preserve"> </w:t>
      </w:r>
      <w:r>
        <w:t xml:space="preserve">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for public interest in the WNBA.</w:t>
      </w:r>
      <w:r>
        <w:t xml:space="preserve"> </w:t>
      </w:r>
      <w:r>
        <w:t xml:space="preserve">In this paper we set out to determine how the underlying causes shape game attendance and explain these more recent trends.</w:t>
      </w:r>
      <w:r>
        <w:t xml:space="preserve"> </w:t>
      </w:r>
      <w:r>
        <w:t xml:space="preserve">Specifically, we focus on whether on-court factors are becoming more important to WNBA game attendance in recent years.</w:t>
      </w:r>
    </w:p>
    <w:bookmarkStart w:id="10" w:name="Xd2e284202717398cdbaebcfbf2b0a1f4c6214f8"/>
    <w:p>
      <w:pPr>
        <w:pStyle w:val="Heading3"/>
      </w:pPr>
      <w:r>
        <w:t xml:space="preserve">1.1 Existing scholarship on team performance and game attendance</w:t>
      </w:r>
    </w:p>
    <w:p>
      <w:pPr>
        <w:pStyle w:val="FirstParagraph"/>
      </w:pPr>
      <w:r>
        <w:t xml:space="preserve">A key line of research in sports economics links fan demand to expectations about game outcomes.</w:t>
      </w:r>
      <w:r>
        <w:t xml:space="preserve"> </w:t>
      </w:r>
      <w:r>
        <w:t xml:space="preserve">Early work such as the uncertainty-of-outcome hypothesis suggests that attendance is higher when game results are less predictable, increasing perceived excitement</w:t>
      </w:r>
      <w:r>
        <w:t xml:space="preserve"> </w:t>
      </w:r>
      <w:r>
        <w:t xml:space="preserve">(Rottenberg 1956; Neale 1964)</w:t>
      </w:r>
      <w:r>
        <w:t xml:space="preserve">.</w:t>
      </w:r>
    </w:p>
    <w:p>
      <w:pPr>
        <w:pStyle w:val="BodyText"/>
      </w:pPr>
      <w:r>
        <w:t xml:space="preserve">Coates et al. (2014)</w:t>
      </w:r>
      <w:r>
        <w:t xml:space="preserve"> </w:t>
      </w:r>
      <w:r>
        <w:t xml:space="preserve">use more recent behavioral economics models to suggest that people evaluate gains and losses relative to a reference point and place greater weight on avoiding expected losses than on achieving comparable gains. Rather than predicting a simple linear relationship between attendance and win probability, their model theorizes that attendance relates non-linearly to win probability.</w:t>
      </w:r>
      <w:r>
        <w:t xml:space="preserve"> </w:t>
      </w:r>
      <w:r>
        <w:t xml:space="preserve">They argue that applying this idea of loss aversion may better explain why fans choose to go to games than the uncertainty of outcome hypothesis.</w:t>
      </w:r>
      <w:r>
        <w:t xml:space="preserve"> </w:t>
      </w:r>
      <w:r>
        <w:t xml:space="preserve">They use MLB live-game attendance data to find patterns consistent with the hypothesis that fans are less likely to attend games in which they expect the home team to lose</w:t>
      </w:r>
      <w:r>
        <w:t xml:space="preserve"> </w:t>
      </w:r>
      <w:r>
        <w:t xml:space="preserve">(Coates et al. 2014)</w:t>
      </w:r>
      <w:r>
        <w:t xml:space="preserve">.</w:t>
      </w:r>
      <w:r>
        <w:t xml:space="preserve"> </w:t>
      </w:r>
      <w:r>
        <w:t xml:space="preserve">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 Woltring 2018; Kim and Chang 2023; DeSchriver and Jensen 2002; Paul et al. 2019)</w:t>
      </w:r>
      <w:r>
        <w:t xml:space="preserve">.</w:t>
      </w:r>
    </w:p>
    <w:p>
      <w:pPr>
        <w:pStyle w:val="BodyText"/>
      </w:pPr>
      <w:r>
        <w:t xml:space="preserve">Studies of attendance and winning percentage often consider the latter as causing the former.</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w:t>
      </w:r>
      <w:r>
        <w:t xml:space="preserve"> </w:t>
      </w:r>
      <w:r>
        <w:t xml:space="preserve">The study did not establish causation both ways.</w:t>
      </w:r>
      <w:r>
        <w:t xml:space="preserve"> </w:t>
      </w:r>
      <w:r>
        <w:t xml:space="preserve">Lemke et al. (2010)</w:t>
      </w:r>
      <w:r>
        <w:t xml:space="preserve"> </w:t>
      </w:r>
      <w:r>
        <w:t xml:space="preserve">found attendance increases as home team win probability increases.</w:t>
      </w:r>
      <w:r>
        <w:t xml:space="preserve"> </w:t>
      </w:r>
      <w:r>
        <w:t xml:space="preserve">The bulk of the literature has found that the causal direction runs from winning percentage to attendance</w:t>
      </w:r>
      <w:r>
        <w:rPr>
          <w:rStyle w:val="FootnoteReference"/>
        </w:rPr>
        <w:footnoteReference w:id="9"/>
      </w:r>
      <w:r>
        <w:t xml:space="preserve">.</w:t>
      </w:r>
    </w:p>
    <w:p>
      <w:pPr>
        <w:pStyle w:val="BodyText"/>
      </w:pPr>
      <w:r>
        <w:t xml:space="preserve">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w:t>
      </w:r>
      <w:r>
        <w:t xml:space="preserve"> </w:t>
      </w:r>
      <w:r>
        <w:t xml:space="preserve">In NCAA basketball,</w:t>
      </w:r>
      <w:r>
        <w:t xml:space="preserve"> </w:t>
      </w:r>
      <w:r>
        <w:t xml:space="preserve">Perline et al. (2018)</w:t>
      </w:r>
      <w:r>
        <w:t xml:space="preserve"> </w:t>
      </w:r>
      <w:r>
        <w:t xml:space="preserve">examine the standard deviation and the range of winning percentages for teams in the women’s Division I and determine that the women’s game is significantly less balanced than the men’s game.</w:t>
      </w:r>
      <w:r>
        <w:t xml:space="preserve"> </w:t>
      </w:r>
      <w:r>
        <w:t xml:space="preserve">They hypothesize that the difference in the competitive balance of the men’s and women’s games could be one cause of lower revenue generation and attendance in the women’s game.</w:t>
      </w:r>
    </w:p>
    <w:bookmarkEnd w:id="10"/>
    <w:bookmarkStart w:id="11" w:name="why-is-the-wnba-different"/>
    <w:p>
      <w:pPr>
        <w:pStyle w:val="Heading3"/>
      </w:pPr>
      <w:r>
        <w:t xml:space="preserve">1.2 Why is the WNBA different?</w:t>
      </w:r>
    </w:p>
    <w:p>
      <w:pPr>
        <w:pStyle w:val="FirstParagraph"/>
      </w:pPr>
      <w:r>
        <w:t xml:space="preserve">Agha and Berri (2023)</w:t>
      </w:r>
      <w:r>
        <w:t xml:space="preserve"> </w:t>
      </w:r>
      <w:r>
        <w:t xml:space="preserve">argue that a major reason why attendance is considerably lower at WNBA games relative to NBA games is that the women’s league is still in its early years, only beginning play in 1997 compared to the NBA’s 1946.</w:t>
      </w:r>
      <w:r>
        <w:t xml:space="preserve"> </w:t>
      </w:r>
      <w:r>
        <w:t xml:space="preserve">To account for this, they compare attendance in the tenth season of the WNBA (2006) and the NBA (1955/56) (p. 36).</w:t>
      </w:r>
      <w:r>
        <w:t xml:space="preserve"> </w:t>
      </w:r>
      <w:r>
        <w:t xml:space="preserve">In their respective tenth years, the WNBA average attendance per home game exceeded the NBA’s by more than 2,000 fans per game.</w:t>
      </w:r>
      <w:r>
        <w:t xml:space="preserve"> </w:t>
      </w:r>
      <w:r>
        <w:t xml:space="preserve">They do not control for the growth in population over the period 1955-2006.</w:t>
      </w:r>
      <w:r>
        <w:t xml:space="preserve"> </w:t>
      </w:r>
      <w:r>
        <w:t xml:space="preserve">This comparison suggests that the current disparity in attendance between the women’s and men’s league should not be interpreted simply as a lack of demand, but rather a sign of the league’s maturity.</w:t>
      </w:r>
      <w:r>
        <w:t xml:space="preserve"> </w:t>
      </w:r>
      <w:r>
        <w:t xml:space="preserve">Considering the league’s age as a factor in demand for attendance, we inquire further into whether patterns of fan behavior change as the league matures.</w:t>
      </w:r>
      <w:r>
        <w:t xml:space="preserve"> </w:t>
      </w:r>
      <w:r>
        <w:t xml:space="preserve">Agha and Berri (2023)</w:t>
      </w:r>
      <w:r>
        <w:t xml:space="preserve"> </w:t>
      </w:r>
      <w:r>
        <w:t xml:space="preserve">attempt to establish whether different forces shape demand for attendance in the WNBA and the NBA, finding that team performance was not a statistically significant predictor of game attendance in the WNBA.</w:t>
      </w:r>
      <w:r>
        <w:t xml:space="preserve"> </w:t>
      </w:r>
      <w:r>
        <w:t xml:space="preserve">As noted above, this is contrary to the virtually unanimous finding in the existing scholarship for men’s leagues.</w:t>
      </w:r>
      <w:r>
        <w:t xml:space="preserve"> </w:t>
      </w:r>
      <w:r>
        <w:t xml:space="preserve">However, their study only employed data from 2004 through 2017 and thus cannot capture the more recent improvements in attendance shown in</w:t>
      </w:r>
      <w:r>
        <w:t xml:space="preserve"> </w:t>
      </w:r>
      <w:hyperlink w:anchor="fig-boxplots">
        <w:r>
          <w:rPr>
            <w:rStyle w:val="Hyperlink"/>
          </w:rPr>
          <w:t xml:space="preserve">Figure 1</w:t>
        </w:r>
      </w:hyperlink>
      <w:r>
        <w:t xml:space="preserve">.</w:t>
      </w:r>
      <w:r>
        <w:t xml:space="preserve"> </w:t>
      </w:r>
      <w:r>
        <w:t xml:space="preserve">They also measure a team’s strength using the team’s winning percentage from the previous year which raises issues because fans are more likely to respond to the more recent performance of the team.</w:t>
      </w:r>
      <w:r>
        <w:t xml:space="preserve"> </w:t>
      </w:r>
      <w:r>
        <w:t xml:space="preserve">Thus, while a team’s win percentage in 2016 might have an appreciable impact on the team’s attendance at the beginning of the 2017 season, as the season wears on, this impact should diminish.</w:t>
      </w:r>
    </w:p>
    <w:p>
      <w:pPr>
        <w:pStyle w:val="BodyText"/>
      </w:pPr>
      <w:r>
        <w:t xml:space="preserve">The disparity between raw attendance numbers and attendance driving factors in the NBA and WNBA cannot be attributed to the age of the leagues alone.</w:t>
      </w:r>
      <w:r>
        <w:t xml:space="preserve"> </w:t>
      </w:r>
      <w:r>
        <w:t xml:space="preserve">Additional important factors include: the WNBA plays during the summer months in order to promote arena use outside of the NBA season; there is less money spent on promotion; reduced media coverage; historical prejudice; poorer arena amenities and age, among others.</w:t>
      </w:r>
    </w:p>
    <w:p>
      <w:pPr>
        <w:pStyle w:val="BodyText"/>
      </w:pPr>
      <w:r>
        <w:t xml:space="preserve">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w:t>
      </w:r>
      <w:r>
        <w:t xml:space="preserve"> </w:t>
      </w:r>
      <w:r>
        <w:t xml:space="preserve">Factors like the summer season, reduced media coverage, and the association of game attendance with feminist causes all contribute to the argument that the WNBA functions fundamentally differently to the NBA—at least in terms of attendance drivers.</w:t>
      </w:r>
      <w:r>
        <w:t xml:space="preserve"> </w:t>
      </w:r>
      <w:r>
        <w:t xml:space="preserve">This conception of the WNBA as fundamentally different from the NBA is dangerous both to the league’s reputation and future growth, motivating our more thorough examination of game attendance in the context of the league’s history.</w:t>
      </w:r>
    </w:p>
    <w:bookmarkEnd w:id="11"/>
    <w:bookmarkStart w:id="12" w:name="our-contribution"/>
    <w:p>
      <w:pPr>
        <w:pStyle w:val="Heading3"/>
      </w:pPr>
      <w:r>
        <w:t xml:space="preserve">1.3 Our contribution</w:t>
      </w:r>
    </w:p>
    <w:p>
      <w:pPr>
        <w:pStyle w:val="FirstParagraph"/>
      </w:pPr>
      <w:r>
        <w:t xml:space="preserve">It is reasonable to anticipate that as women’s sports mature and are perceived increasingly as a normal sports league (rather than a political concession or oddity) they will begin to assert similar fan demand characteristics.</w:t>
      </w:r>
      <w:r>
        <w:t xml:space="preserve"> </w:t>
      </w:r>
      <w:r>
        <w:t xml:space="preserve">In particular, fan demand should become more responsive to team quality.</w:t>
      </w:r>
      <w:r>
        <w:t xml:space="preserve"> </w:t>
      </w:r>
      <w:r>
        <w:t xml:space="preserve">Using game attendance and team performance data from 1997 through 2025, we test these hypotheses.</w:t>
      </w:r>
      <w:r>
        <w:t xml:space="preserve"> </w:t>
      </w:r>
      <w:r>
        <w:t xml:space="preserve">In viewing more recent attendance figures for the WNBA in the context of the league’s history, we determine whether predictors of attendance have shifted over time.</w:t>
      </w:r>
      <w:r>
        <w:t xml:space="preserve"> </w:t>
      </w:r>
      <w:r>
        <w:t xml:space="preserve">Specifically, we find that in recent years the strength of the effect of a game’s uncertainty, the strength of both teams, and the likelihood of a home team win, on game attendance has increased, paralleling documented trends in men’s leagues.</w:t>
      </w:r>
    </w:p>
    <w:bookmarkEnd w:id="12"/>
    <w:bookmarkEnd w:id="13"/>
    <w:bookmarkStart w:id="37" w:name="sec-data"/>
    <w:p>
      <w:pPr>
        <w:pStyle w:val="Heading2"/>
      </w:pPr>
      <w:r>
        <w:t xml:space="preserve">2 Data</w:t>
      </w:r>
    </w:p>
    <w:bookmarkStart w:id="16" w:name="game-logs"/>
    <w:p>
      <w:pPr>
        <w:pStyle w:val="Heading3"/>
      </w:pPr>
      <w:r>
        <w:t xml:space="preserve">2.1 Game logs</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 an online repository for women’s basketball data that collects attendance numbers</w:t>
      </w:r>
      <w:r>
        <w:rPr>
          <w:rStyle w:val="FootnoteReference"/>
        </w:rPr>
        <w:footnoteReference w:id="14"/>
      </w:r>
      <w:r>
        <w:t xml:space="preserve"> </w:t>
      </w:r>
      <w:r>
        <w:t xml:space="preserve">directly from the league’s records</w:t>
      </w:r>
      <w:r>
        <w:t xml:space="preserve"> </w:t>
      </w:r>
      <w:r>
        <w:t xml:space="preserve">(Zimmerman 2026)</w:t>
      </w:r>
      <w:r>
        <w:t xml:space="preserve">.</w:t>
      </w:r>
      <w:r>
        <w:t xml:space="preserve"> </w:t>
      </w:r>
      <w:r>
        <w:t xml:space="preserve">Attendance data was unavailable for only 152 games, while (due to the COVID-19 pandemic) 2 games (accurately) recorded attendance of 0.</w:t>
      </w:r>
      <w:r>
        <w:t xml:space="preserve"> </w:t>
      </w:r>
      <w:r>
        <w:t xml:space="preserve">The arenas in which WNBA teams play vary widely in size.</w:t>
      </w:r>
      <w:r>
        <w:t xml:space="preserve"> </w:t>
      </w:r>
      <w:r>
        <w:t xml:space="preserve">For example, the New York Liberty alone have called both the Barclays Center (17,732 seat capacity) and the Westchester County Center (2,300 seat capacity) home in recent years.</w:t>
      </w:r>
      <w:r>
        <w:t xml:space="preserve"> </w:t>
      </w:r>
      <w:r>
        <w:t xml:space="preserve">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 among other performance metrics.</w:t>
      </w:r>
      <w:r>
        <w:t xml:space="preserve"> </w:t>
      </w:r>
      <w:r>
        <w:t xml:space="preserve">We also used the</w:t>
      </w:r>
      <w:r>
        <w:t xml:space="preserve"> </w:t>
      </w:r>
      <w:r>
        <w:rPr>
          <w:b/>
          <w:bCs/>
        </w:rPr>
        <w:t xml:space="preserve">wehoop</w:t>
      </w:r>
      <w:r>
        <w:t xml:space="preserve"> </w:t>
      </w:r>
      <w:r>
        <w:t xml:space="preserve">package to identify whether Caitlin Clark and/or A’ja Wilson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Clark or Wilson played in the game are recorded.</w:t>
      </w:r>
    </w:p>
    <w:tbl>
      <w:tblPr>
        <w:tblStyle w:val="Table"/>
        <w:tblW w:type="pct" w:w="5000"/>
        <w:tblLayout w:type="fixed"/>
        <w:tblLook w:firstRow="0" w:lastRow="0" w:firstColumn="0" w:lastColumn="0" w:noHBand="0" w:noVBand="0" w:val="0000"/>
      </w:tblPr>
      <w:tblGrid>
        <w:gridCol w:w="7920"/>
      </w:tblGrid>
      <w:tr>
        <w:tc>
          <w:tcPr/>
          <w:bookmarkStart w:id="15"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Clark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Wilson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2016-09-17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Target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2023-05-27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LVA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Michelob ULTRA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2014-08-10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Madison Square Garden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2011-08-09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2025-06-22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Gateway Center Arena @ College Park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2018-06-15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LVA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College Park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2025-06-21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Target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2021-08-24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Gateway Center Arena @ College Park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2019-06-09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Farm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2001-06-07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Compaq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and/or A’ja Wilson played in the game.</w:t>
            </w:r>
          </w:p>
          <w:bookmarkEnd w:id="15"/>
        </w:tc>
      </w:tr>
    </w:tbl>
    <w:bookmarkEnd w:id="16"/>
    <w:bookmarkStart w:id="22" w:name="attendance"/>
    <w:p>
      <w:pPr>
        <w:pStyle w:val="Heading3"/>
      </w:pPr>
      <w:r>
        <w:t xml:space="preserve">2.2 Attendance</w:t>
      </w:r>
    </w:p>
    <w:p>
      <w:pPr>
        <w:pStyle w:val="FirstParagraph"/>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were played with artificially low attendance.</w:t>
      </w:r>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(Note that</w:t>
      </w:r>
      <w:r>
        <w:t xml:space="preserve"> </w:t>
      </w:r>
      <w:r>
        <w:t xml:space="preserve">Agha and Berri (2023)</w:t>
      </w:r>
      <w:r>
        <w:t xml:space="preserve"> </w:t>
      </w:r>
      <w:r>
        <w:t xml:space="preserve">used only data through 2017.)</w:t>
      </w:r>
      <w:r>
        <w:t xml:space="preserve"> </w:t>
      </w:r>
      <w:r>
        <w:t xml:space="preserve">The two years preceding the pandemic (2018-2019) had notably lower attendance.</w:t>
      </w:r>
      <w:r>
        <w:t xml:space="preserve"> </w:t>
      </w:r>
      <w:r>
        <w:t xml:space="preserve">However, since the pandemic, attendance has rebounded, exceeding its initial levels by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r>
        <w:t xml:space="preserve"> </w:t>
      </w:r>
      <w:r>
        <w:t xml:space="preserve">To that end, we identified all games in which Clark and A’ja Wilson played.</w:t>
      </w:r>
      <w:r>
        <w:t xml:space="preserve"> </w:t>
      </w:r>
      <w:r>
        <w:t xml:space="preserve">Wilson is a four-time WNBA MVP and three-time league champion who is currently viewed as the league’s best player.</w:t>
      </w:r>
      <w:r>
        <w:t xml:space="preserve"> </w:t>
      </w:r>
      <w:r>
        <w:t xml:space="preserve">As a superior player with less celebrity, Wilson’s effect on attendance relative to Clark’s provides additional benchmarking possibilities.</w:t>
      </w:r>
    </w:p>
    <w:bookmarkStart w:id="21" w:name="cell-fig-boxplots"/>
    <w:tbl>
      <w:tblPr>
        <w:tblStyle w:val="Table"/>
        <w:tblW w:type="pct" w:w="5000"/>
        <w:tblLayout w:type="fixed"/>
        <w:tblLook w:firstRow="0" w:lastRow="0" w:firstColumn="0" w:lastColumn="0" w:noHBand="0" w:noVBand="0" w:val="0000"/>
      </w:tblPr>
      <w:tblGrid>
        <w:gridCol w:w="7920"/>
      </w:tblGrid>
      <w:tr>
        <w:tc>
          <w:tcPr/>
          <w:bookmarkStart w:id="20" w:name="fig-boxplots"/>
          <w:p>
            <w:pPr>
              <w:pStyle w:val="Compact"/>
              <w:jc w:val="center"/>
            </w:pPr>
            <w:r>
              <w:drawing>
                <wp:inline>
                  <wp:extent cx="4620126" cy="3696101"/>
                  <wp:effectExtent b="0" l="0" r="0" t="0"/>
                  <wp:docPr descr="" title="" id="18" name="Picture"/>
                  <a:graphic>
                    <a:graphicData uri="http://schemas.openxmlformats.org/drawingml/2006/picture">
                      <pic:pic>
                        <pic:nvPicPr>
                          <pic:cNvPr descr="index_files/figure-docx/fig-boxplots-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 and/or A’ja Wilson’s games are separated by color.</w:t>
            </w:r>
          </w:p>
          <w:bookmarkEnd w:id="20"/>
        </w:tc>
      </w:tr>
    </w:tbl>
    <w:bookmarkEnd w:id="21"/>
    <w:bookmarkEnd w:id="22"/>
    <w:bookmarkStart w:id="28" w:name="sec-arenas"/>
    <w:p>
      <w:pPr>
        <w:pStyle w:val="Heading3"/>
      </w:pPr>
      <w:r>
        <w:t xml:space="preserve">2.3 Arena capacity</w:t>
      </w:r>
    </w:p>
    <w:p>
      <w:pPr>
        <w:pStyle w:val="FirstParagraph"/>
      </w:pPr>
      <w:r>
        <w:t xml:space="preserve">While we recorded reported arena capacities, those capacities were difficult to obtain for venues not in current use, they change over time, and some games had attendance that exceeded the arena’s reported capacity.</w:t>
      </w:r>
      <w:r>
        <w:t xml:space="preserve"> </w:t>
      </w:r>
      <w:r>
        <w:t xml:space="preserve">Thus, we estimate each arena’s capacity as the larger of the reported capacity, or the maximum recorded attendance at that arena in the sample.</w:t>
      </w:r>
      <w:r>
        <w:t xml:space="preserve"> </w:t>
      </w:r>
      <w:r>
        <w:t xml:space="preserve">This ensures that our figures for the percentage of estimated arena capacity are bounded above by 1.</w:t>
      </w:r>
    </w:p>
    <w:p>
      <w:pPr>
        <w:pStyle w:val="BodyText"/>
      </w:pPr>
      <w:r>
        <w:t xml:space="preserve">We designate a sellout as a game in which the attendance exceeds 92% of the arena’s estimated capacity.</w:t>
      </w:r>
      <w:r>
        <w:t xml:space="preserve"> </w:t>
      </w:r>
      <w:r>
        <w:t xml:space="preserve">Using our definition, we deem 3.5% of the games to be sellouts, with nearly half of those occurring in the past two seasons.</w:t>
      </w:r>
      <w:r>
        <w:t xml:space="preserve"> </w:t>
      </w:r>
      <w:r>
        <w:t xml:space="preserve">38 of Clark’s 53 games have sold out.</w:t>
      </w:r>
      <w:r>
        <w:t xml:space="preserve"> </w:t>
      </w:r>
      <w:r>
        <w:t xml:space="preserve">The overall average percentage of arena capacity is 0.499.</w:t>
      </w:r>
    </w:p>
    <w:p>
      <w:pPr>
        <w:pStyle w:val="BodyText"/>
      </w:pPr>
      <w:hyperlink w:anchor="fig-boxplots-capacity">
        <w:r>
          <w:rPr>
            <w:rStyle w:val="Hyperlink"/>
          </w:rPr>
          <w:t xml:space="preserve">Figure 2</w:t>
        </w:r>
      </w:hyperlink>
      <w:r>
        <w:t xml:space="preserve"> </w:t>
      </w:r>
      <w:r>
        <w:t xml:space="preserve">shows the distribution of attendance as a percentage of the arena’s estimated capacity.</w:t>
      </w:r>
    </w:p>
    <w:bookmarkStart w:id="27" w:name="cell-fig-boxplots-capacity"/>
    <w:tbl>
      <w:tblPr>
        <w:tblStyle w:val="Table"/>
        <w:tblW w:type="pct" w:w="5000"/>
        <w:tblLayout w:type="fixed"/>
        <w:tblLook w:firstRow="0" w:lastRow="0" w:firstColumn="0" w:lastColumn="0" w:noHBand="0" w:noVBand="0" w:val="0000"/>
      </w:tblPr>
      <w:tblGrid>
        <w:gridCol w:w="7920"/>
      </w:tblGrid>
      <w:tr>
        <w:tc>
          <w:tcPr/>
          <w:bookmarkStart w:id="26" w:name="fig-boxplots-capacity"/>
          <w:p>
            <w:pPr>
              <w:pStyle w:val="Compact"/>
              <w:jc w:val="center"/>
            </w:pPr>
            <w:r>
              <w:drawing>
                <wp:inline>
                  <wp:extent cx="4620126" cy="3696101"/>
                  <wp:effectExtent b="0" l="0" r="0" t="0"/>
                  <wp:docPr descr="" title="" id="24" name="Picture"/>
                  <a:graphic>
                    <a:graphicData uri="http://schemas.openxmlformats.org/drawingml/2006/picture">
                      <pic:pic>
                        <pic:nvPicPr>
                          <pic:cNvPr descr="index_files/figure-docx/fig-boxplots-capacity-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WNBA game attendance as a percentage of estimated arena capacity by season. Clark and Wilson games are highlighted by color.</w:t>
            </w:r>
          </w:p>
          <w:bookmarkEnd w:id="26"/>
        </w:tc>
      </w:tr>
    </w:tbl>
    <w:bookmarkEnd w:id="27"/>
    <w:bookmarkEnd w:id="28"/>
    <w:bookmarkStart w:id="34" w:name="sec-elo"/>
    <w:p>
      <w:pPr>
        <w:pStyle w:val="Heading3"/>
      </w:pPr>
      <w:r>
        <w:t xml:space="preserve">2.4 Estimating team strength</w:t>
      </w:r>
    </w:p>
    <w:p>
      <w:pPr>
        <w:pStyle w:val="FirstParagraph"/>
      </w:pPr>
      <w:r>
        <w:t xml:space="preserve">We used the game-level results data to model the evolution of the strength of each WNBA team over time.</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 because Elo rating updates with each game, and thus more accurately reflects the information that fans have access to in deciding to attend games.</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previous estimated team strength of both teams.</w:t>
      </w:r>
      <w:r>
        <w:t xml:space="preserve"> </w:t>
      </w:r>
      <w:r>
        <w:t xml:space="preserve">This means that beating a team with a higher Elo rating has a greater positive effect than beating a team with a lower Elo rating, imbuing outcomes with more nuance than simple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sSub>
            <m:e>
              <m:r>
                <m:t>p</m:t>
              </m:r>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w:t>
      </w:r>
      <w:r>
        <w:t xml:space="preserve"> </w:t>
      </w:r>
      <m:oMath>
        <m:r>
          <m:t>i</m:t>
        </m:r>
      </m:oMath>
      <w:r>
        <w:t xml:space="preserve"> </w:t>
      </w:r>
      <w:r>
        <w:t xml:space="preserve">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sSub>
                <m:e>
                  <m:acc>
                    <m:accPr>
                      <m:chr m:val="̂"/>
                    </m:accPr>
                    <m:e>
                      <m:r>
                        <m:t>p</m:t>
                      </m:r>
                    </m:e>
                  </m:acc>
                </m:e>
                <m:sub>
                  <m:r>
                    <m:t>i</m:t>
                  </m:r>
                  <m:r>
                    <m:t>j</m:t>
                  </m:r>
                </m:sub>
              </m:sSub>
              <m:r>
                <m:rPr>
                  <m:sty m:val="p"/>
                </m:rPr>
                <m:t>(</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For example, suppose team</w:t>
      </w:r>
      <w:r>
        <w:t xml:space="preserve"> </w:t>
      </w:r>
      <m:oMath>
        <m:r>
          <m:t>i</m:t>
        </m:r>
      </m:oMath>
      <w:r>
        <w:t xml:space="preserve"> </w:t>
      </w:r>
      <w:r>
        <w:t xml:space="preserve">has an Elo rating of 1600 and team</w:t>
      </w:r>
      <w:r>
        <w:t xml:space="preserve"> </w:t>
      </w:r>
      <m:oMath>
        <m:r>
          <m:t>j</m:t>
        </m:r>
      </m:oMath>
      <w:r>
        <w:t xml:space="preserve"> </w:t>
      </w:r>
      <w:r>
        <w:t xml:space="preserve">1450.</w:t>
      </w:r>
      <w:r>
        <w:t xml:space="preserve"> </w:t>
      </w:r>
      <w:r>
        <w:t xml:space="preserve">Then team</w:t>
      </w:r>
      <w:r>
        <w:t xml:space="preserve"> </w:t>
      </w:r>
      <m:oMath>
        <m:r>
          <m:t>i</m:t>
        </m:r>
      </m:oMath>
      <w:r>
        <w:t xml:space="preserve"> </w:t>
      </w:r>
      <w:r>
        <w:t xml:space="preserve">has a 0.703 probability of beating team</w:t>
      </w:r>
      <w:r>
        <w:t xml:space="preserve"> </w:t>
      </w:r>
      <m:oMath>
        <m:r>
          <m:t>j</m:t>
        </m:r>
      </m:oMath>
      <w:r>
        <w:t xml:space="preserve"> </w:t>
      </w:r>
      <w:r>
        <w:t xml:space="preserve">and if they win, their rating will improve by</w:t>
      </w:r>
      <w:r>
        <w:t xml:space="preserve"> </w:t>
      </w:r>
      <m:oMath>
        <m:r>
          <m:t>32</m:t>
        </m:r>
        <m:r>
          <m:rPr>
            <m:sty m:val="p"/>
          </m:rPr>
          <m:t>⋅</m:t>
        </m:r>
        <m:r>
          <m:rPr>
            <m:sty m:val="p"/>
          </m:rPr>
          <m:t>(</m:t>
        </m:r>
        <m:r>
          <m:t>1</m:t>
        </m:r>
        <m:r>
          <m:rPr>
            <m:sty m:val="p"/>
          </m:rPr>
          <m:t>−</m:t>
        </m:r>
        <m:r>
          <m:rPr>
            <m:nor/>
            <m:sty m:val="p"/>
          </m:rPr>
          <m:t>0.703</m:t>
        </m:r>
        <m:r>
          <m:rPr>
            <m:sty m:val="p"/>
          </m:rPr>
          <m:t>)</m:t>
        </m:r>
        <m:r>
          <m:rPr>
            <m:sty m:val="p"/>
          </m:rPr>
          <m:t>=</m:t>
        </m:r>
        <m:r>
          <m:rPr>
            <m:nor/>
            <m:sty m:val="p"/>
          </m:rPr>
          <m:t>9.49</m:t>
        </m:r>
      </m:oMath>
      <w:r>
        <w:t xml:space="preserve"> </w:t>
      </w:r>
      <w:r>
        <w:t xml:space="preserve">points, while team</w:t>
      </w:r>
      <w:r>
        <w:t xml:space="preserve"> </w:t>
      </w:r>
      <m:oMath>
        <m:r>
          <m:t>j</m:t>
        </m:r>
      </m:oMath>
      <w:r>
        <w:t xml:space="preserve">’s rating will decrease by the same amount.</w:t>
      </w:r>
      <w:r>
        <w:t xml:space="preserve"> </w:t>
      </w:r>
      <w:r>
        <w:t xml:space="preserve">Note that if team</w:t>
      </w:r>
      <w:r>
        <w:t xml:space="preserve"> </w:t>
      </w:r>
      <m:oMath>
        <m:r>
          <m:t>j</m:t>
        </m:r>
      </m:oMath>
      <w:r>
        <w:t xml:space="preserve"> </w:t>
      </w:r>
      <w:r>
        <w:t xml:space="preserve">upsets team</w:t>
      </w:r>
      <w:r>
        <w:t xml:space="preserve"> </w:t>
      </w:r>
      <m:oMath>
        <m:r>
          <m:t>i</m:t>
        </m:r>
      </m:oMath>
      <w:r>
        <w:t xml:space="preserve">, the corresponding changes in rating will be 22.51 points.</w:t>
      </w:r>
      <w:r>
        <w:t xml:space="preserve"> </w:t>
      </w:r>
      <w:r>
        <w:t xml:space="preserve">This larger amount reflects the less likely outcome.</w:t>
      </w:r>
    </w:p>
    <w:p>
      <w:pPr>
        <w:pStyle w:val="BodyText"/>
      </w:pPr>
      <w:r>
        <w:t xml:space="preserve">We fit Elo ratings using the</w:t>
      </w:r>
      <w:r>
        <w:t xml:space="preserve"> </w:t>
      </w:r>
      <w:r>
        <w:rPr>
          <w:b/>
          <w:bCs/>
        </w:rPr>
        <w:t xml:space="preserve">elo</w:t>
      </w:r>
      <w:r>
        <w:t xml:space="preserve"> </w:t>
      </w:r>
      <w:r>
        <w:t xml:space="preserve">(Heinzen 2023)</w:t>
      </w:r>
      <w:r>
        <w:t xml:space="preserve"> </w:t>
      </w:r>
      <w:r>
        <w:t xml:space="preserve">package for R.</w:t>
      </w:r>
      <w:r>
        <w:t xml:space="preserve"> </w:t>
      </w:r>
      <w:hyperlink w:anchor="fig-elo">
        <w:r>
          <w:rPr>
            <w:rStyle w:val="Hyperlink"/>
          </w:rPr>
          <w:t xml:space="preserve">Figure 3</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33" w:name="cell-fig-elo"/>
    <w:tbl>
      <w:tblPr>
        <w:tblStyle w:val="Table"/>
        <w:tblW w:type="pct" w:w="5000"/>
        <w:tblLayout w:type="fixed"/>
        <w:tblLook w:firstRow="0" w:lastRow="0" w:firstColumn="0" w:lastColumn="0" w:noHBand="0" w:noVBand="0" w:val="0000"/>
      </w:tblPr>
      <w:tblGrid>
        <w:gridCol w:w="7920"/>
      </w:tblGrid>
      <w:tr>
        <w:tc>
          <w:tcPr/>
          <w:bookmarkStart w:id="32" w:name="fig-elo"/>
          <w:p>
            <w:pPr>
              <w:pStyle w:val="Compact"/>
              <w:jc w:val="center"/>
            </w:pPr>
            <w:r>
              <w:drawing>
                <wp:inline>
                  <wp:extent cx="4620126" cy="3696101"/>
                  <wp:effectExtent b="0" l="0" r="0" t="0"/>
                  <wp:docPr descr="" title="" id="30" name="Picture"/>
                  <a:graphic>
                    <a:graphicData uri="http://schemas.openxmlformats.org/drawingml/2006/picture">
                      <pic:pic>
                        <pic:nvPicPr>
                          <pic:cNvPr descr="index_files/figure-docx/fig-elo-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32"/>
        </w:tc>
      </w:tr>
    </w:tbl>
    <w:bookmarkEnd w:id="33"/>
    <w:bookmarkEnd w:id="34"/>
    <w:bookmarkStart w:id="36" w:name="estimating-home-win-probability"/>
    <w:p>
      <w:pPr>
        <w:pStyle w:val="Heading3"/>
      </w:pPr>
      <w:r>
        <w:t xml:space="preserve">2.5 Estimating home win probability</w:t>
      </w:r>
    </w:p>
    <w:p>
      <w:pPr>
        <w:pStyle w:val="FirstParagraph"/>
      </w:pP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acc>
                                <m:accPr>
                                  <m:chr m:val="̂"/>
                                </m:accPr>
                                <m:e>
                                  <m:r>
                                    <m:t>θ</m:t>
                                  </m:r>
                                </m:e>
                              </m:acc>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The model fit very well for most of the games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35"/>
        </w:tc>
      </w:tr>
    </w:tbl>
    <w:bookmarkEnd w:id="36"/>
    <w:bookmarkEnd w:id="37"/>
    <w:bookmarkStart w:id="64" w:name="methods"/>
    <w:p>
      <w:pPr>
        <w:pStyle w:val="Heading2"/>
      </w:pPr>
      <w:r>
        <w:t xml:space="preserve">3 Methods</w:t>
      </w:r>
    </w:p>
    <w:bookmarkStart w:id="49" w:name="response-variables"/>
    <w:p>
      <w:pPr>
        <w:pStyle w:val="Heading3"/>
      </w:pPr>
      <w:r>
        <w:t xml:space="preserve">3.1 Response variables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also developed an alternative response variable: percentage of estimated arena capacity filled (</w:t>
      </w:r>
      <m:oMath>
        <m:r>
          <m:t>γ</m:t>
        </m:r>
      </m:oMath>
      <w:r>
        <w:t xml:space="preserve">).</w:t>
      </w:r>
    </w:p>
    <w:p>
      <w:pPr>
        <w:pStyle w:val="BodyText"/>
      </w:pPr>
      <w:r>
        <w:t xml:space="preserve">In</w:t>
      </w:r>
      <w:r>
        <w:t xml:space="preserve"> </w:t>
      </w:r>
      <w:hyperlink w:anchor="fig-attendance-year">
        <w:r>
          <w:rPr>
            <w:rStyle w:val="Hyperlink"/>
          </w:rPr>
          <w:t xml:space="preserve">Figure 4</w:t>
        </w:r>
      </w:hyperlink>
      <w:r>
        <w:t xml:space="preserve">, we examine the relationship between attendance and estimated home win probability.</w:t>
      </w:r>
      <w:r>
        <w:t xml:space="preserve"> </w:t>
      </w:r>
      <w:r>
        <w:t xml:space="preserve">We add a simple quadratic regression line as a flexible approximation of the nonlinear relationship posited by</w:t>
      </w:r>
      <w:r>
        <w:t xml:space="preserve"> </w:t>
      </w:r>
      <w:r>
        <w:t xml:space="preserve">Coates et al. (2014)</w:t>
      </w:r>
      <w:r>
        <w:t xml:space="preserve">.</w:t>
      </w:r>
      <w:r>
        <w:t xml:space="preserve"> </w:t>
      </w:r>
      <w:r>
        <w:t xml:space="preserve">In most years, the slope appears to be positive and the curvature concave up.</w:t>
      </w:r>
      <w:r>
        <w:t xml:space="preserve"> </w:t>
      </w:r>
      <w:r>
        <w:t xml:space="preserve">This pattern is broadly consistent with</w:t>
      </w:r>
      <w:r>
        <w:t xml:space="preserve"> </w:t>
      </w:r>
      <w:r>
        <w:t xml:space="preserve">Coates et al. (2014)</w:t>
      </w:r>
      <w:r>
        <w:t xml:space="preserve">’s hypothesis that the expected utility of attending a game increases as the likelihood of a home-team victory rises.</w:t>
      </w:r>
      <w:r>
        <w:t xml:space="preserve"> </w:t>
      </w:r>
      <w:r>
        <w:t xml:space="preserve">However, these observed relationships do not provide strong evidence that fans primarily seek to avoid losses.</w:t>
      </w:r>
      <w:r>
        <w:t xml:space="preserve"> </w:t>
      </w:r>
      <w:r>
        <w:t xml:space="preserve">We do not observe a pronounced decline in attendance for games in which the home team’s estimated win probability falls below 50%.</w:t>
      </w:r>
    </w:p>
    <w:bookmarkStart w:id="42" w:name="cell-fig-attendance-year"/>
    <w:tbl>
      <w:tblPr>
        <w:tblStyle w:val="Table"/>
        <w:tblW w:type="pct" w:w="5000"/>
        <w:tblLayout w:type="fixed"/>
        <w:tblLook w:firstRow="0" w:lastRow="0" w:firstColumn="0" w:lastColumn="0" w:noHBand="0" w:noVBand="0" w:val="0000"/>
      </w:tblPr>
      <w:tblGrid>
        <w:gridCol w:w="7920"/>
      </w:tblGrid>
      <w:tr>
        <w:tc>
          <w:tcPr/>
          <w:bookmarkStart w:id="41" w:name="fig-attendance-year"/>
          <w:p>
            <w:pPr>
              <w:pStyle w:val="Compact"/>
              <w:jc w:val="center"/>
            </w:pPr>
            <w:r>
              <w:drawing>
                <wp:inline>
                  <wp:extent cx="4620126" cy="3696101"/>
                  <wp:effectExtent b="0" l="0" r="0" t="0"/>
                  <wp:docPr descr="" title="" id="39" name="Picture"/>
                  <a:graphic>
                    <a:graphicData uri="http://schemas.openxmlformats.org/drawingml/2006/picture">
                      <pic:pic>
                        <pic:nvPicPr>
                          <pic:cNvPr descr="index_files/figure-docx/fig-attendance-year-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attendance by season against estimated home win probability. We note that in most years, the slope of the association appears to be positive and the curvature concave up.</w:t>
            </w:r>
          </w:p>
          <w:bookmarkEnd w:id="41"/>
        </w:tc>
      </w:tr>
    </w:tbl>
    <w:bookmarkEnd w:id="42"/>
    <w:p>
      <w:pPr>
        <w:pStyle w:val="BodyText"/>
      </w:pPr>
      <w:r>
        <w:t xml:space="preserve">In</w:t>
      </w:r>
      <w:r>
        <w:t xml:space="preserve"> </w:t>
      </w:r>
      <w:hyperlink w:anchor="fig-capacity-year">
        <w:r>
          <w:rPr>
            <w:rStyle w:val="Hyperlink"/>
          </w:rPr>
          <w:t xml:space="preserve">Figure 5</w:t>
        </w:r>
      </w:hyperlink>
      <w:r>
        <w:t xml:space="preserve">, we note similar trends in the relationship between the percentage of the estimated arena capacity filled and the estimated home win probability.</w:t>
      </w:r>
      <w:r>
        <w:t xml:space="preserve"> </w:t>
      </w:r>
      <w:r>
        <w:t xml:space="preserve">We also note that since the percentage of arena capacity cannot exceed 1, there are edge effects created by sellouts.</w:t>
      </w:r>
      <w:r>
        <w:t xml:space="preserve"> </w:t>
      </w:r>
      <w:r>
        <w:t xml:space="preserve">Those sellouts are much more frequent in the last two years of data, and many of the sellouts involve Caitlin Clark.</w:t>
      </w:r>
    </w:p>
    <w:bookmarkStart w:id="47" w:name="cell-fig-capacity-year"/>
    <w:tbl>
      <w:tblPr>
        <w:tblStyle w:val="Table"/>
        <w:tblW w:type="pct" w:w="5000"/>
        <w:tblLayout w:type="fixed"/>
        <w:tblLook w:firstRow="0" w:lastRow="0" w:firstColumn="0" w:lastColumn="0" w:noHBand="0" w:noVBand="0" w:val="0000"/>
      </w:tblPr>
      <w:tblGrid>
        <w:gridCol w:w="7920"/>
      </w:tblGrid>
      <w:tr>
        <w:tc>
          <w:tcPr/>
          <w:bookmarkStart w:id="46" w:name="fig-capacity-year"/>
          <w:p>
            <w:pPr>
              <w:pStyle w:val="Compact"/>
              <w:jc w:val="center"/>
            </w:pPr>
            <w:r>
              <w:drawing>
                <wp:inline>
                  <wp:extent cx="4620126" cy="3696101"/>
                  <wp:effectExtent b="0" l="0" r="0" t="0"/>
                  <wp:docPr descr="" title="" id="44" name="Picture"/>
                  <a:graphic>
                    <a:graphicData uri="http://schemas.openxmlformats.org/drawingml/2006/picture">
                      <pic:pic>
                        <pic:nvPicPr>
                          <pic:cNvPr descr="index_files/figure-docx/fig-capacity-year-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WNBA percentage of estimated arena capacity filled by season, against estimated home win probability. We note the edge effects caused by sellouts, which occur much more frequently in 2024 and 2025.</w:t>
            </w:r>
          </w:p>
          <w:bookmarkEnd w:id="46"/>
        </w:tc>
      </w:tr>
    </w:tbl>
    <w:bookmarkEnd w:id="47"/>
    <w:p>
      <w:pPr>
        <w:pStyle w:val="BodyText"/>
      </w:pPr>
      <w:hyperlink w:anchor="tbl-sellout">
        <w:r>
          <w:rPr>
            <w:rStyle w:val="Hyperlink"/>
          </w:rPr>
          <w:t xml:space="preserve">Table 3</w:t>
        </w:r>
      </w:hyperlink>
      <w:r>
        <w:t xml:space="preserve"> </w:t>
      </w:r>
      <w:r>
        <w:t xml:space="preserve">summarizes attendance figures across the 10 arenas with the most sellouts.</w:t>
      </w:r>
      <w:r>
        <w:t xml:space="preserve"> </w:t>
      </w:r>
      <w:r>
        <w:t xml:space="preserve">We make several observations.</w:t>
      </w:r>
      <w:r>
        <w:t xml:space="preserve"> </w:t>
      </w:r>
      <w:r>
        <w:t xml:space="preserve">The Golden State Valkyries (a 2025 expansion franchise) sold out all 22 of their games at the Chase Center.</w:t>
      </w:r>
      <w:r>
        <w:t xml:space="preserve"> </w:t>
      </w:r>
      <w:r>
        <w:t xml:space="preserve">In terms of measuring fan demand, there is a profound difference between selling out a small arena (e.g., the Entertainment and Sports Arena in Washington, D.C. with a capacity of slightly more than 4000) and a large arena (e.g., Gainbridge Fieldhouse in Indianapolis, with a capacity of more than 18000).</w:t>
      </w:r>
      <w:r>
        <w:t xml:space="preserve"> </w:t>
      </w:r>
      <w:r>
        <w:t xml:space="preserve">Teams like Washington and Connecticut, in order to generate more excitement in the arena and positive images on telecasts, may have been trying to maximize the percentage of arena capacity at the expense of drawing larger crowds.</w:t>
      </w:r>
      <w:r>
        <w:t xml:space="preserve"> </w:t>
      </w:r>
      <w:r>
        <w:t xml:space="preserve">Or perhaps they didn’t have a larger arena in which to play.</w:t>
      </w:r>
      <w:r>
        <w:t xml:space="preserve"> </w:t>
      </w:r>
      <w:r>
        <w:t xml:space="preserve">Just two of the 27 sellouts at Gainbridge Fieldhouse occurred before Clark’s arrival.</w:t>
      </w:r>
    </w:p>
    <w:tbl>
      <w:tblPr>
        <w:tblStyle w:val="Table"/>
        <w:tblW w:type="pct" w:w="5000"/>
        <w:tblLayout w:type="fixed"/>
        <w:tblLook w:firstRow="0" w:lastRow="0" w:firstColumn="0" w:lastColumn="0" w:noHBand="0" w:noVBand="0" w:val="0000"/>
      </w:tblPr>
      <w:tblGrid>
        <w:gridCol w:w="7920"/>
      </w:tblGrid>
      <w:tr>
        <w:tc>
          <w:tcPr/>
          <w:bookmarkStart w:id="48" w:name="tbl-sellout"/>
          <w:p>
            <w:pPr>
              <w:jc w:val="center"/>
            </w:pPr>
            <w:pPr>
              <w:jc w:val="left"/>
              <w:spacing w:before="200"/>
              <w:pStyle w:val="ImageCaption"/>
            </w:pPr>
            <w:r>
              <w:t xml:space="preserve">Table 3: Summary statistics for attendance across the 10 WNBA arenas with the most sellouts. We note the difference between selling out a small arena (e.g., Entertainment and Sports Arena in Washington, D.C.) and a large arena (e.g., Gainbridge Fieldhouse in Indianapolis).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 Teams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Num 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Avg 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Num Sellouts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Pct Sellouts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Avg Capacity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Entertainment and Sports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8,573.0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Chase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GSV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Barclays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Capital One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Crypto.com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Compaq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ARCO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Madison Square Garden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11,347.6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among 60 arenas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r>
          </w:tbl>
          <w:bookmarkEnd w:id="48"/>
        </w:tc>
      </w:tr>
    </w:tbl>
    <w:bookmarkEnd w:id="49"/>
    <w:bookmarkStart w:id="58"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2.4</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r>
          <m:t>i</m:t>
        </m:r>
        <m:r>
          <m:rPr>
            <m:sty m:val="p"/>
          </m:rPr>
          <m:t>,</m:t>
        </m:r>
        <m:r>
          <m:t>j</m:t>
        </m:r>
        <m:r>
          <m:rPr>
            <m:sty m:val="p"/>
          </m:rPr>
          <m:t>,</m:t>
        </m:r>
        <m:r>
          <m:t>t</m:t>
        </m:r>
        <m:r>
          <m:rPr>
            <m:sty m:val="p"/>
          </m:rPr>
          <m:t>)</m:t>
        </m:r>
        <m:r>
          <m:rPr>
            <m:sty m:val="p"/>
          </m:rPr>
          <m:t>=</m:t>
        </m:r>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they expect the quality of play to be high. We model this as the product of the Elo rating of the two teams (</w:t>
      </w:r>
      <m:oMath>
        <m:sSub>
          <m:e>
            <m:r>
              <m:t>f</m:t>
            </m:r>
          </m:e>
          <m:sub>
            <m:r>
              <m:t>1</m:t>
            </m:r>
          </m:sub>
        </m:sSub>
        <m:r>
          <m:rPr>
            <m:sty m:val="p"/>
          </m:rPr>
          <m:t>(</m:t>
        </m:r>
        <m:r>
          <m:t>i</m:t>
        </m:r>
        <m:r>
          <m:rPr>
            <m:sty m:val="p"/>
          </m:rPr>
          <m:t>,</m:t>
        </m:r>
        <m:r>
          <m:t>j</m:t>
        </m:r>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fans may wish to attend a game for which the outcome is uncertain. We model this as negative square root of the absolute difference in the two teams’ Elo ratings: (</w:t>
      </w:r>
      <m:oMath>
        <m:sSub>
          <m:e>
            <m:r>
              <m:t>f</m:t>
            </m:r>
          </m:e>
          <m:sub>
            <m:r>
              <m:t>2</m:t>
            </m:r>
          </m:sub>
        </m:sSub>
        <m:r>
          <m:rPr>
            <m:sty m:val="p"/>
          </m:rPr>
          <m:t>(</m:t>
        </m:r>
        <m:r>
          <m:t>i</m:t>
        </m:r>
        <m:r>
          <m:rPr>
            <m:sty m:val="p"/>
          </m:rPr>
          <m:t>,</m:t>
        </m:r>
        <m:r>
          <m:t>j</m:t>
        </m:r>
        <m:r>
          <m:rPr>
            <m:sty m:val="p"/>
          </m:rPr>
          <m:t>,</m:t>
        </m:r>
        <m:r>
          <m:t>t</m:t>
        </m:r>
        <m:r>
          <m:rPr>
            <m:sty m:val="p"/>
          </m:rPr>
          <m:t>)</m:t>
        </m:r>
        <m:r>
          <m:rPr>
            <m:sty m:val="p"/>
          </m:rPr>
          <m:t>=</m:t>
        </m:r>
        <m:r>
          <m:rPr>
            <m:sty m:val="p"/>
          </m:rPr>
          <m:t>−</m:t>
        </m:r>
        <m:rad>
          <m:radPr>
            <m:degHide m:val="on"/>
          </m:radPr>
          <m:deg/>
          <m:e>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e>
        </m:rad>
      </m:oMath>
      <w:r>
        <w:t xml:space="preserve">). The negative sign ensures that closely-matched opponents will have the highest values, and the square root helps to make the spread more symmetric.</w:t>
      </w:r>
      <w:r>
        <w:rPr>
          <w:rStyle w:val="FootnoteReference"/>
        </w:rPr>
        <w:footnoteReference w:id="50"/>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r>
          <m:t>i</m:t>
        </m:r>
        <m:r>
          <m:rPr>
            <m:sty m:val="p"/>
          </m:rPr>
          <m:t>,</m:t>
        </m:r>
        <m:r>
          <m:t>j</m:t>
        </m:r>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sSup>
          <m:e>
            <m:r>
              <m:rPr>
                <m:sty m:val="p"/>
              </m:rPr>
              <m:t>)</m:t>
            </m:r>
          </m:e>
          <m:sup>
            <m:r>
              <m:t>2</m:t>
            </m:r>
          </m:sup>
        </m:sSup>
      </m:oMath>
      <w:r>
        <w:t xml:space="preserve">). Note that this term is nonlinear as in</w:t>
      </w:r>
      <w:r>
        <w:t xml:space="preserve"> </w:t>
      </w:r>
      <w:r>
        <w:t xml:space="preserve">Coates et al. (2014)</w:t>
      </w:r>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14</w:t>
        </w:r>
      </w:hyperlink>
      <w:r>
        <w:t xml:space="preserve"> </w:t>
      </w:r>
      <w:r>
        <w:t xml:space="preserve">and</w:t>
      </w:r>
      <w:r>
        <w:t xml:space="preserve"> </w:t>
      </w:r>
      <w:hyperlink w:anchor="fig-attend-f2">
        <w:r>
          <w:rPr>
            <w:rStyle w:val="Hyperlink"/>
          </w:rPr>
          <w:t xml:space="preserve">Figure 15</w:t>
        </w:r>
      </w:hyperlink>
      <w:r>
        <w:t xml:space="preserve">, respectively, with the corresponding plots for percentage of estimated arena capacity shown in</w:t>
      </w:r>
      <w:r>
        <w:t xml:space="preserve"> </w:t>
      </w:r>
      <w:hyperlink w:anchor="fig-capacity-f1">
        <w:r>
          <w:rPr>
            <w:rStyle w:val="Hyperlink"/>
          </w:rPr>
          <w:t xml:space="preserve">Figure 16</w:t>
        </w:r>
      </w:hyperlink>
      <w:r>
        <w:t xml:space="preserve"> </w:t>
      </w:r>
      <w:r>
        <w:t xml:space="preserve">and</w:t>
      </w:r>
      <w:r>
        <w:t xml:space="preserve"> </w:t>
      </w:r>
      <w:hyperlink w:anchor="fig-capacity-f2">
        <w:r>
          <w:rPr>
            <w:rStyle w:val="Hyperlink"/>
          </w:rPr>
          <w:t xml:space="preserve">Figure 17</w:t>
        </w:r>
      </w:hyperlink>
      <w:r>
        <w:t xml:space="preserve">.</w:t>
      </w:r>
    </w:p>
    <w:bookmarkStart w:id="57" w:name="normalization"/>
    <w:p>
      <w:pPr>
        <w:pStyle w:val="Heading4"/>
      </w:pPr>
      <w:r>
        <w:t xml:space="preserve">3.2.1 Normalization</w:t>
      </w:r>
    </w:p>
    <w:p>
      <w:pPr>
        <w:pStyle w:val="FirstParagraph"/>
      </w:pPr>
      <w:hyperlink w:anchor="fig-rescaled">
        <w:r>
          <w:rPr>
            <w:rStyle w:val="Hyperlink"/>
          </w:rPr>
          <w:t xml:space="preserve">Figure 13</w:t>
        </w:r>
      </w:hyperlink>
      <w:r>
        <w:t xml:space="preserve"> </w:t>
      </w:r>
      <w:r>
        <w:t xml:space="preserve">shows the distribution of our fan engagement variables after normalizing (</w:t>
      </w:r>
      <m:oMath>
        <m:sSub>
          <m:e>
            <m:r>
              <m:t>Z</m:t>
            </m:r>
          </m:e>
          <m:sub>
            <m:r>
              <m:t>k</m:t>
            </m:r>
          </m:sub>
        </m:sSub>
        <m:r>
          <m:rPr>
            <m:sty m:val="p"/>
          </m:rPr>
          <m:t>=</m:t>
        </m:r>
        <m:f>
          <m:fPr>
            <m:type m:val="bar"/>
          </m:fPr>
          <m:num>
            <m:sSub>
              <m:e>
                <m:r>
                  <m:t>f</m:t>
                </m:r>
              </m:e>
              <m:sub>
                <m:r>
                  <m:t>k</m:t>
                </m:r>
              </m:sub>
            </m:sSub>
            <m:r>
              <m:rPr>
                <m:sty m:val="p"/>
              </m:rPr>
              <m:t>−</m:t>
            </m:r>
            <m:r>
              <m:t>μ</m:t>
            </m:r>
            <m:r>
              <m:rPr>
                <m:sty m:val="p"/>
              </m:rPr>
              <m:t>(</m:t>
            </m:r>
            <m:sSub>
              <m:e>
                <m:r>
                  <m:t>f</m:t>
                </m:r>
              </m:e>
              <m:sub>
                <m:r>
                  <m:t>k</m:t>
                </m:r>
              </m:sub>
            </m:sSub>
            <m:r>
              <m:rPr>
                <m:sty m:val="p"/>
              </m:rPr>
              <m:t>)</m:t>
            </m:r>
          </m:num>
          <m:den>
            <m:r>
              <m:t>σ</m:t>
            </m:r>
            <m:r>
              <m:rPr>
                <m:sty m:val="p"/>
              </m:rPr>
              <m:t>(</m:t>
            </m:r>
            <m:sSub>
              <m:e>
                <m:r>
                  <m:t>f</m:t>
                </m:r>
              </m:e>
              <m:sub>
                <m:r>
                  <m:t>k</m:t>
                </m:r>
              </m:sub>
            </m:sSub>
            <m:r>
              <m:rPr>
                <m:sty m:val="p"/>
              </m:rPr>
              <m:t>)</m:t>
            </m:r>
          </m:den>
        </m:f>
      </m:oMath>
      <w:r>
        <w:t xml:space="preserve">).</w:t>
      </w:r>
      <w:r>
        <w:t xml:space="preserve"> </w:t>
      </w:r>
      <w:r>
        <w:t xml:space="preserve">We note that</w:t>
      </w:r>
      <w:r>
        <w:t xml:space="preserve"> </w:t>
      </w:r>
      <w:hyperlink w:anchor="tbl-cor">
        <w:r>
          <w:rPr>
            <w:rStyle w:val="Hyperlink"/>
          </w:rPr>
          <w:t xml:space="preserve">Table 4</w:t>
        </w:r>
      </w:hyperlink>
      <w:r>
        <w:t xml:space="preserve"> </w:t>
      </w:r>
      <w:r>
        <w:t xml:space="preserve">shows that our three fan engagement variables are largely uncorrelated.</w:t>
      </w:r>
    </w:p>
    <w:tbl>
      <w:tblPr>
        <w:tblStyle w:val="Table"/>
        <w:tblW w:type="pct" w:w="5000"/>
        <w:tblLayout w:type="fixed"/>
        <w:tblLook w:firstRow="0" w:lastRow="0" w:firstColumn="0" w:lastColumn="0" w:noHBand="0" w:noVBand="0" w:val="0000"/>
      </w:tblPr>
      <w:tblGrid>
        <w:gridCol w:w="7920"/>
      </w:tblGrid>
      <w:tr>
        <w:tc>
          <w:tcPr/>
          <w:bookmarkStart w:id="51" w:name="tbl-cor"/>
          <w:p>
            <w:pPr>
              <w:jc w:val="center"/>
            </w:pPr>
            <w:pPr>
              <w:jc w:val="left"/>
              <w:spacing w:before="200"/>
              <w:pStyle w:val="ImageCaption"/>
            </w:pPr>
            <w:r>
              <w:t xml:space="preserve">Table 4: Correlations among normalized fan engagement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Z1 Quality of Play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Z2 Uncertain Outcome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Z3 Loss Aversion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bl>
          <w:bookmarkEnd w:id="51"/>
        </w:tc>
      </w:tr>
    </w:tbl>
    <w:p>
      <w:pPr>
        <w:pStyle w:val="BodyText"/>
      </w:pPr>
      <w:hyperlink w:anchor="fig-all-z">
        <w:r>
          <w:rPr>
            <w:rStyle w:val="Hyperlink"/>
          </w:rPr>
          <w:t xml:space="preserve">Figure 6</w:t>
        </w:r>
      </w:hyperlink>
      <w:r>
        <w:t xml:space="preserve"> </w:t>
      </w:r>
      <w:r>
        <w:t xml:space="preserve">illustrates how our normalized measures of fan engagement vary with respect to the estimated (pregame) strength of the home and away teams.</w:t>
      </w:r>
      <w:r>
        <w:t xml:space="preserve"> </w:t>
      </w:r>
      <w:r>
        <w:t xml:space="preserve">The lack of correlation across these measures reported in</w:t>
      </w:r>
      <w:r>
        <w:t xml:space="preserve"> </w:t>
      </w:r>
      <w:hyperlink w:anchor="tbl-cor">
        <w:r>
          <w:rPr>
            <w:rStyle w:val="Hyperlink"/>
          </w:rPr>
          <w:t xml:space="preserve">Table 4</w:t>
        </w:r>
      </w:hyperlink>
      <w:r>
        <w:t xml:space="preserve"> </w:t>
      </w:r>
      <w:r>
        <w:t xml:space="preserve">is apparent graphically.</w:t>
      </w:r>
      <w:r>
        <w:t xml:space="preserve"> </w:t>
      </w:r>
      <w:r>
        <w:t xml:space="preserve">The 4th panel in</w:t>
      </w:r>
      <w:r>
        <w:t xml:space="preserve"> </w:t>
      </w:r>
      <w:hyperlink w:anchor="fig-all-z">
        <w:r>
          <w:rPr>
            <w:rStyle w:val="Hyperlink"/>
          </w:rPr>
          <w:t xml:space="preserve">Figure 6</w:t>
        </w:r>
      </w:hyperlink>
      <w:r>
        <w:t xml:space="preserve"> </w:t>
      </w:r>
      <w:r>
        <w:t xml:space="preserve">shows the simple sum of the three measures of fan engagement.</w:t>
      </w:r>
      <w:r>
        <w:t xml:space="preserve"> </w:t>
      </w:r>
      <w:r>
        <w:t xml:space="preserve">Although this metric is not used directly in our analysis, it might be considered a composite of three competing, uncorrelated notions of fan engagement.</w:t>
      </w:r>
    </w:p>
    <w:bookmarkStart w:id="56" w:name="cell-fig-all-z"/>
    <w:tbl>
      <w:tblPr>
        <w:tblStyle w:val="Table"/>
        <w:tblW w:type="pct" w:w="5000"/>
        <w:tblLayout w:type="fixed"/>
        <w:tblLook w:firstRow="0" w:lastRow="0" w:firstColumn="0" w:lastColumn="0" w:noHBand="0" w:noVBand="0" w:val="0000"/>
      </w:tblPr>
      <w:tblGrid>
        <w:gridCol w:w="7920"/>
      </w:tblGrid>
      <w:tr>
        <w:tc>
          <w:tcPr/>
          <w:bookmarkStart w:id="55" w:name="fig-all-z"/>
          <w:p>
            <w:pPr>
              <w:pStyle w:val="Compact"/>
              <w:jc w:val="center"/>
            </w:pPr>
            <w:r>
              <w:drawing>
                <wp:inline>
                  <wp:extent cx="4620126" cy="3696101"/>
                  <wp:effectExtent b="0" l="0" r="0" t="0"/>
                  <wp:docPr descr="" title="" id="53" name="Picture"/>
                  <a:graphic>
                    <a:graphicData uri="http://schemas.openxmlformats.org/drawingml/2006/picture">
                      <pic:pic>
                        <pic:nvPicPr>
                          <pic:cNvPr descr="index_files/figure-docx/fig-all-z-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Distribution of normalized fan engagement measures as a function of home and away pregame Elo ratings. The lack of correlation across these measures is obvious. The 4th panel shows the simple sum of all three measures.</w:t>
            </w:r>
          </w:p>
          <w:bookmarkEnd w:id="55"/>
        </w:tc>
      </w:tr>
    </w:tbl>
    <w:bookmarkEnd w:id="56"/>
    <w:bookmarkEnd w:id="57"/>
    <w:bookmarkEnd w:id="58"/>
    <w:bookmarkStart w:id="60" w:name="sec-control"/>
    <w:p>
      <w:pPr>
        <w:pStyle w:val="Heading3"/>
      </w:pPr>
      <w:r>
        <w:t xml:space="preserve">3.3 Control variables</w:t>
      </w:r>
    </w:p>
    <w:p>
      <w:pPr>
        <w:pStyle w:val="FirstParagraph"/>
      </w:pPr>
      <w:r>
        <w:t xml:space="preserve">As time-related control variables, we include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metropolitan area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59"/>
      </w:r>
      <w:r>
        <w:t xml:space="preserve">.</w:t>
      </w:r>
      <w:r>
        <w:t xml:space="preserve"> </w:t>
      </w:r>
      <w:r>
        <w:t xml:space="preserve">Finally, we include an indicator based on whether Caitlin Clark or A’ja Wilson played more than 0 minutes in the game (</w:t>
      </w:r>
      <m:oMath>
        <m:sSub>
          <m:e>
            <m:r>
              <m:t>χ</m:t>
            </m:r>
          </m:e>
          <m:sub>
            <m:r>
              <m:t>1</m:t>
            </m:r>
          </m:sub>
        </m:sSub>
        <m:r>
          <m:rPr>
            <m:sty m:val="p"/>
          </m:rPr>
          <m:t>,</m:t>
        </m:r>
        <m:sSub>
          <m:e>
            <m:r>
              <m:t>χ</m:t>
            </m:r>
          </m:e>
          <m:sub>
            <m:r>
              <m:t>2</m:t>
            </m:r>
          </m:sub>
        </m:sSub>
      </m:oMath>
      <w:r>
        <w:t xml:space="preserve">, respectively).</w:t>
      </w:r>
    </w:p>
    <w:bookmarkEnd w:id="60"/>
    <w:bookmarkStart w:id="61" w:name="interaction"/>
    <w:p>
      <w:pPr>
        <w:pStyle w:val="Heading3"/>
      </w:pPr>
      <w:r>
        <w:t xml:space="preserve">3.4 Interaction</w:t>
      </w:r>
    </w:p>
    <w:p>
      <w:pPr>
        <w:pStyle w:val="FirstParagraph"/>
      </w:pPr>
      <w:r>
        <w:t xml:space="preserve">Testing our primary hypotheses requires analyzing how the relationships between attendance and fan engagement have changed over time.</w:t>
      </w:r>
      <w:r>
        <w:t xml:space="preserve"> </w:t>
      </w:r>
      <w:r>
        <w:t xml:space="preserve">To capture these changes, we include interaction terms between our measures of fan engagement (</w:t>
      </w:r>
      <m:oMath>
        <m:sSub>
          <m:e>
            <m:r>
              <m:t>f</m:t>
            </m:r>
          </m:e>
          <m:sub>
            <m:r>
              <m:t>k</m:t>
            </m:r>
          </m:sub>
        </m:sSub>
      </m:oMath>
      <w:r>
        <w:t xml:space="preserve">) and season (</w:t>
      </w:r>
      <m:oMath>
        <m:sSub>
          <m:e>
            <m:r>
              <m:t>τ</m:t>
            </m:r>
          </m:e>
          <m:sub>
            <m:r>
              <m:t>1</m:t>
            </m:r>
          </m:sub>
        </m:sSub>
      </m:oMath>
      <w:r>
        <w:t xml:space="preserve">).</w:t>
      </w:r>
    </w:p>
    <w:bookmarkEnd w:id="61"/>
    <w:bookmarkStart w:id="62"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sSub>
          <m:e>
            <m:r>
              <m:t>β</m:t>
            </m:r>
          </m:e>
          <m:sub>
            <m:r>
              <m:t>j</m:t>
            </m:r>
          </m:sub>
        </m:sSub>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2</m:t>
        </m:r>
        <m:r>
          <m:rPr>
            <m:sty m:val="p"/>
          </m:rPr>
          <m:t>,</m:t>
        </m:r>
        <m:r>
          <m:t>3</m:t>
        </m:r>
        <m:r>
          <m:rPr>
            <m:sty m:val="p"/>
          </m:rPr>
          <m:t>,</m:t>
        </m:r>
        <m:r>
          <m:t>8</m:t>
        </m:r>
        <m:r>
          <m:rPr>
            <m:sty m:val="p"/>
          </m:rPr>
          <m:t>,</m:t>
        </m:r>
        <m:r>
          <m:t>9</m:t>
        </m:r>
        <m:r>
          <m:rPr>
            <m:sty m:val="p"/>
          </m:rPr>
          <m:t>,</m:t>
        </m:r>
        <m:r>
          <m:t>10</m:t>
        </m:r>
        <m:r>
          <m:rPr>
            <m:sty m:val="p"/>
          </m:rPr>
          <m:t>,</m:t>
        </m:r>
        <m:r>
          <m:t>11</m:t>
        </m:r>
        <m:r>
          <m:rPr>
            <m:sty m:val="p"/>
          </m:rPr>
          <m:t>}</m:t>
        </m:r>
      </m:oMath>
      <w:r>
        <w:t xml:space="preserve">, while the other</w:t>
      </w:r>
      <w:r>
        <w:t xml:space="preserve"> </w:t>
      </w:r>
      <m:oMath>
        <m:sSub>
          <m:e>
            <m:r>
              <m:t>β</m:t>
            </m:r>
          </m:e>
          <m:sub>
            <m:r>
              <m:t>j</m:t>
            </m:r>
          </m:sub>
        </m:sSub>
      </m:oMath>
      <w:r>
        <w:t xml:space="preserve"> </w:t>
      </w:r>
      <w:r>
        <w:t xml:space="preserve">coefficients are vectors of length equal to the number of factor levels in their corresponding categorical explanatory variable minus 1.</w:t>
      </w:r>
      <w:r>
        <w:t xml:space="preserve"> </w:t>
      </w:r>
      <w:r>
        <w:t xml:space="preserve">Most notably</w:t>
      </w:r>
      <w:r>
        <w:t xml:space="preserve"> </w:t>
      </w:r>
      <m:oMath>
        <m:sSub>
          <m:e>
            <m:r>
              <m:t>β</m:t>
            </m:r>
          </m:e>
          <m:sub>
            <m:r>
              <m:t>4</m:t>
            </m:r>
          </m:sub>
        </m:sSub>
        <m:r>
          <m:rPr>
            <m:sty m:val="p"/>
          </m:rPr>
          <m:t>,</m:t>
        </m:r>
        <m:sSub>
          <m:e>
            <m:r>
              <m:t>β</m:t>
            </m:r>
          </m:e>
          <m:sub>
            <m:r>
              <m:t>12</m:t>
            </m:r>
          </m:sub>
        </m:sSub>
        <m:r>
          <m:rPr>
            <m:sty m:val="p"/>
          </m:rPr>
          <m:t>,</m:t>
        </m:r>
        <m:sSub>
          <m:e>
            <m:r>
              <m:t>β</m:t>
            </m:r>
          </m:e>
          <m:sub>
            <m:r>
              <m:t>13</m:t>
            </m:r>
          </m:sub>
        </m:sSub>
        <m:r>
          <m:rPr>
            <m:sty m:val="p"/>
          </m:rPr>
          <m:t>,</m:t>
        </m:r>
        <m:sSub>
          <m:e>
            <m:r>
              <m:t>β</m:t>
            </m:r>
          </m:e>
          <m:sub>
            <m:r>
              <m:t>14</m:t>
            </m:r>
          </m:sub>
        </m:sSub>
      </m:oMath>
      <w:r>
        <w:t xml:space="preserve"> </w:t>
      </w:r>
      <w:r>
        <w:t xml:space="preserve">have 26 values (corresponding to each season after 1997) and</w:t>
      </w:r>
      <w:r>
        <w:t xml:space="preserve"> </w:t>
      </w:r>
      <m:oMath>
        <m:sSub>
          <m:e>
            <m:r>
              <m:t>β</m:t>
            </m:r>
          </m:e>
          <m:sub>
            <m:r>
              <m:t>7</m:t>
            </m:r>
          </m:sub>
        </m:sSub>
      </m:oMath>
      <w:r>
        <w:t xml:space="preserve"> </w:t>
      </w:r>
      <w:r>
        <w:t xml:space="preserve">has 12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p>
      <w:pPr>
        <w:pStyle w:val="BodyText"/>
      </w:pPr>
      <w:r>
        <w:t xml:space="preserve">Also like</w:t>
      </w:r>
      <w:r>
        <w:t xml:space="preserve"> </w:t>
      </w:r>
      <w:r>
        <w:t xml:space="preserve">Coates et al. (2014)</w:t>
      </w:r>
      <w:r>
        <w:t xml:space="preserve">, we employ a Tobit model</w:t>
      </w:r>
      <w:r>
        <w:t xml:space="preserve"> </w:t>
      </w:r>
      <w:r>
        <w:t xml:space="preserve">(Tobin 1958; McDonald and Moffitt 1980)</w:t>
      </w:r>
      <w:r>
        <w:t xml:space="preserve">, because the observed attendance is censored by the arena’s capacity.</w:t>
      </w:r>
      <w:r>
        <w:t xml:space="preserve"> </w:t>
      </w:r>
      <w:r>
        <w:t xml:space="preserve">This means that what we are modeling is an unobserved, latent potential attendance, that may or may not exceed the arena’s capacity.</w:t>
      </w:r>
      <w:r>
        <w:t xml:space="preserve"> </w:t>
      </w:r>
      <w:r>
        <w:t xml:space="preserve">In this Tobit model, we have:</w:t>
      </w:r>
    </w:p>
    <w:p>
      <w:pPr>
        <w:pStyle w:val="BodyText"/>
      </w:pPr>
      <m:oMathPara>
        <m:oMathParaPr>
          <m:jc m:val="center"/>
        </m:oMathParaPr>
        <m:oMath>
          <m:r>
            <m:rPr>
              <m:scr m:val="double-struck"/>
              <m:sty m:val="p"/>
            </m:rPr>
            <m:t>E</m:t>
          </m:r>
          <m:r>
            <m:rPr>
              <m:sty m:val="p"/>
            </m:rPr>
            <m:t>(</m:t>
          </m:r>
          <m:r>
            <m:rPr>
              <m:sty m:val="p"/>
            </m:rPr>
            <m:t>ln</m:t>
          </m:r>
          <m:r>
            <m:t>y</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Sup>
                      <m:e>
                        <m:r>
                          <m:t>y</m:t>
                        </m:r>
                      </m:e>
                      <m:sub>
                        <m:r>
                          <m:t>k</m:t>
                        </m:r>
                      </m:sub>
                      <m:sup>
                        <m:r>
                          <m:rPr>
                            <m:sty m:val="p"/>
                          </m:rPr>
                          <m:t>*</m:t>
                        </m:r>
                      </m:sup>
                    </m:sSubSup>
                  </m:e>
                  <m:e>
                    <m:r>
                      <m:rPr>
                        <m:nor/>
                        <m:sty m:val="p"/>
                      </m:rPr>
                      <m:t>if </m:t>
                    </m:r>
                    <m:r>
                      <m:rPr>
                        <m:sty m:val="b"/>
                      </m:rPr>
                      <m:t>X</m:t>
                    </m:r>
                    <m:r>
                      <m:rPr>
                        <m:sty m:val="b"/>
                      </m:rPr>
                      <m:t>β</m:t>
                    </m:r>
                    <m:r>
                      <m:rPr>
                        <m:sty m:val="p"/>
                      </m:rPr>
                      <m:t>&gt;</m:t>
                    </m:r>
                    <m:r>
                      <m:t>0.92</m:t>
                    </m:r>
                    <m:r>
                      <m:rPr>
                        <m:sty m:val="p"/>
                      </m:rPr>
                      <m:t>⋅</m:t>
                    </m:r>
                    <m:sSubSup>
                      <m:e>
                        <m:r>
                          <m:t>y</m:t>
                        </m:r>
                      </m:e>
                      <m:sub>
                        <m:r>
                          <m:t>k</m:t>
                        </m:r>
                      </m:sub>
                      <m:sup>
                        <m:r>
                          <m:rPr>
                            <m:sty m:val="p"/>
                          </m:rPr>
                          <m:t>*</m:t>
                        </m:r>
                      </m:sup>
                    </m:sSubSup>
                    <m:r>
                      <m:t> </m:t>
                    </m:r>
                    <m:r>
                      <m:rPr>
                        <m:sty m:val="p"/>
                      </m:rPr>
                      <m:t>,</m:t>
                    </m:r>
                  </m:e>
                </m:mr>
                <m:mr>
                  <m:e>
                    <m:r>
                      <m:rPr>
                        <m:sty m:val="b"/>
                      </m:rPr>
                      <m:t>X</m:t>
                    </m:r>
                    <m:r>
                      <m:rPr>
                        <m:sty m:val="b"/>
                      </m:rPr>
                      <m:t>β</m:t>
                    </m:r>
                  </m:e>
                  <m:e>
                    <m:r>
                      <m:rPr>
                        <m:nor/>
                        <m:sty m:val="p"/>
                      </m:rPr>
                      <m:t>if </m:t>
                    </m:r>
                    <m:r>
                      <m:rPr>
                        <m:sty m:val="b"/>
                      </m:rPr>
                      <m:t>X</m:t>
                    </m:r>
                    <m:r>
                      <m:rPr>
                        <m:sty m:val="b"/>
                      </m:rPr>
                      <m:t>β</m:t>
                    </m:r>
                    <m:r>
                      <m:rPr>
                        <m:sty m:val="p"/>
                      </m:rPr>
                      <m:t>≤</m:t>
                    </m:r>
                    <m:r>
                      <m:t>0.92</m:t>
                    </m:r>
                    <m:r>
                      <m:rPr>
                        <m:sty m:val="p"/>
                      </m:rPr>
                      <m:t>⋅</m:t>
                    </m:r>
                    <m:sSubSup>
                      <m:e>
                        <m:r>
                          <m:t>y</m:t>
                        </m:r>
                      </m:e>
                      <m:sub>
                        <m:r>
                          <m:t>k</m:t>
                        </m:r>
                      </m:sub>
                      <m:sup>
                        <m:r>
                          <m:rPr>
                            <m:sty m:val="p"/>
                          </m:rPr>
                          <m:t>*</m:t>
                        </m:r>
                      </m:sup>
                    </m:sSubSup>
                  </m:e>
                </m:mr>
              </m:m>
            </m:e>
          </m:d>
          <m:r>
            <m:t> </m:t>
          </m:r>
          <m:r>
            <m:rPr>
              <m:sty m:val="p"/>
            </m:rPr>
            <m:t>,</m:t>
          </m:r>
        </m:oMath>
      </m:oMathPara>
    </w:p>
    <w:p>
      <w:pPr>
        <w:pStyle w:val="FirstParagraph"/>
      </w:pPr>
      <w:r>
        <w:t xml:space="preserve">where</w:t>
      </w:r>
      <w:r>
        <w:t xml:space="preserve"> </w:t>
      </w:r>
      <m:oMath>
        <m:sSubSup>
          <m:e>
            <m:r>
              <m:t>y</m:t>
            </m:r>
          </m:e>
          <m:sub>
            <m:r>
              <m:t>k</m:t>
            </m:r>
          </m:sub>
          <m:sup>
            <m:r>
              <m:rPr>
                <m:sty m:val="p"/>
              </m:rPr>
              <m:t>*</m:t>
            </m:r>
          </m:sup>
        </m:sSubSup>
      </m:oMath>
      <w:r>
        <w:t xml:space="preserve"> </w:t>
      </w:r>
      <w:r>
        <w:t xml:space="preserve">is the estimated capacity of arena</w:t>
      </w:r>
      <w:r>
        <w:t xml:space="preserve"> </w:t>
      </w:r>
      <m:oMath>
        <m:r>
          <m:t>k</m:t>
        </m:r>
      </m:oMath>
      <w:r>
        <w:t xml:space="preserve">, as described in</w:t>
      </w:r>
      <w:r>
        <w:t xml:space="preserve"> </w:t>
      </w:r>
      <w:hyperlink w:anchor="sec-arenas">
        <w:r>
          <w:rPr>
            <w:rStyle w:val="Hyperlink"/>
          </w:rPr>
          <w:t xml:space="preserve">Section 2.3</w:t>
        </w:r>
      </w:hyperlink>
      <w:r>
        <w:t xml:space="preserve">.</w:t>
      </w:r>
    </w:p>
    <w:p>
      <w:pPr>
        <w:pStyle w:val="BodyText"/>
      </w:pPr>
      <w:r>
        <w:t xml:space="preserve">We fit the Tobit model in R using the</w:t>
      </w:r>
      <w:r>
        <w:t xml:space="preserve"> </w:t>
      </w:r>
      <w:r>
        <w:rPr>
          <w:rStyle w:val="VerbatimChar"/>
        </w:rPr>
        <w:t xml:space="preserve">vglm()</w:t>
      </w:r>
      <w:r>
        <w:t xml:space="preserve"> </w:t>
      </w:r>
      <w:r>
        <w:t xml:space="preserve">and</w:t>
      </w:r>
      <w:r>
        <w:t xml:space="preserve"> </w:t>
      </w:r>
      <w:r>
        <w:rPr>
          <w:rStyle w:val="VerbatimChar"/>
        </w:rPr>
        <w:t xml:space="preserve">tobit()</w:t>
      </w:r>
      <w:r>
        <w:t xml:space="preserve"> </w:t>
      </w:r>
      <w:r>
        <w:t xml:space="preserve">functions from the</w:t>
      </w:r>
      <w:r>
        <w:t xml:space="preserve"> </w:t>
      </w:r>
      <w:r>
        <w:rPr>
          <w:b/>
          <w:bCs/>
        </w:rPr>
        <w:t xml:space="preserve">VGAM</w:t>
      </w:r>
      <w:r>
        <w:t xml:space="preserve"> </w:t>
      </w:r>
      <w:r>
        <w:t xml:space="preserve">(Yee 2025)</w:t>
      </w:r>
      <w:r>
        <w:t xml:space="preserve"> </w:t>
      </w:r>
      <w:r>
        <w:t xml:space="preserve">package.</w:t>
      </w:r>
    </w:p>
    <w:bookmarkEnd w:id="62"/>
    <w:bookmarkStart w:id="63" w:name="sec-mod-cap"/>
    <w:p>
      <w:pPr>
        <w:pStyle w:val="Heading3"/>
      </w:pPr>
      <w:r>
        <w:t xml:space="preserve">3.6 Model formulation for percentage of arena capacity</w:t>
      </w:r>
    </w:p>
    <w:p>
      <w:pPr>
        <w:pStyle w:val="FirstParagraph"/>
      </w:pPr>
      <w:r>
        <w:t xml:space="preserve">We fit the same model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(Zeileis and Lumley 2024)</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r>
            <m:rPr>
              <m:sty m:val="b"/>
            </m:rPr>
            <m:t>η</m:t>
          </m:r>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r>
          <m:rPr>
            <m:sty m:val="b"/>
          </m:rPr>
          <m:t>η</m:t>
        </m:r>
      </m:oMath>
      <w:r>
        <w:t xml:space="preserve"> </w:t>
      </w:r>
      <w:r>
        <w:t xml:space="preserve">has the same structure as</w:t>
      </w:r>
      <w:r>
        <w:t xml:space="preserve"> </w:t>
      </w:r>
      <m:oMath>
        <m:r>
          <m:rPr>
            <m:sty m:val="b"/>
          </m:rPr>
          <m:t>β</m:t>
        </m:r>
      </m:oMath>
      <w:r>
        <w:t xml:space="preserve"> </w:t>
      </w:r>
      <w:r>
        <w:t xml:space="preserve">defined above.</w:t>
      </w:r>
    </w:p>
    <w:bookmarkEnd w:id="63"/>
    <w:bookmarkEnd w:id="64"/>
    <w:bookmarkStart w:id="105" w:name="results"/>
    <w:p>
      <w:pPr>
        <w:pStyle w:val="Heading2"/>
      </w:pPr>
      <w:r>
        <w:t xml:space="preserve">4 Results</w:t>
      </w:r>
    </w:p>
    <w:p>
      <w:pPr>
        <w:pStyle w:val="FirstParagraph"/>
      </w:pPr>
      <w:r>
        <w:t xml:space="preserve">In keeping with recent guidance from the American Statistical Association</w:t>
      </w:r>
      <w:r>
        <w:t xml:space="preserve"> </w:t>
      </w:r>
      <w:r>
        <w:t xml:space="preserve">(Wasserstein and Lazar 2016; Wasserstein et al. 2019)</w:t>
      </w:r>
      <w:r>
        <w:t xml:space="preserve">, we focus our attention on the magnitude and practical impact of the fitted coefficients.</w:t>
      </w:r>
      <w:r>
        <w:t xml:space="preserve"> </w:t>
      </w:r>
      <w:r>
        <w:t xml:space="preserve">With a sample size of over 5000 observations and dozens of coefficients, it is not so surprising that many of our statistical tests result in p-values less than 0.05.</w:t>
      </w:r>
    </w:p>
    <w:bookmarkStart w:id="85" w:name="sec-attend"/>
    <w:p>
      <w:pPr>
        <w:pStyle w:val="Heading3"/>
      </w:pPr>
      <w:r>
        <w:t xml:space="preserve">4.1 Modeling attendance</w:t>
      </w:r>
    </w:p>
    <w:bookmarkStart w:id="71" w:name="baseline-effects"/>
    <w:p>
      <w:pPr>
        <w:pStyle w:val="Heading4"/>
      </w:pPr>
      <w:r>
        <w:t xml:space="preserve">4.1.1 Baseline effects</w:t>
      </w:r>
    </w:p>
    <w:p>
      <w:pPr>
        <w:pStyle w:val="FirstParagraph"/>
      </w:pPr>
      <w:hyperlink w:anchor="tbl-coefs">
        <w:r>
          <w:rPr>
            <w:rStyle w:val="Hyperlink"/>
          </w:rPr>
          <w:t xml:space="preserve">Table 5</w:t>
        </w:r>
      </w:hyperlink>
      <w:r>
        <w:t xml:space="preserve"> </w:t>
      </w:r>
      <w:r>
        <w:t xml:space="preserve">reports estimated coefficients in the Tobit model.</w:t>
      </w:r>
      <w:r>
        <w:t xml:space="preserve"> </w:t>
      </w:r>
      <w:r>
        <w:t xml:space="preserve">Because each measure of fan engagement interacts with season, the reported coefficients for quality of play, outcome uncertainty, and loss aversion represent their estimated effects for the reference level: a home game for the Atlanta Dream taking place on a Sunday in August 1997, in which neither Clark nor Wilson is playing.</w:t>
      </w:r>
      <w:r>
        <w:t xml:space="preserve"> </w:t>
      </w:r>
      <w:r>
        <w:t xml:space="preserve">The interaction terms, discussed in</w:t>
      </w:r>
      <w:r>
        <w:t xml:space="preserve"> </w:t>
      </w:r>
      <w:hyperlink w:anchor="sec-annual">
        <w:r>
          <w:rPr>
            <w:rStyle w:val="Hyperlink"/>
          </w:rPr>
          <w:t xml:space="preserve">Section 4.1.2</w:t>
        </w:r>
      </w:hyperlink>
      <w:r>
        <w:t xml:space="preserve">, capture how these relationships evolve over time.</w:t>
      </w:r>
    </w:p>
    <w:tbl>
      <w:tblPr>
        <w:tblStyle w:val="Table"/>
        <w:tblW w:type="pct" w:w="5000"/>
        <w:tblLayout w:type="fixed"/>
        <w:tblLook w:firstRow="0" w:lastRow="0" w:firstColumn="0" w:lastColumn="0" w:noHBand="0" w:noVBand="0" w:val="0000"/>
      </w:tblPr>
      <w:tblGrid>
        <w:gridCol w:w="7920"/>
      </w:tblGrid>
      <w:tr>
        <w:tc>
          <w:tcPr/>
          <w:bookmarkStart w:id="65" w:name="tbl-coefs"/>
          <w:p>
            <w:pPr>
              <w:jc w:val="center"/>
            </w:pPr>
            <w:pPr>
              <w:jc w:val="left"/>
              <w:spacing w:before="200"/>
              <w:pStyle w:val="ImageCaption"/>
            </w:pPr>
            <w:r>
              <w:t xml:space="preserve">Table 5: Fitted coefficients for scalar terms in Tobit model for the natural logarithm of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Coef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 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Conf Low</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Conf 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$\hat{\sigma}$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-117.733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A'ja Wilson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Caitlin Clark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bl>
          <w:bookmarkEnd w:id="65"/>
        </w:tc>
      </w:tr>
    </w:tbl>
    <w:p>
      <w:pPr>
        <w:pStyle w:val="BodyText"/>
      </w:pPr>
      <w:r>
        <w:t xml:space="preserve">In the reference season, the evidence for loss aversion (</w:t>
      </w:r>
      <m:oMath>
        <m:sSub>
          <m:e>
            <m:acc>
              <m:accPr>
                <m:chr m:val="̂"/>
              </m:accPr>
              <m:e>
                <m:r>
                  <m:t>β</m:t>
                </m:r>
              </m:e>
            </m:acc>
          </m:e>
          <m:sub>
            <m:r>
              <m:t>3</m:t>
            </m:r>
          </m:sub>
        </m:sSub>
      </m:oMath>
      <w:r>
        <w:t xml:space="preserve">) and uncertainty of outcome (</w:t>
      </w:r>
      <m:oMath>
        <m:sSub>
          <m:e>
            <m:acc>
              <m:accPr>
                <m:chr m:val="̂"/>
              </m:accPr>
              <m:e>
                <m:r>
                  <m:t>β</m:t>
                </m:r>
              </m:e>
            </m:acc>
          </m:e>
          <m:sub>
            <m:r>
              <m:t>2</m:t>
            </m:r>
          </m:sub>
        </m:sSub>
      </m:oMath>
      <w:r>
        <w:t xml:space="preserve">) is weak, with those coefficients being of little significance, either practically or statistically.</w:t>
      </w:r>
      <w:r>
        <w:t xml:space="preserve"> </w:t>
      </w:r>
      <w:r>
        <w:t xml:space="preserve">The coefficient for quality of play (</w:t>
      </w:r>
      <m:oMath>
        <m:sSub>
          <m:e>
            <m:acc>
              <m:accPr>
                <m:chr m:val="̂"/>
              </m:accPr>
              <m:e>
                <m:r>
                  <m:t>β</m:t>
                </m:r>
              </m:e>
            </m:acc>
          </m:e>
          <m:sub>
            <m:r>
              <m:t>1</m:t>
            </m:r>
          </m:sub>
        </m:sSub>
      </m:oMath>
      <w:r>
        <w:t xml:space="preserve">, which</w:t>
      </w:r>
      <w:r>
        <w:t xml:space="preserve"> </w:t>
      </w:r>
      <w:r>
        <w:rPr>
          <w:i/>
          <w:iCs/>
        </w:rPr>
        <w:t xml:space="preserve">is</w:t>
      </w:r>
      <w:r>
        <w:t xml:space="preserve"> </w:t>
      </w:r>
      <w:r>
        <w:t xml:space="preserve">statistically significant) suggests that in 1997, a 1 standard deviation increase in the quality of play (as measured by the product of the Elo ratings) is associated with a modest 2.15% increase in the expected latent attendance, after controlling for our other factors.</w:t>
      </w:r>
      <w:r>
        <w:t xml:space="preserve"> </w:t>
      </w:r>
      <w:r>
        <w:t xml:space="preserve">The support for quality of play (relative to uncertainty of outcome and loss aversion) as a driver of attendance is a key finding.</w:t>
      </w:r>
    </w:p>
    <w:p>
      <w:pPr>
        <w:pStyle w:val="BodyText"/>
      </w:pPr>
      <w:r>
        <w:t xml:space="preserve">Games featuring Caitlin Clark were associated with substantially higher attendance (</w:t>
      </w:r>
      <m:oMath>
        <m:sSub>
          <m:e>
            <m:acc>
              <m:accPr>
                <m:chr m:val="̂"/>
              </m:accPr>
              <m:e>
                <m:r>
                  <m:t>β</m:t>
                </m:r>
              </m:e>
            </m:acc>
          </m:e>
          <m:sub>
            <m:r>
              <m:t>10</m:t>
            </m:r>
          </m:sub>
        </m:sSub>
      </m:oMath>
      <w:r>
        <w:t xml:space="preserve">), while A’ja Wilson’s presence was associated with a smaller but still nontrivial increase in attendance (</w:t>
      </w:r>
      <m:oMath>
        <m:sSub>
          <m:e>
            <m:acc>
              <m:accPr>
                <m:chr m:val="̂"/>
              </m:accPr>
              <m:e>
                <m:r>
                  <m:t>β</m:t>
                </m:r>
              </m:e>
            </m:acc>
          </m:e>
          <m:sub>
            <m:r>
              <m:t>11</m:t>
            </m:r>
          </m:sub>
        </m:sSub>
      </m:oMath>
      <w:r>
        <w:t xml:space="preserve">).</w:t>
      </w:r>
      <w:r>
        <w:t xml:space="preserve"> </w:t>
      </w:r>
      <w:r>
        <w:t xml:space="preserve">The expected latent attendance more than doubles (i.e., is multiplied by</w:t>
      </w:r>
      <w:r>
        <w:t xml:space="preserve"> </w:t>
      </w:r>
      <m:oMath>
        <m:r>
          <m:rPr>
            <m:sty m:val="p"/>
          </m:rPr>
          <m:t>exp</m:t>
        </m:r>
        <m:r>
          <m:rPr>
            <m:sty m:val="p"/>
          </m:rPr>
          <m:t>(</m:t>
        </m:r>
        <m:r>
          <m:rPr>
            <m:nor/>
            <m:sty m:val="p"/>
          </m:rPr>
          <m:t>0.846</m:t>
        </m:r>
        <m:r>
          <m:rPr>
            <m:sty m:val="p"/>
          </m:rPr>
          <m:t>)</m:t>
        </m:r>
      </m:oMath>
      <w:r>
        <w:t xml:space="preserve"> </w:t>
      </w:r>
      <w:r>
        <w:t xml:space="preserve">= 2.33) when Clark plays in the game, and this is</w:t>
      </w:r>
      <w:r>
        <w:t xml:space="preserve"> </w:t>
      </w:r>
      <w:r>
        <w:rPr>
          <w:i/>
          <w:iCs/>
        </w:rPr>
        <w:t xml:space="preserve">after</w:t>
      </w:r>
      <w:r>
        <w:t xml:space="preserve"> </w:t>
      </w:r>
      <w:r>
        <w:t xml:space="preserve">controlling for the Indiana Fever team effect, the levels of fan engagement, and the season effects!</w:t>
      </w:r>
      <w:r>
        <w:t xml:space="preserve"> </w:t>
      </w:r>
      <w:r>
        <w:t xml:space="preserve">The corresponding change in attendance for A’ja Wilson—by most accounts a better player than Clark—is multiplication by just 1.05.</w:t>
      </w:r>
    </w:p>
    <w:p>
      <w:pPr>
        <w:pStyle w:val="BodyText"/>
      </w:pPr>
      <w:r>
        <w:t xml:space="preserve">Among the control variables, median income (</w:t>
      </w:r>
      <m:oMath>
        <m:sSub>
          <m:e>
            <m:acc>
              <m:accPr>
                <m:chr m:val="̂"/>
              </m:accPr>
              <m:e>
                <m:r>
                  <m:t>β</m:t>
                </m:r>
              </m:e>
            </m:acc>
          </m:e>
          <m:sub>
            <m:r>
              <m:t>8</m:t>
            </m:r>
          </m:sub>
        </m:sSub>
      </m:oMath>
      <w:r>
        <w:t xml:space="preserve">) and metro area population (</w:t>
      </w:r>
      <m:oMath>
        <m:sSub>
          <m:e>
            <m:acc>
              <m:accPr>
                <m:chr m:val="̂"/>
              </m:accPr>
              <m:e>
                <m:r>
                  <m:t>β</m:t>
                </m:r>
              </m:e>
            </m:acc>
          </m:e>
          <m:sub>
            <m:r>
              <m:t>9</m:t>
            </m:r>
          </m:sub>
        </m:sSub>
      </m:oMath>
      <w:r>
        <w:t xml:space="preserve">) had small negative effects after controlling for other variables.</w:t>
      </w:r>
    </w:p>
    <w:p>
      <w:pPr>
        <w:pStyle w:val="BodyText"/>
      </w:pPr>
      <w:hyperlink w:anchor="fig-attend-coefs">
        <w:r>
          <w:rPr>
            <w:rStyle w:val="Hyperlink"/>
          </w:rPr>
          <w:t xml:space="preserve">Figure 7</w:t>
        </w:r>
      </w:hyperlink>
      <w:r>
        <w:t xml:space="preserve"> </w:t>
      </w:r>
      <w:r>
        <w:t xml:space="preserve">presents the results of</w:t>
      </w:r>
      <w:r>
        <w:t xml:space="preserve"> </w:t>
      </w:r>
      <w:hyperlink w:anchor="tbl-coefs">
        <w:r>
          <w:rPr>
            <w:rStyle w:val="Hyperlink"/>
          </w:rPr>
          <w:t xml:space="preserve">Table 5</w:t>
        </w:r>
      </w:hyperlink>
      <w:r>
        <w:t xml:space="preserve"> </w:t>
      </w:r>
      <w:r>
        <w:t xml:space="preserve">and some additional coefficients graphically.</w:t>
      </w:r>
      <w:r>
        <w:t xml:space="preserve"> </w:t>
      </w:r>
      <w:r>
        <w:t xml:space="preserve">Confidence intervals for the coefficient associated with the Golden State Valkyries (who have sold out all 22 of their home games) is omitted because it was so large that it renders all of the other effects indistinguishable.</w:t>
      </w:r>
      <w:r>
        <w:t xml:space="preserve"> </w:t>
      </w:r>
      <w:r>
        <w:t xml:space="preserve">The New York Liberty have the largest team effect (</w:t>
      </w:r>
      <m:oMath>
        <m:sSub>
          <m:e>
            <m:acc>
              <m:accPr>
                <m:chr m:val="̂"/>
              </m:accPr>
              <m:e>
                <m:r>
                  <m:t>β</m:t>
                </m:r>
              </m:e>
            </m:acc>
          </m:e>
          <m:sub>
            <m:r>
              <m:t>7</m:t>
            </m:r>
          </m:sub>
        </m:sSub>
      </m:oMath>
      <w:r>
        <w:t xml:space="preserve">), and all teams are positive relative to the Dream.</w:t>
      </w:r>
      <w:r>
        <w:t xml:space="preserve"> </w:t>
      </w:r>
      <w:r>
        <w:t xml:space="preserve">Saturday games have the highest attendance (</w:t>
      </w:r>
      <m:oMath>
        <m:sSub>
          <m:e>
            <m:acc>
              <m:accPr>
                <m:chr m:val="̂"/>
              </m:accPr>
              <m:e>
                <m:r>
                  <m:t>β</m:t>
                </m:r>
              </m:e>
            </m:acc>
          </m:e>
          <m:sub>
            <m:r>
              <m:t>6</m:t>
            </m:r>
          </m:sub>
        </m:sSub>
      </m:oMath>
      <w:r>
        <w:t xml:space="preserve">), as do games later in the season (</w:t>
      </w:r>
      <m:oMath>
        <m:sSub>
          <m:e>
            <m:acc>
              <m:accPr>
                <m:chr m:val="̂"/>
              </m:accPr>
              <m:e>
                <m:r>
                  <m:t>β</m:t>
                </m:r>
              </m:e>
            </m:acc>
          </m:e>
          <m:sub>
            <m:r>
              <m:t>5</m:t>
            </m:r>
          </m:sub>
        </m:sSub>
      </m:oMath>
      <w:r>
        <w:t xml:space="preserve">).</w:t>
      </w:r>
    </w:p>
    <w:bookmarkStart w:id="70" w:name="cell-fig-attend-coefs"/>
    <w:tbl>
      <w:tblPr>
        <w:tblStyle w:val="Table"/>
        <w:tblW w:type="pct" w:w="5000"/>
        <w:tblLayout w:type="fixed"/>
        <w:tblLook w:firstRow="0" w:lastRow="0" w:firstColumn="0" w:lastColumn="0" w:noHBand="0" w:noVBand="0" w:val="0000"/>
      </w:tblPr>
      <w:tblGrid>
        <w:gridCol w:w="7920"/>
      </w:tblGrid>
      <w:tr>
        <w:tc>
          <w:tcPr/>
          <w:bookmarkStart w:id="69" w:name="fig-attend-coefs"/>
          <w:p>
            <w:pPr>
              <w:pStyle w:val="Compact"/>
              <w:jc w:val="center"/>
            </w:pPr>
            <w:r>
              <w:drawing>
                <wp:inline>
                  <wp:extent cx="4620126" cy="3696101"/>
                  <wp:effectExtent b="0" l="0" r="0" t="0"/>
                  <wp:docPr descr="" title="" id="67" name="Picture"/>
                  <a:graphic>
                    <a:graphicData uri="http://schemas.openxmlformats.org/drawingml/2006/picture">
                      <pic:pic>
                        <pic:nvPicPr>
                          <pic:cNvPr descr="index_files/figure-docx/fig-attend-coefs-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Relative magnitudes of fitted coefficients in attendance model, with 95% confidence intervals. The coefficient for the Golden State Valkyries is omitted. Coefficients of interest are highlighted in green. Note the relatively large size of the coefficient associated with Caitlin Clark.</w:t>
            </w:r>
          </w:p>
          <w:bookmarkEnd w:id="69"/>
        </w:tc>
      </w:tr>
    </w:tbl>
    <w:bookmarkEnd w:id="70"/>
    <w:p>
      <w:pPr>
        <w:pStyle w:val="BodyText"/>
      </w:pPr>
      <w:hyperlink w:anchor="tbl-glance">
        <w:r>
          <w:rPr>
            <w:rStyle w:val="Hyperlink"/>
          </w:rPr>
          <w:t xml:space="preserve">Table 8</w:t>
        </w:r>
      </w:hyperlink>
      <w:r>
        <w:t xml:space="preserve"> </w:t>
      </w:r>
      <w:r>
        <w:t xml:space="preserve">characterizes the model’s fit and</w:t>
      </w:r>
      <w:r>
        <w:t xml:space="preserve"> </w:t>
      </w:r>
      <w:hyperlink w:anchor="tbl-anova-tobit">
        <w:r>
          <w:rPr>
            <w:rStyle w:val="Hyperlink"/>
          </w:rPr>
          <w:t xml:space="preserve">Table 9</w:t>
        </w:r>
      </w:hyperlink>
      <w:r>
        <w:t xml:space="preserve"> </w:t>
      </w:r>
      <w:r>
        <w:t xml:space="preserve">shows the ANOVA table.</w:t>
      </w:r>
      <w:r>
        <w:t xml:space="preserve"> </w:t>
      </w:r>
      <w:r>
        <w:t xml:space="preserve">The Tobit coefficient of -1.18 approximates the standard deviation of the latent attendance (on the log scale) when exponentiated (i.e., 0.307).</w:t>
      </w:r>
    </w:p>
    <w:bookmarkEnd w:id="71"/>
    <w:bookmarkStart w:id="84" w:name="sec-annual"/>
    <w:p>
      <w:pPr>
        <w:pStyle w:val="Heading4"/>
      </w:pPr>
      <w:r>
        <w:t xml:space="preserve">4.1.2 Annual effects</w:t>
      </w:r>
    </w:p>
    <w:p>
      <w:pPr>
        <w:pStyle w:val="FirstParagraph"/>
      </w:pPr>
      <w:hyperlink w:anchor="tbl-lrt">
        <w:r>
          <w:rPr>
            <w:rStyle w:val="Hyperlink"/>
          </w:rPr>
          <w:t xml:space="preserve">Table 6</w:t>
        </w:r>
      </w:hyperlink>
      <w:r>
        <w:t xml:space="preserve"> </w:t>
      </w:r>
      <w:r>
        <w:t xml:space="preserve">shows a likelihood ratio test between our model and a reduced model that does not include the interaction terms.</w:t>
      </w:r>
      <w:r>
        <w:t xml:space="preserve"> </w:t>
      </w:r>
      <w:r>
        <w:t xml:space="preserve">The interactions introduce 78 additional terms corresponding to season specific slopes to our model.</w:t>
      </w:r>
      <w:r>
        <w:t xml:space="preserve"> </w:t>
      </w:r>
      <w:r>
        <w:t xml:space="preserve">The likelihood ratio test rejects the null hypothesis that all season-specific changes in slope are equal to zero, indicating that the effects of our fan engagement measures differ significantly across seasons.</w:t>
      </w:r>
    </w:p>
    <w:p>
      <w:pPr>
        <w:pStyle w:val="BodyText"/>
      </w:pPr>
      <w:r>
        <w:t xml:space="preserve">The ANOVA table shown in</w:t>
      </w:r>
      <w:r>
        <w:t xml:space="preserve"> </w:t>
      </w:r>
      <w:hyperlink w:anchor="tbl-anova-tobit">
        <w:r>
          <w:rPr>
            <w:rStyle w:val="Hyperlink"/>
          </w:rPr>
          <w:t xml:space="preserve">Table 9</w:t>
        </w:r>
      </w:hyperlink>
      <w:r>
        <w:t xml:space="preserve"> </w:t>
      </w:r>
      <w:r>
        <w:t xml:space="preserve">further support the inclusion of all three sets of interaction terms.</w:t>
      </w:r>
    </w:p>
    <w:tbl>
      <w:tblPr>
        <w:tblStyle w:val="Table"/>
        <w:tblW w:type="pct" w:w="5000"/>
        <w:tblLayout w:type="fixed"/>
        <w:tblLook w:firstRow="0" w:lastRow="0" w:firstColumn="0" w:lastColumn="0" w:noHBand="0" w:noVBand="0" w:val="0000"/>
      </w:tblPr>
      <w:tblGrid>
        <w:gridCol w:w="7920"/>
      </w:tblGrid>
      <w:tr>
        <w:tc>
          <w:tcPr/>
          <w:bookmarkStart w:id="72" w:name="tbl-lrt"/>
          <w:p>
            <w:pPr>
              <w:jc w:val="center"/>
            </w:pPr>
            <w:pPr>
              <w:jc w:val="left"/>
              <w:spacing w:before="200"/>
              <w:pStyle w:val="ImageCaption"/>
            </w:pPr>
            <w:r>
              <w:t xml:space="preserve">Table 6: Model comparison: constant vs season-varying effects of fan engagement on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Resid.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LogLik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 * LogLik Diff.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Pr(&gt;Chi)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-1481.836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396.3176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bl>
          <w:bookmarkEnd w:id="72"/>
        </w:tc>
      </w:tr>
    </w:tbl>
    <w:p>
      <w:pPr>
        <w:pStyle w:val="BodyText"/>
      </w:pPr>
      <w:hyperlink w:anchor="fig-season-coefs">
        <w:r>
          <w:rPr>
            <w:rStyle w:val="Hyperlink"/>
          </w:rPr>
          <w:t xml:space="preserve">Figure 8</w:t>
        </w:r>
      </w:hyperlink>
      <w:r>
        <w:t xml:space="preserve"> </w:t>
      </w:r>
      <w:r>
        <w:t xml:space="preserve">isolates the change in intercept associated with each WNBA season (the various values of the vector</w:t>
      </w:r>
      <w:r>
        <w:t xml:space="preserve"> </w:t>
      </w:r>
      <m:oMath>
        <m:sSub>
          <m:e>
            <m:acc>
              <m:accPr>
                <m:chr m:val="̂"/>
              </m:accPr>
              <m:e>
                <m:r>
                  <m:t>β</m:t>
                </m:r>
              </m:e>
            </m:acc>
          </m:e>
          <m:sub>
            <m:r>
              <m:t>4</m:t>
            </m:r>
          </m:sub>
        </m:sSub>
      </m:oMath>
      <w:r>
        <w:t xml:space="preserve">).</w:t>
      </w:r>
      <w:r>
        <w:t xml:space="preserve"> </w:t>
      </w:r>
      <w:r>
        <w:t xml:space="preserve">These reveal that even after controlling for our other variables—including the Caitlin Clark effect—expected attendance has exceeded its 1997 baseline in the most recent seasons.</w:t>
      </w:r>
      <w:r>
        <w:t xml:space="preserve"> </w:t>
      </w:r>
      <w:r>
        <w:t xml:space="preserve">Thus, even after controlling for the influence of Clark and Wilson, league expected attendance has fully recovered from the COVID-19 pandemic and the malaise of the early 2000s and 2010s.</w:t>
      </w:r>
      <w:r>
        <w:t xml:space="preserve"> </w:t>
      </w:r>
      <w:r>
        <w:t xml:space="preserve">This is a second key finding.</w:t>
      </w:r>
    </w:p>
    <w:bookmarkStart w:id="77" w:name="cell-fig-season-coefs"/>
    <w:tbl>
      <w:tblPr>
        <w:tblStyle w:val="Table"/>
        <w:tblW w:type="pct" w:w="5000"/>
        <w:tblLayout w:type="fixed"/>
        <w:tblLook w:firstRow="0" w:lastRow="0" w:firstColumn="0" w:lastColumn="0" w:noHBand="0" w:noVBand="0" w:val="0000"/>
      </w:tblPr>
      <w:tblGrid>
        <w:gridCol w:w="7920"/>
      </w:tblGrid>
      <w:tr>
        <w:tc>
          <w:tcPr/>
          <w:bookmarkStart w:id="76" w:name="fig-season-coefs"/>
          <w:p>
            <w:pPr>
              <w:pStyle w:val="Compact"/>
              <w:jc w:val="center"/>
            </w:pPr>
            <w:r>
              <w:drawing>
                <wp:inline>
                  <wp:extent cx="4620126" cy="3696101"/>
                  <wp:effectExtent b="0" l="0" r="0" t="0"/>
                  <wp:docPr descr="" title="" id="74" name="Picture"/>
                  <a:graphic>
                    <a:graphicData uri="http://schemas.openxmlformats.org/drawingml/2006/picture">
                      <pic:pic>
                        <pic:nvPicPr>
                          <pic:cNvPr descr="index_files/figure-docx/fig-season-coefs-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fixed effects for Tobit attendance model (</w:t>
            </w:r>
            <m:oMath>
              <m:sSub>
                <m:e>
                  <m:acc>
                    <m:accPr>
                      <m:chr m:val="̂"/>
                    </m:accPr>
                    <m:e>
                      <m:r>
                        <m:t>β</m:t>
                      </m:r>
                    </m:e>
                  </m:acc>
                </m:e>
                <m:sub>
                  <m:r>
                    <m:t>7</m:t>
                  </m:r>
                </m:sub>
              </m:sSub>
            </m:oMath>
            <w:r>
              <w:t xml:space="preserve">).</w:t>
            </w:r>
          </w:p>
          <w:bookmarkEnd w:id="76"/>
        </w:tc>
      </w:tr>
    </w:tbl>
    <w:bookmarkEnd w:id="77"/>
    <w:p>
      <w:pPr>
        <w:pStyle w:val="BodyText"/>
      </w:pPr>
      <w:hyperlink w:anchor="fig-season-slopes">
        <w:r>
          <w:rPr>
            <w:rStyle w:val="Hyperlink"/>
          </w:rPr>
          <w:t xml:space="preserve">Figure 9</w:t>
        </w:r>
      </w:hyperlink>
      <w:r>
        <w:t xml:space="preserve"> </w:t>
      </w:r>
      <w:r>
        <w:t xml:space="preserve">shows the exponentiated season-by-season combined slopes for our three measures of fan engagement.</w:t>
      </w:r>
      <w:r>
        <w:t xml:space="preserve"> </w:t>
      </w:r>
      <w:r>
        <w:t xml:space="preserve">The initial values (</w:t>
      </w:r>
      <m:oMath>
        <m:sSub>
          <m:e>
            <m:acc>
              <m:accPr>
                <m:chr m:val="̂"/>
              </m:accPr>
              <m:e>
                <m:r>
                  <m:t>β</m:t>
                </m:r>
              </m:e>
            </m:acc>
          </m:e>
          <m:sub>
            <m:r>
              <m:t>1</m:t>
            </m:r>
          </m:sub>
        </m:sSub>
        <m:r>
          <m:rPr>
            <m:sty m:val="p"/>
          </m:rPr>
          <m:t>,</m:t>
        </m:r>
        <m:sSub>
          <m:e>
            <m:acc>
              <m:accPr>
                <m:chr m:val="̂"/>
              </m:accPr>
              <m:e>
                <m:r>
                  <m:t>β</m:t>
                </m:r>
              </m:e>
            </m:acc>
          </m:e>
          <m:sub>
            <m:r>
              <m:t>2</m:t>
            </m:r>
          </m:sub>
        </m:sSub>
        <m:r>
          <m:rPr>
            <m:sty m:val="p"/>
          </m:rPr>
          <m:t>,</m:t>
        </m:r>
        <m:sSub>
          <m:e>
            <m:acc>
              <m:accPr>
                <m:chr m:val="̂"/>
              </m:accPr>
              <m:e>
                <m:r>
                  <m:t>β</m:t>
                </m:r>
              </m:e>
            </m:acc>
          </m:e>
          <m:sub>
            <m:r>
              <m:t>3</m:t>
            </m:r>
          </m:sub>
        </m:sSub>
      </m:oMath>
      <w:r>
        <w:t xml:space="preserve">, corresponding to 1997), match those in</w:t>
      </w:r>
      <w:r>
        <w:t xml:space="preserve"> </w:t>
      </w:r>
      <w:hyperlink w:anchor="tbl-coefs">
        <w:r>
          <w:rPr>
            <w:rStyle w:val="Hyperlink"/>
          </w:rPr>
          <w:t xml:space="preserve">Table 5</w:t>
        </w:r>
      </w:hyperlink>
      <w:r>
        <w:t xml:space="preserve">, and the subsequent interaction terms (</w:t>
      </w:r>
      <m:oMath>
        <m:sSub>
          <m:e>
            <m:acc>
              <m:accPr>
                <m:chr m:val="̂"/>
              </m:accPr>
              <m:e>
                <m:r>
                  <m:t>β</m:t>
                </m:r>
              </m:e>
            </m:acc>
          </m:e>
          <m:sub>
            <m:r>
              <m:t>12</m:t>
            </m:r>
          </m:sub>
        </m:sSub>
        <m:r>
          <m:rPr>
            <m:sty m:val="p"/>
          </m:rPr>
          <m:t>,</m:t>
        </m:r>
        <m:sSub>
          <m:e>
            <m:acc>
              <m:accPr>
                <m:chr m:val="̂"/>
              </m:accPr>
              <m:e>
                <m:r>
                  <m:t>β</m:t>
                </m:r>
              </m:e>
            </m:acc>
          </m:e>
          <m:sub>
            <m:r>
              <m:t>13</m:t>
            </m:r>
          </m:sub>
        </m:sSub>
        <m:r>
          <m:rPr>
            <m:sty m:val="p"/>
          </m:rPr>
          <m:t>,</m:t>
        </m:r>
        <m:sSub>
          <m:e>
            <m:acc>
              <m:accPr>
                <m:chr m:val="̂"/>
              </m:accPr>
              <m:e>
                <m:r>
                  <m:t>β</m:t>
                </m:r>
              </m:e>
            </m:acc>
          </m:e>
          <m:sub>
            <m:r>
              <m:t>14</m:t>
            </m:r>
          </m:sub>
        </m:sSub>
      </m:oMath>
      <w:r>
        <w:t xml:space="preserve">) modify the relationships between attendance and fan engagement.</w:t>
      </w:r>
      <w:r>
        <w:t xml:space="preserve"> </w:t>
      </w:r>
      <w:r>
        <w:t xml:space="preserve">In</w:t>
      </w:r>
      <w:r>
        <w:t xml:space="preserve"> </w:t>
      </w:r>
      <w:hyperlink w:anchor="fig-season-slopes">
        <w:r>
          <w:rPr>
            <w:rStyle w:val="Hyperlink"/>
          </w:rPr>
          <w:t xml:space="preserve">Figure 9</w:t>
        </w:r>
      </w:hyperlink>
      <w:r>
        <w:t xml:space="preserve">, we can see that there is little to no association with attendance from the uncertainty of the outcome.</w:t>
      </w:r>
      <w:r>
        <w:rPr>
          <w:rStyle w:val="FootnoteReference"/>
        </w:rPr>
        <w:footnoteReference w:id="78"/>
      </w:r>
      <w:r>
        <w:t xml:space="preserve"> </w:t>
      </w:r>
      <w:r>
        <w:t xml:space="preserve">The slope associated with loss aversion (</w:t>
      </w:r>
      <m:oMath>
        <m:sSub>
          <m:e>
            <m:acc>
              <m:accPr>
                <m:chr m:val="̂"/>
              </m:accPr>
              <m:e>
                <m:r>
                  <m:t>β</m:t>
                </m:r>
              </m:e>
            </m:acc>
          </m:e>
          <m:sub>
            <m:r>
              <m:t>3</m:t>
            </m:r>
          </m:sub>
        </m:sSub>
        <m:r>
          <m:rPr>
            <m:sty m:val="p"/>
          </m:rPr>
          <m:t>+</m:t>
        </m:r>
        <m:sSub>
          <m:e>
            <m:acc>
              <m:accPr>
                <m:chr m:val="̂"/>
              </m:accPr>
              <m:e>
                <m:r>
                  <m:t>β</m:t>
                </m:r>
              </m:e>
            </m:acc>
          </m:e>
          <m:sub>
            <m:r>
              <m:t>14</m:t>
            </m:r>
          </m:sub>
        </m:sSub>
      </m:oMath>
      <w:r>
        <w:t xml:space="preserve">) is always positive and generally increasing, suggesting that the attendance response to home win probability has strengthened over the league’s history.</w:t>
      </w:r>
      <w:r>
        <w:t xml:space="preserve"> </w:t>
      </w:r>
      <w:r>
        <w:t xml:space="preserve">While</w:t>
      </w:r>
      <w:r>
        <w:t xml:space="preserve"> </w:t>
      </w:r>
      <w:r>
        <w:t xml:space="preserve">Agha and Berri (2023)</w:t>
      </w:r>
      <w:r>
        <w:t xml:space="preserve"> </w:t>
      </w:r>
      <w:r>
        <w:t xml:space="preserve">did not find a statistically significant relationship between team strength and demand between 2004 and 2017, our analysis finds that estimated home win probability is a statistically significant predictor of attendance.</w:t>
      </w:r>
      <w:r>
        <w:t xml:space="preserve"> </w:t>
      </w:r>
      <w:r>
        <w:t xml:space="preserve">We use game-level expected probabilities and incorporate a more recent period of league growth, finding that estimated home win probability is a statistically significant predictor of attendance and that its effect has strengthened over time.</w:t>
      </w:r>
      <w:r>
        <w:t xml:space="preserve"> </w:t>
      </w:r>
      <w:r>
        <w:t xml:space="preserve">This suggests that fan behavior in the WNBA may be becoming more similar to the behavior observed in Major League Baseball by</w:t>
      </w:r>
      <w:r>
        <w:t xml:space="preserve"> </w:t>
      </w:r>
      <w:r>
        <w:t xml:space="preserve">Coates et al. (2014)</w:t>
      </w:r>
      <w:r>
        <w:t xml:space="preserve">.</w:t>
      </w:r>
    </w:p>
    <w:p>
      <w:pPr>
        <w:pStyle w:val="BodyText"/>
      </w:pPr>
      <w:r>
        <w:t xml:space="preserve">Similarly, the slope associated with quality of play (</w:t>
      </w:r>
      <m:oMath>
        <m:sSub>
          <m:e>
            <m:acc>
              <m:accPr>
                <m:chr m:val="̂"/>
              </m:accPr>
              <m:e>
                <m:r>
                  <m:t>β</m:t>
                </m:r>
              </m:e>
            </m:acc>
          </m:e>
          <m:sub>
            <m:r>
              <m:t>1</m:t>
            </m:r>
          </m:sub>
        </m:sSub>
        <m:r>
          <m:rPr>
            <m:sty m:val="p"/>
          </m:rPr>
          <m:t>+</m:t>
        </m:r>
        <m:sSub>
          <m:e>
            <m:acc>
              <m:accPr>
                <m:chr m:val="̂"/>
              </m:accPr>
              <m:e>
                <m:r>
                  <m:t>β</m:t>
                </m:r>
              </m:e>
            </m:acc>
          </m:e>
          <m:sub>
            <m:r>
              <m:t>12</m:t>
            </m:r>
          </m:sub>
        </m:sSub>
      </m:oMath>
      <w:r>
        <w:t xml:space="preserve">) is always positive and generally increasing, following a steep fall after the league’s first season.</w:t>
      </w:r>
      <w:r>
        <w:t xml:space="preserve"> </w:t>
      </w:r>
      <w:r>
        <w:t xml:space="preserve">One possible explanation for the anomalously large fitted slope in 1997 is that a few very good and/or very bad teams stood out in the first year in the league.</w:t>
      </w:r>
      <w:r>
        <w:t xml:space="preserve"> </w:t>
      </w:r>
      <w:r>
        <w:t xml:space="preserve">Another plausible explanation is that since all teams started with an initial Elo rating of 1500, it took a while for the relationship between attendance and team strength to settle down.</w:t>
      </w:r>
    </w:p>
    <w:p>
      <w:pPr>
        <w:pStyle w:val="BodyText"/>
      </w:pPr>
      <w:r>
        <w:t xml:space="preserve">In the case of quality of play and loss aversion, the exponentiated fitted coefficient value of approximately 0.1 in recent years means that a one standard deviation increase in these measures is associated with an increase in attendance that is about 10% higher than it would have been in the league’s early years.</w:t>
      </w:r>
      <w:r>
        <w:t xml:space="preserve"> </w:t>
      </w:r>
      <w:r>
        <w:t xml:space="preserve">This is another key finding.</w:t>
      </w:r>
    </w:p>
    <w:bookmarkStart w:id="83" w:name="cell-fig-season-slopes"/>
    <w:tbl>
      <w:tblPr>
        <w:tblStyle w:val="Table"/>
        <w:tblW w:type="pct" w:w="5000"/>
        <w:tblLayout w:type="fixed"/>
        <w:tblLook w:firstRow="0" w:lastRow="0" w:firstColumn="0" w:lastColumn="0" w:noHBand="0" w:noVBand="0" w:val="0000"/>
      </w:tblPr>
      <w:tblGrid>
        <w:gridCol w:w="7920"/>
      </w:tblGrid>
      <w:tr>
        <w:tc>
          <w:tcPr/>
          <w:bookmarkStart w:id="82" w:name="fig-season-slopes"/>
          <w:p>
            <w:pPr>
              <w:pStyle w:val="Compact"/>
              <w:jc w:val="center"/>
            </w:pPr>
            <w:r>
              <w:drawing>
                <wp:inline>
                  <wp:extent cx="4620126" cy="3696101"/>
                  <wp:effectExtent b="0" l="0" r="0" t="0"/>
                  <wp:docPr descr="" title="" id="80" name="Picture"/>
                  <a:graphic>
                    <a:graphicData uri="http://schemas.openxmlformats.org/drawingml/2006/picture">
                      <pic:pic>
                        <pic:nvPicPr>
                          <pic:cNvPr descr="index_files/figure-docx/fig-season-slope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Exponentiated fitted combined (main effect + interaction effect) slope coefficients for Tobit model, by season.</w:t>
            </w:r>
          </w:p>
          <w:bookmarkEnd w:id="82"/>
        </w:tc>
      </w:tr>
    </w:tbl>
    <w:bookmarkEnd w:id="83"/>
    <w:bookmarkEnd w:id="84"/>
    <w:bookmarkEnd w:id="85"/>
    <w:bookmarkStart w:id="104" w:name="modeling-percentage-of-arena-capacity"/>
    <w:p>
      <w:pPr>
        <w:pStyle w:val="Heading3"/>
      </w:pPr>
      <w:r>
        <w:t xml:space="preserve">4.2 Modeling percentage of arena capacity</w:t>
      </w:r>
    </w:p>
    <w:bookmarkStart w:id="92" w:name="main-effects"/>
    <w:p>
      <w:pPr>
        <w:pStyle w:val="Heading4"/>
      </w:pPr>
      <w:r>
        <w:t xml:space="preserve">4.2.1 Main effects</w:t>
      </w:r>
    </w:p>
    <w:p>
      <w:pPr>
        <w:pStyle w:val="FirstParagraph"/>
      </w:pPr>
      <w:hyperlink w:anchor="tbl-coefs2">
        <w:r>
          <w:rPr>
            <w:rStyle w:val="Hyperlink"/>
          </w:rPr>
          <w:t xml:space="preserve">Table 7</w:t>
        </w:r>
      </w:hyperlink>
      <w:r>
        <w:t xml:space="preserve"> </w:t>
      </w:r>
      <w:r>
        <w:t xml:space="preserve">reports the coefficients from the percentage of estimated arena capacity model, while</w:t>
      </w:r>
      <w:r>
        <w:t xml:space="preserve"> </w:t>
      </w:r>
      <w:hyperlink w:anchor="fig-pct-coefs">
        <w:r>
          <w:rPr>
            <w:rStyle w:val="Hyperlink"/>
          </w:rPr>
          <w:t xml:space="preserve">Figure 10</w:t>
        </w:r>
      </w:hyperlink>
      <w:r>
        <w:t xml:space="preserve"> </w:t>
      </w:r>
      <w:r>
        <w:t xml:space="preserve">graphically illustrates the relatively magnitude of the coefficients.</w:t>
      </w:r>
      <w:r>
        <w:t xml:space="preserve"> </w:t>
      </w:r>
      <w:r>
        <w:t xml:space="preserve">The results largely mirror those of the Tobit model (compare to</w:t>
      </w:r>
      <w:r>
        <w:t xml:space="preserve"> </w:t>
      </w:r>
      <w:hyperlink w:anchor="tbl-coef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tbl-coefs2"/>
          <w:p>
            <w:pPr>
              <w:jc w:val="center"/>
            </w:pPr>
            <w:pPr>
              <w:jc w:val="left"/>
              <w:spacing w:before="200"/>
              <w:pStyle w:val="ImageCaption"/>
            </w:pPr>
            <w:r>
              <w:t xml:space="preserve">Table 7: Table of coefficients from percentage of estimated arena capacity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Coef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 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Conf Low</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Conf 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A'ja Wilson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Caitlin Clark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bl>
          <w:bookmarkEnd w:id="86"/>
        </w:tc>
      </w:tr>
    </w:tbl>
    <w:p>
      <w:pPr>
        <w:pStyle w:val="BodyText"/>
      </w:pPr>
      <w:r>
        <w:t xml:space="preserve">In this model, the effect associated with Caitlin Clark’s appearance (</w:t>
      </w:r>
      <m:oMath>
        <m:sSub>
          <m:e>
            <m:acc>
              <m:accPr>
                <m:chr m:val="̂"/>
              </m:accPr>
              <m:e>
                <m:r>
                  <m:t>β</m:t>
                </m:r>
              </m:e>
            </m:acc>
          </m:e>
          <m:sub>
            <m:r>
              <m:t>10</m:t>
            </m:r>
          </m:sub>
        </m:sSub>
      </m:oMath>
      <w:r>
        <w:t xml:space="preserve">) is even more dramatic.</w:t>
      </w:r>
      <w:r>
        <w:t xml:space="preserve"> </w:t>
      </w:r>
      <w:r>
        <w:t xml:space="preserve">After controlling for our other factors, Clark’s presence is associated with a 6.8-fold increase in the ratio of the expected percentage of the arena filled relative to the percentage that is empty.</w:t>
      </w:r>
      <w:r>
        <w:t xml:space="preserve"> </w:t>
      </w:r>
      <w:r>
        <w:t xml:space="preserve">In other words, for an arena that would otherwise be expected to be half-full, Clark’s marginal effect corresponds to a jump in the expected percentage of arena capacity to nearly 0.98%.</w:t>
      </w:r>
      <w:r>
        <w:t xml:space="preserve"> </w:t>
      </w:r>
      <w:r>
        <w:t xml:space="preserve">Clark has played all but one of her games in arena’s that were more than 85% full (recall that the league average is about 50%).</w:t>
      </w:r>
    </w:p>
    <w:bookmarkStart w:id="91" w:name="cell-fig-pct-coefs"/>
    <w:tbl>
      <w:tblPr>
        <w:tblStyle w:val="Table"/>
        <w:tblW w:type="pct" w:w="5000"/>
        <w:tblLayout w:type="fixed"/>
        <w:tblLook w:firstRow="0" w:lastRow="0" w:firstColumn="0" w:lastColumn="0" w:noHBand="0" w:noVBand="0" w:val="0000"/>
      </w:tblPr>
      <w:tblGrid>
        <w:gridCol w:w="7920"/>
      </w:tblGrid>
      <w:tr>
        <w:tc>
          <w:tcPr/>
          <w:bookmarkStart w:id="90" w:name="fig-pct-coefs"/>
          <w:p>
            <w:pPr>
              <w:pStyle w:val="Compact"/>
              <w:jc w:val="center"/>
            </w:pPr>
            <w:r>
              <w:drawing>
                <wp:inline>
                  <wp:extent cx="4620126" cy="3696101"/>
                  <wp:effectExtent b="0" l="0" r="0" t="0"/>
                  <wp:docPr descr="" title="" id="88" name="Picture"/>
                  <a:graphic>
                    <a:graphicData uri="http://schemas.openxmlformats.org/drawingml/2006/picture">
                      <pic:pic>
                        <pic:nvPicPr>
                          <pic:cNvPr descr="index_files/figure-docx/fig-pct-coefs-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Relative magnitudes of coefficients in attendance model. Coefficients of interest are highlighted. Note the relatively large size of the coefficient associated with Caitlin Clark.</w:t>
            </w:r>
          </w:p>
          <w:bookmarkEnd w:id="90"/>
        </w:tc>
      </w:tr>
    </w:tbl>
    <w:bookmarkEnd w:id="91"/>
    <w:p>
      <w:pPr>
        <w:pStyle w:val="BodyText"/>
      </w:pPr>
      <w:hyperlink w:anchor="tbl-glance2">
        <w:r>
          <w:rPr>
            <w:rStyle w:val="Hyperlink"/>
          </w:rPr>
          <w:t xml:space="preserve">Table 10</w:t>
        </w:r>
      </w:hyperlink>
      <w:r>
        <w:t xml:space="preserve"> </w:t>
      </w:r>
      <w:r>
        <w:t xml:space="preserve">and</w:t>
      </w:r>
      <w:r>
        <w:t xml:space="preserve"> </w:t>
      </w:r>
      <w:hyperlink w:anchor="tbl-anova2">
        <w:r>
          <w:rPr>
            <w:rStyle w:val="Hyperlink"/>
          </w:rPr>
          <w:t xml:space="preserve">Table 11</w:t>
        </w:r>
      </w:hyperlink>
      <w:r>
        <w:t xml:space="preserve"> </w:t>
      </w:r>
      <w:r>
        <w:t xml:space="preserve">show model fit metrics and analysis of variance for the percentage of estimated arena capacity models, respectively.</w:t>
      </w:r>
    </w:p>
    <w:bookmarkEnd w:id="92"/>
    <w:bookmarkStart w:id="103" w:name="annual-effects"/>
    <w:p>
      <w:pPr>
        <w:pStyle w:val="Heading4"/>
      </w:pPr>
      <w:r>
        <w:t xml:space="preserve">4.2.2 Annual effects</w:t>
      </w:r>
    </w:p>
    <w:p>
      <w:pPr>
        <w:pStyle w:val="FirstParagraph"/>
      </w:pPr>
      <w:hyperlink w:anchor="fig-season-coefs2">
        <w:r>
          <w:rPr>
            <w:rStyle w:val="Hyperlink"/>
          </w:rPr>
          <w:t xml:space="preserve">Figure 11</w:t>
        </w:r>
      </w:hyperlink>
      <w:r>
        <w:t xml:space="preserve"> </w:t>
      </w:r>
      <w:r>
        <w:t xml:space="preserve">displays the estimated effects of our fan engagement measures on attendance relative to the 1997 reference season.</w:t>
      </w:r>
      <w:r>
        <w:t xml:space="preserve"> </w:t>
      </w:r>
      <w:r>
        <w:t xml:space="preserve">Similar to the attendance trends shown in</w:t>
      </w:r>
      <w:r>
        <w:t xml:space="preserve"> </w:t>
      </w:r>
      <w:hyperlink w:anchor="fig-season-coefs">
        <w:r>
          <w:rPr>
            <w:rStyle w:val="Hyperlink"/>
          </w:rPr>
          <w:t xml:space="preserve">Figure 8</w:t>
        </w:r>
      </w:hyperlink>
      <w:r>
        <w:t xml:space="preserve">, these effects generally remained below their 1997 levels for much of the league’s history and only returned to comparable levels recently.</w:t>
      </w:r>
      <w:r>
        <w:t xml:space="preserve"> </w:t>
      </w:r>
      <w:r>
        <w:t xml:space="preserve">In the most recent years of measurement, however, we see the league exceeding its previous highs.</w:t>
      </w:r>
    </w:p>
    <w:bookmarkStart w:id="97" w:name="cell-fig-season-coefs2"/>
    <w:tbl>
      <w:tblPr>
        <w:tblStyle w:val="Table"/>
        <w:tblW w:type="pct" w:w="5000"/>
        <w:tblLayout w:type="fixed"/>
        <w:tblLook w:firstRow="0" w:lastRow="0" w:firstColumn="0" w:lastColumn="0" w:noHBand="0" w:noVBand="0" w:val="0000"/>
      </w:tblPr>
      <w:tblGrid>
        <w:gridCol w:w="7920"/>
      </w:tblGrid>
      <w:tr>
        <w:tc>
          <w:tcPr/>
          <w:bookmarkStart w:id="96" w:name="fig-season-coefs2"/>
          <w:p>
            <w:pPr>
              <w:pStyle w:val="Compact"/>
              <w:jc w:val="center"/>
            </w:pPr>
            <w:r>
              <w:drawing>
                <wp:inline>
                  <wp:extent cx="4620126" cy="3696101"/>
                  <wp:effectExtent b="0" l="0" r="0" t="0"/>
                  <wp:docPr descr="" title="" id="94" name="Picture"/>
                  <a:graphic>
                    <a:graphicData uri="http://schemas.openxmlformats.org/drawingml/2006/picture">
                      <pic:pic>
                        <pic:nvPicPr>
                          <pic:cNvPr descr="index_files/figure-docx/fig-season-coefs2-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Estimated season-level fixed effects for percentage of arena capacity models (</w:t>
            </w:r>
            <m:oMath>
              <m:sSub>
                <m:e>
                  <m:acc>
                    <m:accPr>
                      <m:chr m:val="̂"/>
                    </m:accPr>
                    <m:e>
                      <m:r>
                        <m:t>β</m:t>
                      </m:r>
                    </m:e>
                  </m:acc>
                </m:e>
                <m:sub>
                  <m:r>
                    <m:t>7</m:t>
                  </m:r>
                </m:sub>
              </m:sSub>
            </m:oMath>
            <w:r>
              <w:t xml:space="preserve">).</w:t>
            </w:r>
          </w:p>
          <w:bookmarkEnd w:id="96"/>
        </w:tc>
      </w:tr>
    </w:tbl>
    <w:bookmarkEnd w:id="97"/>
    <w:p>
      <w:pPr>
        <w:pStyle w:val="BodyText"/>
      </w:pPr>
      <w:hyperlink w:anchor="fig-season-slopes2">
        <w:r>
          <w:rPr>
            <w:rStyle w:val="Hyperlink"/>
          </w:rPr>
          <w:t xml:space="preserve">Figure 12</w:t>
        </w:r>
      </w:hyperlink>
      <w:r>
        <w:t xml:space="preserve"> </w:t>
      </w:r>
      <w:r>
        <w:t xml:space="preserve">shows that the changes in slopes associated with our measures of fan engagement follow similar patterns to those shown in</w:t>
      </w:r>
      <w:r>
        <w:t xml:space="preserve"> </w:t>
      </w:r>
      <w:hyperlink w:anchor="fig-season-slopes">
        <w:r>
          <w:rPr>
            <w:rStyle w:val="Hyperlink"/>
          </w:rPr>
          <w:t xml:space="preserve">Figure 9</w:t>
        </w:r>
      </w:hyperlink>
      <w:r>
        <w:t xml:space="preserve">.</w:t>
      </w:r>
    </w:p>
    <w:bookmarkStart w:id="102" w:name="cell-fig-season-slopes2"/>
    <w:tbl>
      <w:tblPr>
        <w:tblStyle w:val="Table"/>
        <w:tblW w:type="pct" w:w="5000"/>
        <w:tblLayout w:type="fixed"/>
        <w:tblLook w:firstRow="0" w:lastRow="0" w:firstColumn="0" w:lastColumn="0" w:noHBand="0" w:noVBand="0" w:val="0000"/>
      </w:tblPr>
      <w:tblGrid>
        <w:gridCol w:w="7920"/>
      </w:tblGrid>
      <w:tr>
        <w:tc>
          <w:tcPr/>
          <w:bookmarkStart w:id="101" w:name="fig-season-slopes2"/>
          <w:p>
            <w:pPr>
              <w:pStyle w:val="Compact"/>
              <w:jc w:val="center"/>
            </w:pPr>
            <w:r>
              <w:drawing>
                <wp:inline>
                  <wp:extent cx="4620126" cy="3696101"/>
                  <wp:effectExtent b="0" l="0" r="0" t="0"/>
                  <wp:docPr descr="" title="" id="99" name="Picture"/>
                  <a:graphic>
                    <a:graphicData uri="http://schemas.openxmlformats.org/drawingml/2006/picture">
                      <pic:pic>
                        <pic:nvPicPr>
                          <pic:cNvPr descr="index_files/figure-docx/fig-season-slopes2-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changes in slopes for percentage of arena capacity models.</w:t>
            </w:r>
          </w:p>
          <w:bookmarkEnd w:id="101"/>
        </w:tc>
      </w:tr>
    </w:tbl>
    <w:bookmarkEnd w:id="102"/>
    <w:bookmarkEnd w:id="103"/>
    <w:bookmarkEnd w:id="104"/>
    <w:bookmarkEnd w:id="105"/>
    <w:bookmarkStart w:id="109" w:name="conclusion"/>
    <w:p>
      <w:pPr>
        <w:pStyle w:val="Heading2"/>
      </w:pPr>
      <w:r>
        <w:t xml:space="preserve">5 Conclusion</w:t>
      </w:r>
    </w:p>
    <w:bookmarkStart w:id="106" w:name="key-results"/>
    <w:p>
      <w:pPr>
        <w:pStyle w:val="Heading3"/>
      </w:pPr>
      <w:r>
        <w:t xml:space="preserve">5.1 Key results</w:t>
      </w:r>
    </w:p>
    <w:p>
      <w:pPr>
        <w:pStyle w:val="FirstParagraph"/>
      </w:pPr>
      <w:r>
        <w:t xml:space="preserve">After considering attendance across the entire history of the WNBA, we arrive at several conclusions.</w:t>
      </w:r>
    </w:p>
    <w:p>
      <w:pPr>
        <w:pStyle w:val="BodyText"/>
      </w:pPr>
      <w:r>
        <w:t xml:space="preserve">First, the effect of Caitlin Clark’s presence on attendance is substantial.</w:t>
      </w:r>
      <w:r>
        <w:t xml:space="preserve"> </w:t>
      </w:r>
      <w:r>
        <w:t xml:space="preserve">As discussed above, Clark’s presence in a game more than doubles the expected attendance, even after controlling for other factors.</w:t>
      </w:r>
      <w:r>
        <w:t xml:space="preserve"> </w:t>
      </w:r>
      <w:r>
        <w:t xml:space="preserve">Although interest in a single star player is not by itself evidence of sustained development, it is notable that earlier work did not find star players to be significant drivers of WNBA game attendance</w:t>
      </w:r>
      <w:r>
        <w:t xml:space="preserve"> </w:t>
      </w:r>
      <w:r>
        <w:t xml:space="preserve">(Agha and Berri 2023)</w:t>
      </w:r>
      <w:r>
        <w:t xml:space="preserve">.</w:t>
      </w:r>
    </w:p>
    <w:p>
      <w:pPr>
        <w:pStyle w:val="BodyText"/>
      </w:pPr>
      <w:r>
        <w:t xml:space="preserve">Second, as has been widely reported, attendance has reached new heights in recent years even after controlling for Clark’s presence and other game, team, and market characteristics.</w:t>
      </w:r>
      <w:r>
        <w:t xml:space="preserve"> </w:t>
      </w:r>
      <w:r>
        <w:t xml:space="preserve">This means that the league’s recent success cannot be attributed only to the</w:t>
      </w:r>
      <w:r>
        <w:t xml:space="preserve"> </w:t>
      </w:r>
      <w:r>
        <w:t xml:space="preserve">“Caitlin Clark effect”</w:t>
      </w:r>
      <w:r>
        <w:t xml:space="preserve"> </w:t>
      </w:r>
      <w:r>
        <w:t xml:space="preserve">and instead indicates a broader increase in demand.</w:t>
      </w:r>
      <w:r>
        <w:t xml:space="preserve"> </w:t>
      </w:r>
      <w:r>
        <w:t xml:space="preserve">The Golden State Valkyries filled all 18,064 seats in each one of their 22 home games in 2025, only one of which involved Clark.</w:t>
      </w:r>
    </w:p>
    <w:p>
      <w:pPr>
        <w:pStyle w:val="BodyText"/>
      </w:pPr>
      <w:r>
        <w:t xml:space="preserve">Finally, we find evidence that the relationships between attendance and our measurements of both quality of play and loss aversion have strengthened over time.</w:t>
      </w:r>
      <w:r>
        <w:t xml:space="preserve"> </w:t>
      </w:r>
      <w:r>
        <w:t xml:space="preserve">The effect of quality of play appears to be more robust than the effect of our measurements of either loss aversion or uncertainty of outcome.</w:t>
      </w:r>
    </w:p>
    <w:p>
      <w:pPr>
        <w:pStyle w:val="BodyText"/>
      </w:pPr>
      <w:r>
        <w:t xml:space="preserve">These findings suggest that the WNBA is entering a more mature stage of development, in which fans increasingly attend games for the product on the court rather than primarily out of novelty or support for women’s sports.</w:t>
      </w:r>
    </w:p>
    <w:bookmarkEnd w:id="106"/>
    <w:bookmarkStart w:id="108" w:name="limitations-and-future-work"/>
    <w:p>
      <w:pPr>
        <w:pStyle w:val="Heading3"/>
      </w:pPr>
      <w:r>
        <w:t xml:space="preserve">5.2 Limitations and future work</w:t>
      </w:r>
    </w:p>
    <w:p>
      <w:pPr>
        <w:pStyle w:val="FirstParagraph"/>
      </w:pPr>
      <w:r>
        <w:t xml:space="preserve">We considered fitting a period-based model that would allow us to isolate specific periods across the league’s history and craft a more narrative explanation of fan engagement trends.</w:t>
      </w:r>
      <w:r>
        <w:t xml:space="preserve"> </w:t>
      </w:r>
      <w:r>
        <w:t xml:space="preserve">We ultimately decided against this approach because defining periods by hand would require subjective decisions about the timing of structural breaks and would risk introducing researcher bias into the analysis.</w:t>
      </w:r>
    </w:p>
    <w:p>
      <w:pPr>
        <w:pStyle w:val="BodyText"/>
      </w:pPr>
      <w:r>
        <w:t xml:space="preserve">There are reasonable objections to the way that we defined our measures of fan engagement.</w:t>
      </w:r>
      <w:r>
        <w:t xml:space="preserve"> </w:t>
      </w:r>
      <w:r>
        <w:t xml:space="preserve">We sought definitions that were supported in the literature and could be compared directly, but other approaches could also be valid.</w:t>
      </w:r>
      <w:r>
        <w:t xml:space="preserve"> </w:t>
      </w:r>
      <w:r>
        <w:t xml:space="preserve">In particular, our definition of the uncertainty of outcome is maximized when the two teams are equally strong, but one could argue that this should not be where the maximum occurs or that fans seek a range of uncertainty rather than a single point.</w:t>
      </w:r>
      <w:r>
        <w:t xml:space="preserve"> </w:t>
      </w:r>
      <w:r>
        <w:t xml:space="preserve">Coates et al. (2014)</w:t>
      </w:r>
      <w:r>
        <w:t xml:space="preserve"> </w:t>
      </w:r>
      <w:r>
        <w:t xml:space="preserve">use a reference based definition of uncertainty and find that fans only respond to uncertainty when other conditions are met, incorporating a reference based definition could be useful in future research in the WNBA context.</w:t>
      </w:r>
    </w:p>
    <w:p>
      <w:pPr>
        <w:pStyle w:val="BodyText"/>
      </w:pPr>
      <w:r>
        <w:t xml:space="preserve">There is no theoretical explanation for why the slopes in</w:t>
      </w:r>
      <w:r>
        <w:t xml:space="preserve"> </w:t>
      </w:r>
      <w:hyperlink w:anchor="fig-season-slopes2">
        <w:r>
          <w:rPr>
            <w:rStyle w:val="Hyperlink"/>
          </w:rPr>
          <w:t xml:space="preserve">Figure 12</w:t>
        </w:r>
      </w:hyperlink>
      <w:r>
        <w:t xml:space="preserve"> </w:t>
      </w:r>
      <w:r>
        <w:t xml:space="preserve">should converge to the same value.</w:t>
      </w:r>
    </w:p>
    <w:p>
      <w:pPr>
        <w:pStyle w:val="BodyText"/>
      </w:pPr>
      <w:r>
        <w:t xml:space="preserve">With just two seasons in our data set, while Clark’s impact on attendance is undeniable, only time will tell if this impact is persistent.</w:t>
      </w:r>
      <w:r>
        <w:rPr>
          <w:rStyle w:val="FootnoteReference"/>
        </w:rPr>
        <w:footnoteReference w:id="107"/>
      </w:r>
      <w:r>
        <w:t xml:space="preserve"> </w:t>
      </w:r>
      <w:r>
        <w:t xml:space="preserve">It may very well be the case that as Clark’s novelty wears off, her effect on attendance wanes.</w:t>
      </w:r>
      <w:r>
        <w:t xml:space="preserve"> </w:t>
      </w:r>
      <w:r>
        <w:t xml:space="preserve">A follow-up study could investigate this possibility.</w:t>
      </w:r>
    </w:p>
    <w:p>
      <w:pPr>
        <w:pStyle w:val="BodyText"/>
      </w:pPr>
      <w:r>
        <w:t xml:space="preserve">Finally, while we chose to focus on live, in-person game attendance, fan engagement with games on television and streaming also provide important insight into league health and development.</w:t>
      </w:r>
      <w:r>
        <w:t xml:space="preserve"> </w:t>
      </w:r>
      <w:r>
        <w:t xml:space="preserve">Future research might investigate what drives fans’ engagement with games from their own homes, where the lower cost of engagement might influence fan behavior.</w:t>
      </w:r>
    </w:p>
    <w:bookmarkEnd w:id="108"/>
    <w:bookmarkEnd w:id="109"/>
    <w:bookmarkStart w:id="176" w:name="references"/>
    <w:p>
      <w:pPr>
        <w:pStyle w:val="Heading2"/>
      </w:pPr>
      <w:r>
        <w:t xml:space="preserve">References</w:t>
      </w:r>
    </w:p>
    <w:bookmarkStart w:id="175" w:name="refs"/>
    <w:bookmarkStart w:id="111" w:name="ref-AghaBerri2023"/>
    <w:p>
      <w:pPr>
        <w:pStyle w:val="Bibliography"/>
      </w:pPr>
      <w:r>
        <w:t xml:space="preserve">Agha, Nola, and David Berri. 2023.</w:t>
      </w:r>
      <w:r>
        <w:t xml:space="preserve"> </w:t>
      </w:r>
      <w:r>
        <w:t xml:space="preserve">“Demand for Basketball: A Comparison of the WNBA and NBA.”</w:t>
      </w:r>
      <w:r>
        <w:t xml:space="preserve"> </w:t>
      </w:r>
      <w:r>
        <w:rPr>
          <w:i/>
          <w:iCs/>
        </w:rPr>
        <w:t xml:space="preserve">International Journal of Sport Finance</w:t>
      </w:r>
      <w:r>
        <w:t xml:space="preserve"> </w:t>
      </w:r>
      <w:r>
        <w:t xml:space="preserve">18 (1): 35–44.</w:t>
      </w:r>
      <w:r>
        <w:t xml:space="preserve"> </w:t>
      </w:r>
      <w:hyperlink r:id="rId110">
        <w:r>
          <w:rPr>
            <w:rStyle w:val="Hyperlink"/>
          </w:rPr>
          <w:t xml:space="preserve">https://doi.org/10.32731/IJSF/181.022023.03</w:t>
        </w:r>
      </w:hyperlink>
      <w:r>
        <w:t xml:space="preserve">.</w:t>
      </w:r>
    </w:p>
    <w:bookmarkEnd w:id="111"/>
    <w:bookmarkStart w:id="113"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12">
        <w:r>
          <w:rPr>
            <w:rStyle w:val="Hyperlink"/>
          </w:rPr>
          <w:t xml:space="preserve">https://doi.org/10.1111/ecin.12061</w:t>
        </w:r>
      </w:hyperlink>
      <w:r>
        <w:t xml:space="preserve">.</w:t>
      </w:r>
    </w:p>
    <w:bookmarkEnd w:id="113"/>
    <w:bookmarkStart w:id="115"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14">
        <w:r>
          <w:rPr>
            <w:rStyle w:val="Hyperlink"/>
          </w:rPr>
          <w:t xml:space="preserve">https://doi.org/10.1177/155862350800300105</w:t>
        </w:r>
      </w:hyperlink>
      <w:r>
        <w:t xml:space="preserve">.</w:t>
      </w:r>
    </w:p>
    <w:bookmarkEnd w:id="115"/>
    <w:bookmarkStart w:id="117"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16">
        <w:r>
          <w:rPr>
            <w:rStyle w:val="Hyperlink"/>
          </w:rPr>
          <w:t xml:space="preserve">https://doi.org/10.1177/1527002508327387</w:t>
        </w:r>
      </w:hyperlink>
      <w:r>
        <w:t xml:space="preserve">.</w:t>
      </w:r>
    </w:p>
    <w:bookmarkEnd w:id="117"/>
    <w:bookmarkStart w:id="119"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18">
        <w:r>
          <w:rPr>
            <w:rStyle w:val="Hyperlink"/>
          </w:rPr>
          <w:t xml:space="preserve">https://doi.org/10.1123/jsm.2019-0404</w:t>
        </w:r>
      </w:hyperlink>
      <w:r>
        <w:t xml:space="preserve">.</w:t>
      </w:r>
    </w:p>
    <w:bookmarkEnd w:id="119"/>
    <w:bookmarkStart w:id="121"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20">
        <w:r>
          <w:rPr>
            <w:rStyle w:val="Hyperlink"/>
          </w:rPr>
          <w:t xml:space="preserve">https://doi.org/10.1123/jsm.16.4.311</w:t>
        </w:r>
      </w:hyperlink>
      <w:r>
        <w:t xml:space="preserve">.</w:t>
      </w:r>
    </w:p>
    <w:bookmarkEnd w:id="121"/>
    <w:bookmarkStart w:id="122"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22"/>
    <w:bookmarkStart w:id="124"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23">
        <w:r>
          <w:rPr>
            <w:rStyle w:val="Hyperlink"/>
          </w:rPr>
          <w:t xml:space="preserve">https://polecom.org/index.php/polecom/article/view/119</w:t>
        </w:r>
      </w:hyperlink>
      <w:r>
        <w:t xml:space="preserve">.</w:t>
      </w:r>
    </w:p>
    <w:bookmarkEnd w:id="124"/>
    <w:bookmarkStart w:id="126"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25">
        <w:r>
          <w:rPr>
            <w:rStyle w:val="Hyperlink"/>
          </w:rPr>
          <w:t xml:space="preserve">https://doi.org/10.32614/cran.package.wehoop</w:t>
        </w:r>
      </w:hyperlink>
      <w:r>
        <w:t xml:space="preserve">.</w:t>
      </w:r>
    </w:p>
    <w:bookmarkEnd w:id="126"/>
    <w:bookmarkStart w:id="128"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27">
        <w:r>
          <w:rPr>
            <w:rStyle w:val="Hyperlink"/>
          </w:rPr>
          <w:t xml:space="preserve">https://doi.org/10.1080/17430437.2017.1346620</w:t>
        </w:r>
      </w:hyperlink>
      <w:r>
        <w:t xml:space="preserve">.</w:t>
      </w:r>
    </w:p>
    <w:bookmarkEnd w:id="128"/>
    <w:bookmarkStart w:id="130" w:name="ref-hall2002testing"/>
    <w:p>
      <w:pPr>
        <w:pStyle w:val="Bibliography"/>
      </w:pPr>
      <w:r>
        <w:t xml:space="preserve">Hall, Stephen, Stefan Szymanski, and Andrew S Zimbalist. 2002.</w:t>
      </w:r>
      <w:r>
        <w:t xml:space="preserve"> </w:t>
      </w:r>
      <w:r>
        <w:t xml:space="preserve">“Testing Causality Between Team Performance and Payroll: The Cases of Major League Baseball and English Soccer.”</w:t>
      </w:r>
      <w:r>
        <w:t xml:space="preserve"> </w:t>
      </w:r>
      <w:r>
        <w:rPr>
          <w:i/>
          <w:iCs/>
        </w:rPr>
        <w:t xml:space="preserve">Journal of Sports Economics</w:t>
      </w:r>
      <w:r>
        <w:t xml:space="preserve"> </w:t>
      </w:r>
      <w:r>
        <w:t xml:space="preserve">3 (2): 149–68.</w:t>
      </w:r>
      <w:r>
        <w:t xml:space="preserve"> </w:t>
      </w:r>
      <w:hyperlink r:id="rId129">
        <w:r>
          <w:rPr>
            <w:rStyle w:val="Hyperlink"/>
          </w:rPr>
          <w:t xml:space="preserve">https://doi.org/10.1177/152700250200300204</w:t>
        </w:r>
      </w:hyperlink>
      <w:r>
        <w:t xml:space="preserve">.</w:t>
      </w:r>
    </w:p>
    <w:bookmarkEnd w:id="130"/>
    <w:bookmarkStart w:id="132" w:name="ref-R-elo"/>
    <w:p>
      <w:pPr>
        <w:pStyle w:val="Bibliography"/>
      </w:pPr>
      <w:r>
        <w:t xml:space="preserve">Heinzen, Ethan. 2023.</w:t>
      </w:r>
      <w:r>
        <w:t xml:space="preserve"> </w:t>
      </w:r>
      <w:r>
        <w:rPr>
          <w:i/>
          <w:iCs/>
        </w:rPr>
        <w:t xml:space="preserve">Elo: Ranking Teams by Elo Rating and Comparable Methods</w:t>
      </w:r>
      <w:r>
        <w:t xml:space="preserve">.</w:t>
      </w:r>
      <w:r>
        <w:t xml:space="preserve"> </w:t>
      </w:r>
      <w:hyperlink r:id="rId131">
        <w:r>
          <w:rPr>
            <w:rStyle w:val="Hyperlink"/>
          </w:rPr>
          <w:t xml:space="preserve">https://github.com/eheinzen/elo</w:t>
        </w:r>
      </w:hyperlink>
      <w:r>
        <w:t xml:space="preserve">.</w:t>
      </w:r>
    </w:p>
    <w:bookmarkEnd w:id="132"/>
    <w:bookmarkStart w:id="134"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33">
        <w:r>
          <w:rPr>
            <w:rStyle w:val="Hyperlink"/>
          </w:rPr>
          <w:t xml:space="preserve">https://doi.org/10.1002/mde.1308</w:t>
        </w:r>
      </w:hyperlink>
      <w:r>
        <w:t xml:space="preserve">.</w:t>
      </w:r>
    </w:p>
    <w:bookmarkEnd w:id="134"/>
    <w:bookmarkStart w:id="136"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35">
        <w:r>
          <w:rPr>
            <w:rStyle w:val="Hyperlink"/>
          </w:rPr>
          <w:t xml:space="preserve">https://doi.org/10.53728/2765-6500.1616</w:t>
        </w:r>
      </w:hyperlink>
      <w:r>
        <w:t xml:space="preserve">.</w:t>
      </w:r>
    </w:p>
    <w:bookmarkEnd w:id="136"/>
    <w:bookmarkStart w:id="138"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37">
        <w:r>
          <w:rPr>
            <w:rStyle w:val="Hyperlink"/>
          </w:rPr>
          <w:t xml:space="preserve">https://doi.org/10.1177/1527002509337212</w:t>
        </w:r>
      </w:hyperlink>
      <w:r>
        <w:t xml:space="preserve">.</w:t>
      </w:r>
    </w:p>
    <w:bookmarkEnd w:id="138"/>
    <w:bookmarkStart w:id="140"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39">
        <w:r>
          <w:rPr>
            <w:rStyle w:val="Hyperlink"/>
          </w:rPr>
          <w:t xml:space="preserve">https://doi.org/10.1080/14660970.2022.2037218</w:t>
        </w:r>
      </w:hyperlink>
      <w:r>
        <w:t xml:space="preserve">.</w:t>
      </w:r>
    </w:p>
    <w:bookmarkEnd w:id="140"/>
    <w:bookmarkStart w:id="142"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41">
        <w:r>
          <w:rPr>
            <w:rStyle w:val="Hyperlink"/>
          </w:rPr>
          <w:t xml:space="preserve">https://doi.org/10.1016/0304-4076(85)90158-7</w:t>
        </w:r>
      </w:hyperlink>
      <w:r>
        <w:t xml:space="preserve">.</w:t>
      </w:r>
    </w:p>
    <w:bookmarkEnd w:id="142"/>
    <w:bookmarkStart w:id="144"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43">
        <w:r>
          <w:rPr>
            <w:rStyle w:val="Hyperlink"/>
          </w:rPr>
          <w:t xml:space="preserve">https://www.jstor.org/stable/1924766</w:t>
        </w:r>
      </w:hyperlink>
      <w:r>
        <w:t xml:space="preserve">.</w:t>
      </w:r>
    </w:p>
    <w:bookmarkEnd w:id="144"/>
    <w:bookmarkStart w:id="146" w:name="ref-neale1964peculiar"/>
    <w:p>
      <w:pPr>
        <w:pStyle w:val="Bibliography"/>
      </w:pPr>
      <w:r>
        <w:t xml:space="preserve">Neale, Walter C. 1964.</w:t>
      </w:r>
      <w:r>
        <w:t xml:space="preserve"> </w:t>
      </w:r>
      <w:r>
        <w:t xml:space="preserve">“The Peculiar Economics of Professional Sports.”</w:t>
      </w:r>
      <w:r>
        <w:t xml:space="preserve"> </w:t>
      </w:r>
      <w:r>
        <w:rPr>
          <w:i/>
          <w:iCs/>
        </w:rPr>
        <w:t xml:space="preserve">The Quarterly Journal of Economics</w:t>
      </w:r>
      <w:r>
        <w:t xml:space="preserve"> </w:t>
      </w:r>
      <w:r>
        <w:t xml:space="preserve">78 (1): 1–14.</w:t>
      </w:r>
      <w:r>
        <w:t xml:space="preserve"> </w:t>
      </w:r>
      <w:hyperlink r:id="rId145">
        <w:r>
          <w:rPr>
            <w:rStyle w:val="Hyperlink"/>
          </w:rPr>
          <w:t xml:space="preserve">https://doi.org/10.2307/1880543</w:t>
        </w:r>
      </w:hyperlink>
      <w:r>
        <w:t xml:space="preserve">.</w:t>
      </w:r>
    </w:p>
    <w:bookmarkEnd w:id="146"/>
    <w:bookmarkStart w:id="147" w:name="ref-noll1974attendance"/>
    <w:p>
      <w:pPr>
        <w:pStyle w:val="Bibliography"/>
      </w:pPr>
      <w:r>
        <w:t xml:space="preserve">Noll, Roger G. 1974.</w:t>
      </w:r>
      <w:r>
        <w:t xml:space="preserve"> </w:t>
      </w:r>
      <w:r>
        <w:rPr>
          <w:i/>
          <w:iCs/>
        </w:rPr>
        <w:t xml:space="preserve">Attendance and Price Setting</w:t>
      </w:r>
      <w:r>
        <w:t xml:space="preserve">. Edited by Roger G Noll. Washington, D.C.: Brookings Institution.</w:t>
      </w:r>
    </w:p>
    <w:bookmarkEnd w:id="147"/>
    <w:bookmarkStart w:id="149"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48">
        <w:r>
          <w:rPr>
            <w:rStyle w:val="Hyperlink"/>
          </w:rPr>
          <w:t xml:space="preserve">https://doi.org/10.1002/(SICI)1099-1255(199611)11:6&lt;619::AID-JAE418&gt;3.0.CO;2-1</w:t>
        </w:r>
      </w:hyperlink>
      <w:r>
        <w:t xml:space="preserve">.</w:t>
      </w:r>
    </w:p>
    <w:bookmarkEnd w:id="149"/>
    <w:bookmarkStart w:id="151"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50">
        <w:r>
          <w:rPr>
            <w:rStyle w:val="Hyperlink"/>
          </w:rPr>
          <w:t xml:space="preserve">https://doi.org/10.3390/ijfs7010012</w:t>
        </w:r>
      </w:hyperlink>
      <w:r>
        <w:t xml:space="preserve">.</w:t>
      </w:r>
    </w:p>
    <w:bookmarkEnd w:id="151"/>
    <w:bookmarkStart w:id="152"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52"/>
    <w:bookmarkStart w:id="154" w:name="ref-rottenberg1956baseball"/>
    <w:p>
      <w:pPr>
        <w:pStyle w:val="Bibliography"/>
      </w:pPr>
      <w:r>
        <w:t xml:space="preserve">Rottenberg, Simon. 1956.</w:t>
      </w:r>
      <w:r>
        <w:t xml:space="preserve"> </w:t>
      </w:r>
      <w:r>
        <w:t xml:space="preserve">“The Baseball Players’ Labor Market.”</w:t>
      </w:r>
      <w:r>
        <w:t xml:space="preserve"> </w:t>
      </w:r>
      <w:r>
        <w:rPr>
          <w:i/>
          <w:iCs/>
        </w:rPr>
        <w:t xml:space="preserve">Journal of Political Economy</w:t>
      </w:r>
      <w:r>
        <w:t xml:space="preserve"> </w:t>
      </w:r>
      <w:r>
        <w:t xml:space="preserve">64 (3): 242–58.</w:t>
      </w:r>
      <w:r>
        <w:t xml:space="preserve"> </w:t>
      </w:r>
      <w:hyperlink r:id="rId153">
        <w:r>
          <w:rPr>
            <w:rStyle w:val="Hyperlink"/>
          </w:rPr>
          <w:t xml:space="preserve">https://doi.org/10.1086/257790</w:t>
        </w:r>
      </w:hyperlink>
      <w:r>
        <w:t xml:space="preserve">.</w:t>
      </w:r>
    </w:p>
    <w:bookmarkEnd w:id="154"/>
    <w:bookmarkStart w:id="156" w:name="ref-tobin1958estimation"/>
    <w:p>
      <w:pPr>
        <w:pStyle w:val="Bibliography"/>
      </w:pPr>
      <w:r>
        <w:t xml:space="preserve">Tobin, James. 1958.</w:t>
      </w:r>
      <w:r>
        <w:t xml:space="preserve"> </w:t>
      </w:r>
      <w:r>
        <w:t xml:space="preserve">“Estimation of Relationships for Limited Dependent Variables.”</w:t>
      </w:r>
      <w:r>
        <w:t xml:space="preserve"> </w:t>
      </w:r>
      <w:r>
        <w:rPr>
          <w:i/>
          <w:iCs/>
        </w:rPr>
        <w:t xml:space="preserve">Econometrica</w:t>
      </w:r>
      <w:r>
        <w:t xml:space="preserve">, 24–36.</w:t>
      </w:r>
      <w:r>
        <w:t xml:space="preserve"> </w:t>
      </w:r>
      <w:hyperlink r:id="rId155">
        <w:r>
          <w:rPr>
            <w:rStyle w:val="Hyperlink"/>
          </w:rPr>
          <w:t xml:space="preserve">https://doi.org/10.2307/1907382</w:t>
        </w:r>
      </w:hyperlink>
      <w:r>
        <w:t xml:space="preserve">.</w:t>
      </w:r>
    </w:p>
    <w:bookmarkEnd w:id="156"/>
    <w:bookmarkStart w:id="158" w:name="ref-R-tidycensus"/>
    <w:p>
      <w:pPr>
        <w:pStyle w:val="Bibliography"/>
      </w:pPr>
      <w:r>
        <w:t xml:space="preserve">Walker, Kyle, and Matt Herman. 2026.</w:t>
      </w:r>
      <w:r>
        <w:t xml:space="preserve"> </w:t>
      </w:r>
      <w:r>
        <w:rPr>
          <w:i/>
          <w:iCs/>
        </w:rPr>
        <w:t xml:space="preserve">Tidycensus: Load US Census Boundary and Attribute Data as Tidyverse and Sf-Ready Data Frames</w:t>
      </w:r>
      <w:r>
        <w:t xml:space="preserve">.</w:t>
      </w:r>
      <w:r>
        <w:t xml:space="preserve"> </w:t>
      </w:r>
      <w:hyperlink r:id="rId157">
        <w:r>
          <w:rPr>
            <w:rStyle w:val="Hyperlink"/>
          </w:rPr>
          <w:t xml:space="preserve">https://walker-data.com/tidycensus/</w:t>
        </w:r>
      </w:hyperlink>
      <w:r>
        <w:t xml:space="preserve">.</w:t>
      </w:r>
    </w:p>
    <w:bookmarkEnd w:id="158"/>
    <w:bookmarkStart w:id="160"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rPr>
          <w:i/>
          <w:iCs/>
        </w:rPr>
        <w:t xml:space="preserve">The American Statistician</w:t>
      </w:r>
      <w:r>
        <w:t xml:space="preserve"> </w:t>
      </w:r>
      <w:r>
        <w:t xml:space="preserve">70 (2): 129–33.</w:t>
      </w:r>
      <w:r>
        <w:t xml:space="preserve"> </w:t>
      </w:r>
      <w:hyperlink r:id="rId159">
        <w:r>
          <w:rPr>
            <w:rStyle w:val="Hyperlink"/>
          </w:rPr>
          <w:t xml:space="preserve">https://doi.org/10.1080/00031305.2016.1154108</w:t>
        </w:r>
      </w:hyperlink>
      <w:r>
        <w:t xml:space="preserve">.</w:t>
      </w:r>
    </w:p>
    <w:bookmarkEnd w:id="160"/>
    <w:bookmarkStart w:id="162"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rPr>
          <w:i/>
          <w:iCs/>
        </w:rPr>
        <w:t xml:space="preserve">The American Statistician</w:t>
      </w:r>
      <w:r>
        <w:t xml:space="preserve"> </w:t>
      </w:r>
      <w:r>
        <w:t xml:space="preserve">73 (sup1): 1–19.</w:t>
      </w:r>
      <w:r>
        <w:t xml:space="preserve"> </w:t>
      </w:r>
      <w:hyperlink r:id="rId161">
        <w:r>
          <w:rPr>
            <w:rStyle w:val="Hyperlink"/>
          </w:rPr>
          <w:t xml:space="preserve">https://doi.org/10.1080/00031305.2019.1583913</w:t>
        </w:r>
      </w:hyperlink>
      <w:r>
        <w:t xml:space="preserve">.</w:t>
      </w:r>
    </w:p>
    <w:bookmarkEnd w:id="162"/>
    <w:bookmarkStart w:id="164"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63">
        <w:r>
          <w:rPr>
            <w:rStyle w:val="Hyperlink"/>
          </w:rPr>
          <w:t xml:space="preserve">https://accessecon.com/pubs/eb/2003/volume1/eb-03a10003a.pdf</w:t>
        </w:r>
      </w:hyperlink>
      <w:r>
        <w:t xml:space="preserve">.</w:t>
      </w:r>
    </w:p>
    <w:bookmarkEnd w:id="164"/>
    <w:bookmarkStart w:id="166" w:name="ref-wnba2024recordseason"/>
    <w:p>
      <w:pPr>
        <w:pStyle w:val="Bibliography"/>
      </w:pPr>
      <w:r>
        <w:t xml:space="preserve">WNBA. 2024.</w:t>
      </w:r>
      <w:r>
        <w:t xml:space="preserve"> </w:t>
      </w:r>
      <w:r>
        <w:t xml:space="preserve">“WNBA Delivers Record‑setting 2024 Season.”</w:t>
      </w:r>
      <w:r>
        <w:t xml:space="preserve"> </w:t>
      </w:r>
      <w:hyperlink r:id="rId165">
        <w:r>
          <w:rPr>
            <w:rStyle w:val="Hyperlink"/>
          </w:rPr>
          <w:t xml:space="preserve">https://www.wnba.com/news/wnba-delivers-record-setting-2024-season</w:t>
        </w:r>
      </w:hyperlink>
      <w:r>
        <w:t xml:space="preserve">.</w:t>
      </w:r>
    </w:p>
    <w:bookmarkEnd w:id="166"/>
    <w:bookmarkStart w:id="168" w:name="ref-woltring2018attendance"/>
    <w:p>
      <w:pPr>
        <w:pStyle w:val="Bibliography"/>
      </w:pPr>
      <w:r>
        <w:t xml:space="preserve">Woltring, Mitchell T. 2018.</w:t>
      </w:r>
      <w:r>
        <w:t xml:space="preserve"> </w:t>
      </w:r>
      <w:r>
        <w:t xml:space="preserve">“Attendance Still Matters in MLB: The Relationship with Winning Percentage.”</w:t>
      </w:r>
      <w:r>
        <w:t xml:space="preserve"> </w:t>
      </w:r>
      <w:r>
        <w:rPr>
          <w:i/>
          <w:iCs/>
        </w:rPr>
        <w:t xml:space="preserve">The Sport Journal</w:t>
      </w:r>
      <w:r>
        <w:t xml:space="preserve">, November 22.</w:t>
      </w:r>
      <w:r>
        <w:t xml:space="preserve"> </w:t>
      </w:r>
      <w:hyperlink r:id="rId167">
        <w:r>
          <w:rPr>
            <w:rStyle w:val="Hyperlink"/>
          </w:rPr>
          <w:t xml:space="preserve">https://thesportjournal.org/article/attendance-still-matters-in-mlb-the-relationship-with-winning-percentage/</w:t>
        </w:r>
      </w:hyperlink>
      <w:r>
        <w:t xml:space="preserve">.</w:t>
      </w:r>
    </w:p>
    <w:bookmarkEnd w:id="168"/>
    <w:bookmarkStart w:id="170" w:name="ref-R-VGAM"/>
    <w:p>
      <w:pPr>
        <w:pStyle w:val="Bibliography"/>
      </w:pPr>
      <w:r>
        <w:t xml:space="preserve">Yee, Thomas. 2025.</w:t>
      </w:r>
      <w:r>
        <w:t xml:space="preserve"> </w:t>
      </w:r>
      <w:r>
        <w:rPr>
          <w:i/>
          <w:iCs/>
        </w:rPr>
        <w:t xml:space="preserve">VGAM: Vector Generalized Linear and Additive Models</w:t>
      </w:r>
      <w:r>
        <w:t xml:space="preserve">.</w:t>
      </w:r>
      <w:r>
        <w:t xml:space="preserve"> </w:t>
      </w:r>
      <w:hyperlink r:id="rId169">
        <w:r>
          <w:rPr>
            <w:rStyle w:val="Hyperlink"/>
          </w:rPr>
          <w:t xml:space="preserve">https://www.stat.auckland.ac.nz/~yee/VGAM/</w:t>
        </w:r>
      </w:hyperlink>
      <w:r>
        <w:t xml:space="preserve">.</w:t>
      </w:r>
    </w:p>
    <w:bookmarkEnd w:id="170"/>
    <w:bookmarkStart w:id="172" w:name="ref-R-sandwich"/>
    <w:p>
      <w:pPr>
        <w:pStyle w:val="Bibliography"/>
      </w:pPr>
      <w:r>
        <w:t xml:space="preserve">Zeileis, Achim, and Thomas Lumley. 2024.</w:t>
      </w:r>
      <w:r>
        <w:t xml:space="preserve"> </w:t>
      </w:r>
      <w:r>
        <w:rPr>
          <w:i/>
          <w:iCs/>
        </w:rPr>
        <w:t xml:space="preserve">Sandwich: Robust Covariance Matrix Estimators</w:t>
      </w:r>
      <w:r>
        <w:t xml:space="preserve">.</w:t>
      </w:r>
      <w:r>
        <w:t xml:space="preserve"> </w:t>
      </w:r>
      <w:hyperlink r:id="rId171">
        <w:r>
          <w:rPr>
            <w:rStyle w:val="Hyperlink"/>
          </w:rPr>
          <w:t xml:space="preserve">https://sandwich.R-Forge.R-project.org/</w:t>
        </w:r>
      </w:hyperlink>
      <w:r>
        <w:t xml:space="preserve">.</w:t>
      </w:r>
    </w:p>
    <w:bookmarkEnd w:id="172"/>
    <w:bookmarkStart w:id="174" w:name="ref-AcrossTheTimeline"/>
    <w:p>
      <w:pPr>
        <w:pStyle w:val="Bibliography"/>
      </w:pPr>
      <w:r>
        <w:t xml:space="preserve">Zimmerman, Kurtis. 2026.</w:t>
      </w:r>
      <w:r>
        <w:t xml:space="preserve"> </w:t>
      </w:r>
      <w:r>
        <w:rPr>
          <w:i/>
          <w:iCs/>
        </w:rPr>
        <w:t xml:space="preserve">Game-by-Game Attendance</w:t>
      </w:r>
      <w:r>
        <w:t xml:space="preserve">. Across the Timeline.</w:t>
      </w:r>
      <w:r>
        <w:t xml:space="preserve"> </w:t>
      </w:r>
      <w:hyperlink r:id="rId173">
        <w:r>
          <w:rPr>
            <w:rStyle w:val="Hyperlink"/>
          </w:rPr>
          <w:t xml:space="preserve">https://www.acrossthetimeline.com/wnba/attendance.html</w:t>
        </w:r>
      </w:hyperlink>
      <w:r>
        <w:t xml:space="preserve">.</w:t>
      </w:r>
    </w:p>
    <w:bookmarkEnd w:id="174"/>
    <w:bookmarkEnd w:id="175"/>
    <w:bookmarkEnd w:id="176"/>
    <w:bookmarkStart w:id="210" w:name="appendix"/>
    <w:p>
      <w:pPr>
        <w:pStyle w:val="Heading2"/>
      </w:pPr>
      <w:r>
        <w:t xml:space="preserve">6 Appendix</w:t>
      </w:r>
    </w:p>
    <w:bookmarkStart w:id="182" w:name="distribution-of-fan-engagement"/>
    <w:p>
      <w:pPr>
        <w:pStyle w:val="Heading3"/>
      </w:pPr>
      <w:r>
        <w:t xml:space="preserve">6.1 Distribution of fan engagement</w:t>
      </w:r>
    </w:p>
    <w:bookmarkStart w:id="181" w:name="cell-fig-rescaled"/>
    <w:tbl>
      <w:tblPr>
        <w:tblStyle w:val="Table"/>
        <w:tblW w:type="pct" w:w="5000"/>
        <w:tblLayout w:type="fixed"/>
        <w:tblLook w:firstRow="0" w:lastRow="0" w:firstColumn="0" w:lastColumn="0" w:noHBand="0" w:noVBand="0" w:val="0000"/>
      </w:tblPr>
      <w:tblGrid>
        <w:gridCol w:w="7920"/>
      </w:tblGrid>
      <w:tr>
        <w:tc>
          <w:tcPr/>
          <w:bookmarkStart w:id="180" w:name="fig-rescaled"/>
          <w:p>
            <w:pPr>
              <w:pStyle w:val="Compact"/>
              <w:jc w:val="center"/>
            </w:pPr>
            <w:r>
              <w:drawing>
                <wp:inline>
                  <wp:extent cx="4620126" cy="3696101"/>
                  <wp:effectExtent b="0" l="0" r="0" t="0"/>
                  <wp:docPr descr="" title="" id="178" name="Picture"/>
                  <a:graphic>
                    <a:graphicData uri="http://schemas.openxmlformats.org/drawingml/2006/picture">
                      <pic:pic>
                        <pic:nvPicPr>
                          <pic:cNvPr descr="index_files/figure-docx/fig-rescaled-1.png" id="179" name="Picture"/>
                          <pic:cNvPicPr>
                            <a:picLocks noChangeArrowheads="1" noChangeAspect="1"/>
                          </pic:cNvPicPr>
                        </pic:nvPicPr>
                        <pic:blipFill>
                          <a:blip r:embed="rId17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Distribution of fan engagement variables after rescaling.</w:t>
            </w:r>
          </w:p>
          <w:bookmarkEnd w:id="180"/>
        </w:tc>
      </w:tr>
    </w:tbl>
    <w:bookmarkEnd w:id="181"/>
    <w:bookmarkEnd w:id="182"/>
    <w:bookmarkStart w:id="203" w:name="X9ace4710bf5d1740b4f2eb03d92c7bb21252161"/>
    <w:p>
      <w:pPr>
        <w:pStyle w:val="Heading3"/>
      </w:pPr>
      <w:r>
        <w:t xml:space="preserve">6.2 Relationship between attendance and fan engagement</w:t>
      </w:r>
    </w:p>
    <w:bookmarkStart w:id="187" w:name="cell-fig-attend-f1"/>
    <w:tbl>
      <w:tblPr>
        <w:tblStyle w:val="Table"/>
        <w:tblW w:type="pct" w:w="5000"/>
        <w:tblLayout w:type="fixed"/>
        <w:tblLook w:firstRow="0" w:lastRow="0" w:firstColumn="0" w:lastColumn="0" w:noHBand="0" w:noVBand="0" w:val="0000"/>
      </w:tblPr>
      <w:tblGrid>
        <w:gridCol w:w="7920"/>
      </w:tblGrid>
      <w:tr>
        <w:tc>
          <w:tcPr/>
          <w:bookmarkStart w:id="186" w:name="fig-attend-f1"/>
          <w:p>
            <w:pPr>
              <w:pStyle w:val="Compact"/>
              <w:jc w:val="center"/>
            </w:pPr>
            <w:r>
              <w:drawing>
                <wp:inline>
                  <wp:extent cx="4620126" cy="3696101"/>
                  <wp:effectExtent b="0" l="0" r="0" t="0"/>
                  <wp:docPr descr="" title="" id="184" name="Picture"/>
                  <a:graphic>
                    <a:graphicData uri="http://schemas.openxmlformats.org/drawingml/2006/picture">
                      <pic:pic>
                        <pic:nvPicPr>
                          <pic:cNvPr descr="index_files/figure-docx/fig-attend-f1-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WNBA game attendance by season, against normalized quality of play.</w:t>
            </w:r>
          </w:p>
          <w:bookmarkEnd w:id="186"/>
        </w:tc>
      </w:tr>
    </w:tbl>
    <w:bookmarkEnd w:id="187"/>
    <w:bookmarkStart w:id="192" w:name="cell-fig-attend-f2"/>
    <w:tbl>
      <w:tblPr>
        <w:tblStyle w:val="Table"/>
        <w:tblW w:type="pct" w:w="5000"/>
        <w:tblLayout w:type="fixed"/>
        <w:tblLook w:firstRow="0" w:lastRow="0" w:firstColumn="0" w:lastColumn="0" w:noHBand="0" w:noVBand="0" w:val="0000"/>
      </w:tblPr>
      <w:tblGrid>
        <w:gridCol w:w="7920"/>
      </w:tblGrid>
      <w:tr>
        <w:tc>
          <w:tcPr/>
          <w:bookmarkStart w:id="191" w:name="fig-attend-f2"/>
          <w:p>
            <w:pPr>
              <w:pStyle w:val="Compact"/>
              <w:jc w:val="center"/>
            </w:pPr>
            <w:r>
              <w:drawing>
                <wp:inline>
                  <wp:extent cx="4620126" cy="3696101"/>
                  <wp:effectExtent b="0" l="0" r="0" t="0"/>
                  <wp:docPr descr="" title="" id="189" name="Picture"/>
                  <a:graphic>
                    <a:graphicData uri="http://schemas.openxmlformats.org/drawingml/2006/picture">
                      <pic:pic>
                        <pic:nvPicPr>
                          <pic:cNvPr descr="index_files/figure-docx/fig-attend-f2-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WNBA game attendance by season, against normalized uncertainty of outcome.</w:t>
            </w:r>
          </w:p>
          <w:bookmarkEnd w:id="191"/>
        </w:tc>
      </w:tr>
    </w:tbl>
    <w:bookmarkEnd w:id="192"/>
    <w:bookmarkStart w:id="197" w:name="cell-fig-capacity-f1"/>
    <w:tbl>
      <w:tblPr>
        <w:tblStyle w:val="Table"/>
        <w:tblW w:type="pct" w:w="5000"/>
        <w:tblLayout w:type="fixed"/>
        <w:tblLook w:firstRow="0" w:lastRow="0" w:firstColumn="0" w:lastColumn="0" w:noHBand="0" w:noVBand="0" w:val="0000"/>
      </w:tblPr>
      <w:tblGrid>
        <w:gridCol w:w="7920"/>
      </w:tblGrid>
      <w:tr>
        <w:tc>
          <w:tcPr/>
          <w:bookmarkStart w:id="196" w:name="fig-capacity-f1"/>
          <w:p>
            <w:pPr>
              <w:pStyle w:val="Compact"/>
              <w:jc w:val="center"/>
            </w:pPr>
            <w:r>
              <w:drawing>
                <wp:inline>
                  <wp:extent cx="4620126" cy="3696101"/>
                  <wp:effectExtent b="0" l="0" r="0" t="0"/>
                  <wp:docPr descr="" title="" id="194" name="Picture"/>
                  <a:graphic>
                    <a:graphicData uri="http://schemas.openxmlformats.org/drawingml/2006/picture">
                      <pic:pic>
                        <pic:nvPicPr>
                          <pic:cNvPr descr="index_files/figure-docx/fig-capacity-f1-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asd</w:t>
            </w:r>
          </w:p>
          <w:bookmarkEnd w:id="196"/>
        </w:tc>
      </w:tr>
    </w:tbl>
    <w:bookmarkEnd w:id="197"/>
    <w:bookmarkStart w:id="202" w:name="cell-fig-capacity-f2"/>
    <w:tbl>
      <w:tblPr>
        <w:tblStyle w:val="Table"/>
        <w:tblW w:type="pct" w:w="5000"/>
        <w:tblLayout w:type="fixed"/>
        <w:tblLook w:firstRow="0" w:lastRow="0" w:firstColumn="0" w:lastColumn="0" w:noHBand="0" w:noVBand="0" w:val="0000"/>
      </w:tblPr>
      <w:tblGrid>
        <w:gridCol w:w="7920"/>
      </w:tblGrid>
      <w:tr>
        <w:tc>
          <w:tcPr/>
          <w:bookmarkStart w:id="201" w:name="fig-capacity-f2"/>
          <w:p>
            <w:pPr>
              <w:pStyle w:val="Compact"/>
              <w:jc w:val="center"/>
            </w:pPr>
            <w:r>
              <w:drawing>
                <wp:inline>
                  <wp:extent cx="4620126" cy="3696101"/>
                  <wp:effectExtent b="0" l="0" r="0" t="0"/>
                  <wp:docPr descr="" title="" id="199" name="Picture"/>
                  <a:graphic>
                    <a:graphicData uri="http://schemas.openxmlformats.org/drawingml/2006/picture">
                      <pic:pic>
                        <pic:nvPicPr>
                          <pic:cNvPr descr="index_files/figure-docx/fig-capacity-f2-1.png" id="200" name="Picture"/>
                          <pic:cNvPicPr>
                            <a:picLocks noChangeArrowheads="1" noChangeAspect="1"/>
                          </pic:cNvPicPr>
                        </pic:nvPicPr>
                        <pic:blipFill>
                          <a:blip r:embed="rId1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asd</w:t>
            </w:r>
          </w:p>
          <w:bookmarkEnd w:id="201"/>
        </w:tc>
      </w:tr>
    </w:tbl>
    <w:bookmarkEnd w:id="202"/>
    <w:bookmarkEnd w:id="203"/>
    <w:bookmarkStart w:id="206" w:name="sec-fit-tobit"/>
    <w:p>
      <w:pPr>
        <w:pStyle w:val="Heading3"/>
      </w:pPr>
      <w:r>
        <w:t xml:space="preserve">6.3 Model fitting metrics for attendance model</w:t>
      </w:r>
    </w:p>
    <w:tbl>
      <w:tblPr>
        <w:tblStyle w:val="Table"/>
        <w:tblW w:type="pct" w:w="5000"/>
        <w:tblLayout w:type="fixed"/>
        <w:tblLook w:firstRow="0" w:lastRow="0" w:firstColumn="0" w:lastColumn="0" w:noHBand="0" w:noVBand="0" w:val="0000"/>
      </w:tblPr>
      <w:tblGrid>
        <w:gridCol w:w="7920"/>
      </w:tblGrid>
      <w:tr>
        <w:tc>
          <w:tcPr/>
          <w:bookmarkStart w:id="204" w:name="tbl-glance"/>
          <w:p>
            <w:pPr>
              <w:jc w:val="center"/>
            </w:pPr>
            <w:pPr>
              <w:jc w:val="left"/>
              <w:spacing w:before="200"/>
              <w:pStyle w:val="ImageCaption"/>
            </w:pPr>
            <w:r>
              <w:t xml:space="preserve">Table 8: Model fit metrics for the Tobit model for attendance.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right"/>
                    <w:jc w:val="center"/>
                  </w:pPr>
                  <w:r>
                    <w:t xml:space="preserve">nobs</w:t>
                  </w:r>
                </w:p>
              </w:tc>
              <w:tc>
                <w:tcPr/>
                <w:p>
                  <w:pPr>
                    <w:pStyle w:val="Compact"/>
                    <w:jc w:val="right"/>
                    <w:jc w:val="center"/>
                  </w:pPr>
                  <w:r>
                    <w:t xml:space="preserve">df.residual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r>
            <w:tr>
              <w:tc>
                <w:tcPr/>
                <w:p>
                  <w:pPr>
                    <w:pStyle w:val="Compact"/>
                    <w:jc w:val="left"/>
                    <w:jc w:val="center"/>
                  </w:pPr>
                  <w:r>
                    <w:t xml:space="preserve">1</w:t>
                  </w:r>
                </w:p>
              </w:tc>
              <w:tc>
                <w:tcPr/>
                <w:p>
                  <w:pPr>
                    <w:pStyle w:val="Compact"/>
                    <w:jc w:val="right"/>
                    <w:jc w:val="center"/>
                  </w:pPr>
                  <w:r>
                    <w:t xml:space="preserve">5063</w:t>
                  </w:r>
                </w:p>
              </w:tc>
              <w:tc>
                <w:tcPr/>
                <w:p>
                  <w:pPr>
                    <w:pStyle w:val="Compact"/>
                    <w:jc w:val="right"/>
                    <w:jc w:val="center"/>
                  </w:pPr>
                  <w:r>
                    <w:t xml:space="preserve">9991</w:t>
                  </w:r>
                </w:p>
              </w:tc>
              <w:tc>
                <w:tcPr/>
                <w:p>
                  <w:pPr>
                    <w:pStyle w:val="Compact"/>
                    <w:jc w:val="right"/>
                    <w:jc w:val="center"/>
                  </w:pPr>
                  <w:r>
                    <w:t xml:space="preserve">-1283.677</w:t>
                  </w:r>
                </w:p>
              </w:tc>
              <w:tc>
                <w:tcPr/>
                <w:p>
                  <w:pPr>
                    <w:pStyle w:val="Compact"/>
                    <w:jc w:val="right"/>
                    <w:jc w:val="center"/>
                  </w:pPr>
                  <w:r>
                    <w:t xml:space="preserve">2837.354</w:t>
                  </w:r>
                </w:p>
              </w:tc>
              <w:tc>
                <w:tcPr/>
                <w:p>
                  <w:pPr>
                    <w:pStyle w:val="Compact"/>
                    <w:jc w:val="right"/>
                    <w:jc w:val="center"/>
                  </w:pPr>
                  <w:r>
                    <w:t xml:space="preserve">3718.865</w:t>
                  </w:r>
                </w:p>
              </w:tc>
            </w:tr>
          </w:tbl>
          <w:bookmarkEnd w:id="204"/>
          <w:p/>
        </w:tc>
      </w:tr>
    </w:tbl>
    <w:tbl>
      <w:tblPr>
        <w:tblStyle w:val="Table"/>
        <w:tblW w:type="pct" w:w="5000"/>
        <w:tblLayout w:type="fixed"/>
        <w:tblLook w:firstRow="0" w:lastRow="0" w:firstColumn="0" w:lastColumn="0" w:noHBand="0" w:noVBand="0" w:val="0000"/>
      </w:tblPr>
      <w:tblGrid>
        <w:gridCol w:w="7920"/>
      </w:tblGrid>
      <w:tr>
        <w:tc>
          <w:tcPr/>
          <w:bookmarkStart w:id="205" w:name="tbl-anova-tobit"/>
          <w:p>
            <w:pPr>
              <w:jc w:val="center"/>
            </w:pPr>
            <w:pPr>
              <w:jc w:val="left"/>
              <w:spacing w:before="200"/>
              <w:pStyle w:val="ImageCaption"/>
            </w:pPr>
            <w:r>
              <w:t xml:space="preserve">Table 9: Analysis of variance for terms in models for the natural logarithm of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X2 log Lik Diff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Log Lik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 Chi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-1,474.428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-1,305.246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-1,463.765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factor(name_current)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1,026.381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-1,292.279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-1,287.011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is_cc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245.851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is_aw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-1,285.338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774.641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-1,869.156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as.character(wday(game_date,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-1,373.646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as.character(month(game_date,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-1,369.385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-1,305.148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-1,376.939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bl>
          <w:bookmarkEnd w:id="205"/>
        </w:tc>
      </w:tr>
    </w:tbl>
    <w:bookmarkEnd w:id="206"/>
    <w:bookmarkStart w:id="209" w:name="sec-fit-papke"/>
    <w:p>
      <w:pPr>
        <w:pStyle w:val="Heading3"/>
      </w:pPr>
      <w:r>
        <w:t xml:space="preserve">6.4 Model fitting metrics for percentage of arena capacity model</w:t>
      </w:r>
    </w:p>
    <w:tbl>
      <w:tblPr>
        <w:tblStyle w:val="Table"/>
        <w:tblW w:type="pct" w:w="5000"/>
        <w:tblLayout w:type="fixed"/>
        <w:tblLook w:firstRow="0" w:lastRow="0" w:firstColumn="0" w:lastColumn="0" w:noHBand="0" w:noVBand="0" w:val="0000"/>
      </w:tblPr>
      <w:tblGrid>
        <w:gridCol w:w="7920"/>
      </w:tblGrid>
      <w:tr>
        <w:tc>
          <w:tcPr/>
          <w:bookmarkStart w:id="207" w:name="tbl-glance2"/>
          <w:p>
            <w:pPr>
              <w:jc w:val="center"/>
            </w:pPr>
            <w:pPr>
              <w:jc w:val="left"/>
              <w:spacing w:before="200"/>
              <w:pStyle w:val="ImageCaption"/>
            </w:pPr>
            <w:r>
              <w:t xml:space="preserve">Table 10: Model fit metrics for the percentage of arena capacity model.</w:t>
            </w:r>
          </w:p>
          <w:tbl>
            <w:tblPr>
              <w:tblStyle w:val="Table"/>
              <w:tblW w:type="pct" w:w="5000"/>
              <w:tblLayout w:type="fixed"/>
              <w:tblLook w:firstRow="1" w:lastRow="0" w:firstColumn="0" w:lastColumn="0" w:noHBand="0" w:noVBand="0" w:val="0020"/>
            </w:tblPr>
            <w:tblGrid>
              <w:gridCol w:w="1478"/>
              <w:gridCol w:w="844"/>
              <w:gridCol w:w="1056"/>
              <w:gridCol w:w="844"/>
              <w:gridCol w:w="950"/>
              <w:gridCol w:w="950"/>
              <w:gridCol w:w="1267"/>
              <w:gridCol w:w="528"/>
            </w:tblGrid>
            <w:tr>
              <w:trPr>
                <w:tblHeader w:val="on"/>
              </w:trPr>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right"/>
                    <w:jc w:val="center"/>
                  </w:pPr>
                  <w:r>
                    <w:t xml:space="preserve">841.2874</w:t>
                  </w:r>
                </w:p>
              </w:tc>
              <w:tc>
                <w:tcPr/>
                <w:p>
                  <w:pPr>
                    <w:pStyle w:val="Compact"/>
                    <w:jc w:val="right"/>
                    <w:jc w:val="center"/>
                  </w:pPr>
                  <w:r>
                    <w:t xml:space="preserve">5062</w:t>
                  </w:r>
                </w:p>
              </w:tc>
              <w:tc>
                <w:tcPr/>
                <w:p>
                  <w:pPr>
                    <w:pStyle w:val="Compact"/>
                    <w:jc w:val="right"/>
                    <w:jc w:val="center"/>
                  </w:pPr>
                  <w:r>
                    <w:t xml:space="preserve">-2977.425</w:t>
                  </w:r>
                </w:p>
              </w:tc>
              <w:tc>
                <w:tcPr/>
                <w:p>
                  <w:pPr>
                    <w:pStyle w:val="Compact"/>
                    <w:jc w:val="right"/>
                    <w:jc w:val="center"/>
                  </w:pPr>
                  <w:r>
                    <w:t xml:space="preserve">6222.85</w:t>
                  </w:r>
                </w:p>
              </w:tc>
              <w:tc>
                <w:tcPr/>
                <w:p>
                  <w:pPr>
                    <w:pStyle w:val="Compact"/>
                    <w:jc w:val="right"/>
                    <w:jc w:val="center"/>
                  </w:pPr>
                  <w:r>
                    <w:t xml:space="preserve">7097.831</w:t>
                  </w:r>
                </w:p>
              </w:tc>
              <w:tc>
                <w:tcPr/>
                <w:p>
                  <w:pPr>
                    <w:pStyle w:val="Compact"/>
                    <w:jc w:val="right"/>
                    <w:jc w:val="center"/>
                  </w:pPr>
                  <w:r>
                    <w:t xml:space="preserve">473.3406</w:t>
                  </w:r>
                </w:p>
              </w:tc>
              <w:tc>
                <w:tcPr/>
                <w:p>
                  <w:pPr>
                    <w:pStyle w:val="Compact"/>
                    <w:jc w:val="right"/>
                    <w:jc w:val="center"/>
                  </w:pPr>
                  <w:r>
                    <w:t xml:space="preserve">4929</w:t>
                  </w:r>
                </w:p>
              </w:tc>
              <w:tc>
                <w:tcPr/>
                <w:p>
                  <w:pPr>
                    <w:pStyle w:val="Compact"/>
                    <w:jc w:val="right"/>
                    <w:jc w:val="center"/>
                  </w:pPr>
                  <w:r>
                    <w:t xml:space="preserve">5063</w:t>
                  </w:r>
                </w:p>
              </w:tc>
            </w:tr>
          </w:tbl>
          <w:bookmarkEnd w:id="207"/>
          <w:p/>
        </w:tc>
      </w:tr>
    </w:tbl>
    <w:tbl>
      <w:tblPr>
        <w:tblStyle w:val="Table"/>
        <w:tblW w:type="pct" w:w="5000"/>
        <w:tblLayout w:type="fixed"/>
        <w:tblLook w:firstRow="0" w:lastRow="0" w:firstColumn="0" w:lastColumn="0" w:noHBand="0" w:noVBand="0" w:val="0000"/>
      </w:tblPr>
      <w:tblGrid>
        <w:gridCol w:w="7920"/>
      </w:tblGrid>
      <w:tr>
        <w:tc>
          <w:tcPr/>
          <w:bookmarkStart w:id="208" w:name="tbl-anova2"/>
          <w:p>
            <w:pPr>
              <w:jc w:val="center"/>
            </w:pPr>
            <w:pPr>
              <w:jc w:val="left"/>
              <w:spacing w:before="200"/>
              <w:pStyle w:val="ImageCaption"/>
            </w:pPr>
            <w:r>
              <w:t xml:space="preserve">Table 11: Analysis of variance for terms in models for percentage of arena capacity.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Deviance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 Residual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Residual Deviance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818.212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818.203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factor(name_current)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629.798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626.952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is_cc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593.743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is_aw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as.character(wday(game_date,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505.932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as.character(month(game_date,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493.106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487.246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473.341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0.997</w:t>
                  </w:r>
                </w:p>
              </w:tc>
            </w:tr>
          </w:tbl>
          <w:bookmarkEnd w:id="208"/>
        </w:tc>
      </w:tr>
    </w:tbl>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a discussion of modeling causal direction for time series data in the sports context,</w:t>
      </w:r>
      <w:r>
        <w:t xml:space="preserve"> </w:t>
      </w:r>
      <w:r>
        <w:t xml:space="preserve">see</w:t>
      </w:r>
      <w:r>
        <w:t xml:space="preserve"> </w:t>
      </w:r>
      <w:r>
        <w:t xml:space="preserve">Hall et al. (2002)</w:t>
      </w:r>
      <w:r>
        <w:t xml:space="preserve">.</w:t>
      </w:r>
    </w:p>
  </w:footnote>
  <w:footnote w:id="14">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50">
    <w:p>
      <w:pPr>
        <w:pStyle w:val="FootnoteText"/>
      </w:pPr>
      <w:r>
        <w:rPr>
          <w:rStyle w:val="FootnoteReference"/>
        </w:rPr>
        <w:footnoteRef/>
      </w:r>
      <w:r>
        <w:t xml:space="preserve"> </w:t>
      </w:r>
      <w:r>
        <w:t xml:space="preserve">It is possible that this formulation might misidentify how fans view outcome uncertainty. That is, fans might not seek exactly equal team strength across the two opponents, but rather would be just as satisfied as long as there is sufficient uncertainty.</w:t>
      </w:r>
    </w:p>
  </w:footnote>
  <w:footnote w:id="59">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(Walker and Herman 2026)</w:t>
      </w:r>
      <w:r>
        <w:t xml:space="preserve"> </w:t>
      </w:r>
      <w:r>
        <w:t xml:space="preserve">package. Because the population and median income statistics were available at irregular time periods (due to the COVID-19 pandemic and other factors), impute missing values using a cubic spline for interpolated values and the last observation carried forward (or backward) for extrapolated values.</w:t>
      </w:r>
    </w:p>
  </w:footnote>
  <w:footnote w:id="78">
    <w:p>
      <w:pPr>
        <w:pStyle w:val="FootnoteText"/>
      </w:pPr>
      <w:r>
        <w:rPr>
          <w:rStyle w:val="FootnoteReference"/>
        </w:rPr>
        <w:footnoteRef/>
      </w:r>
      <w:r>
        <w:t xml:space="preserve"> </w:t>
      </w:r>
      <w:r>
        <w:t xml:space="preserve">See the previous note about possible misspecification of the uncertainty of outcome variable.</w:t>
      </w:r>
    </w:p>
  </w:footnote>
  <w:footnote w:id="107">
    <w:p>
      <w:pPr>
        <w:pStyle w:val="FootnoteText"/>
      </w:pPr>
      <w:r>
        <w:rPr>
          <w:rStyle w:val="FootnoteReference"/>
        </w:rPr>
        <w:footnoteRef/>
      </w:r>
      <w:r>
        <w:t xml:space="preserve"> </w:t>
      </w:r>
      <w:r>
        <w:t xml:space="preserve">The excitement that Clark has brought to the WNBA may be reminiscent of the infusion of interest in the NBA that occurred in the early- to mid-1980s with the arrival of Magic Johnson, Larry Bird, and Michael Jordan.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66" Target="media/rId66.png" /><Relationship Type="http://schemas.openxmlformats.org/officeDocument/2006/relationships/image" Id="rId183" Target="media/rId183.png" /><Relationship Type="http://schemas.openxmlformats.org/officeDocument/2006/relationships/image" Id="rId188" Target="media/rId188.png" /><Relationship Type="http://schemas.openxmlformats.org/officeDocument/2006/relationships/image" Id="rId38" Target="media/rId38.png" /><Relationship Type="http://schemas.openxmlformats.org/officeDocument/2006/relationships/image" Id="rId17" Target="media/rId17.png" /><Relationship Type="http://schemas.openxmlformats.org/officeDocument/2006/relationships/image" Id="rId23" Target="media/rId23.png" /><Relationship Type="http://schemas.openxmlformats.org/officeDocument/2006/relationships/image" Id="rId193" Target="media/rId193.png" /><Relationship Type="http://schemas.openxmlformats.org/officeDocument/2006/relationships/image" Id="rId198" Target="media/rId198.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image" Id="rId87" Target="media/rId87.png" /><Relationship Type="http://schemas.openxmlformats.org/officeDocument/2006/relationships/image" Id="rId177" Target="media/rId177.png" /><Relationship Type="http://schemas.openxmlformats.org/officeDocument/2006/relationships/image" Id="rId73" Target="media/rId73.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98" Target="media/rId98.png" /><Relationship Type="http://schemas.openxmlformats.org/officeDocument/2006/relationships/hyperlink" Id="rId163" Target="https://accessecon.com/pubs/eb/2003/volume1/eb-03a10003a.pdf" TargetMode="External" /><Relationship Type="http://schemas.openxmlformats.org/officeDocument/2006/relationships/hyperlink" Id="rId148" Target="https://doi.org/10.1002/(SICI)1099-1255(199611)11:6&lt;619::AID-JAE418&gt;3.0.CO;2-1" TargetMode="External" /><Relationship Type="http://schemas.openxmlformats.org/officeDocument/2006/relationships/hyperlink" Id="rId133" Target="https://doi.org/10.1002/mde.1308" TargetMode="External" /><Relationship Type="http://schemas.openxmlformats.org/officeDocument/2006/relationships/hyperlink" Id="rId141" Target="https://doi.org/10.1016/0304-4076(85)90158-7" TargetMode="External" /><Relationship Type="http://schemas.openxmlformats.org/officeDocument/2006/relationships/hyperlink" Id="rId159" Target="https://doi.org/10.1080/00031305.2016.1154108" TargetMode="External" /><Relationship Type="http://schemas.openxmlformats.org/officeDocument/2006/relationships/hyperlink" Id="rId161" Target="https://doi.org/10.1080/00031305.2019.1583913" TargetMode="External" /><Relationship Type="http://schemas.openxmlformats.org/officeDocument/2006/relationships/hyperlink" Id="rId139" Target="https://doi.org/10.1080/14660970.2022.2037218" TargetMode="External" /><Relationship Type="http://schemas.openxmlformats.org/officeDocument/2006/relationships/hyperlink" Id="rId127" Target="https://doi.org/10.1080/17430437.2017.1346620" TargetMode="External" /><Relationship Type="http://schemas.openxmlformats.org/officeDocument/2006/relationships/hyperlink" Id="rId153" Target="https://doi.org/10.1086/257790" TargetMode="External" /><Relationship Type="http://schemas.openxmlformats.org/officeDocument/2006/relationships/hyperlink" Id="rId112" Target="https://doi.org/10.1111/ecin.12061" TargetMode="External" /><Relationship Type="http://schemas.openxmlformats.org/officeDocument/2006/relationships/hyperlink" Id="rId120" Target="https://doi.org/10.1123/jsm.16.4.311" TargetMode="External" /><Relationship Type="http://schemas.openxmlformats.org/officeDocument/2006/relationships/hyperlink" Id="rId118" Target="https://doi.org/10.1123/jsm.2019-0404" TargetMode="External" /><Relationship Type="http://schemas.openxmlformats.org/officeDocument/2006/relationships/hyperlink" Id="rId129" Target="https://doi.org/10.1177/152700250200300204" TargetMode="External" /><Relationship Type="http://schemas.openxmlformats.org/officeDocument/2006/relationships/hyperlink" Id="rId116" Target="https://doi.org/10.1177/1527002508327387" TargetMode="External" /><Relationship Type="http://schemas.openxmlformats.org/officeDocument/2006/relationships/hyperlink" Id="rId137" Target="https://doi.org/10.1177/1527002509337212" TargetMode="External" /><Relationship Type="http://schemas.openxmlformats.org/officeDocument/2006/relationships/hyperlink" Id="rId114" Target="https://doi.org/10.1177/155862350800300105" TargetMode="External" /><Relationship Type="http://schemas.openxmlformats.org/officeDocument/2006/relationships/hyperlink" Id="rId145" Target="https://doi.org/10.2307/1880543" TargetMode="External" /><Relationship Type="http://schemas.openxmlformats.org/officeDocument/2006/relationships/hyperlink" Id="rId155" Target="https://doi.org/10.2307/1907382" TargetMode="External" /><Relationship Type="http://schemas.openxmlformats.org/officeDocument/2006/relationships/hyperlink" Id="rId125" Target="https://doi.org/10.32614/cran.package.wehoop" TargetMode="External" /><Relationship Type="http://schemas.openxmlformats.org/officeDocument/2006/relationships/hyperlink" Id="rId110" Target="https://doi.org/10.32731/IJSF/181.022023.03" TargetMode="External" /><Relationship Type="http://schemas.openxmlformats.org/officeDocument/2006/relationships/hyperlink" Id="rId150" Target="https://doi.org/10.3390/ijfs7010012" TargetMode="External" /><Relationship Type="http://schemas.openxmlformats.org/officeDocument/2006/relationships/hyperlink" Id="rId135" Target="https://doi.org/10.53728/2765-6500.1616" TargetMode="External" /><Relationship Type="http://schemas.openxmlformats.org/officeDocument/2006/relationships/hyperlink" Id="rId131" Target="https://github.com/eheinzen/elo" TargetMode="External" /><Relationship Type="http://schemas.openxmlformats.org/officeDocument/2006/relationships/hyperlink" Id="rId123" Target="https://polecom.org/index.php/polecom/article/view/119" TargetMode="External" /><Relationship Type="http://schemas.openxmlformats.org/officeDocument/2006/relationships/hyperlink" Id="rId171" Target="https://sandwich.R-Forge.R-project.org/" TargetMode="External" /><Relationship Type="http://schemas.openxmlformats.org/officeDocument/2006/relationships/hyperlink" Id="rId167" Target="https://thesportjournal.org/article/attendance-still-matters-in-mlb-the-relationship-with-winning-percentage/" TargetMode="External" /><Relationship Type="http://schemas.openxmlformats.org/officeDocument/2006/relationships/hyperlink" Id="rId157" Target="https://walker-data.com/tidycensus/" TargetMode="External" /><Relationship Type="http://schemas.openxmlformats.org/officeDocument/2006/relationships/hyperlink" Id="rId173" Target="https://www.acrossthetimeline.com/wnba/attendance.html" TargetMode="External" /><Relationship Type="http://schemas.openxmlformats.org/officeDocument/2006/relationships/hyperlink" Id="rId143" Target="https://www.jstor.org/stable/1924766" TargetMode="External" /><Relationship Type="http://schemas.openxmlformats.org/officeDocument/2006/relationships/hyperlink" Id="rId169" Target="https://www.stat.auckland.ac.nz/~yee/VGAM/" TargetMode="External" /><Relationship Type="http://schemas.openxmlformats.org/officeDocument/2006/relationships/hyperlink" Id="rId165"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63" Target="https://accessecon.com/pubs/eb/2003/volume1/eb-03a10003a.pdf" TargetMode="External" /><Relationship Type="http://schemas.openxmlformats.org/officeDocument/2006/relationships/hyperlink" Id="rId148" Target="https://doi.org/10.1002/(SICI)1099-1255(199611)11:6&lt;619::AID-JAE418&gt;3.0.CO;2-1" TargetMode="External" /><Relationship Type="http://schemas.openxmlformats.org/officeDocument/2006/relationships/hyperlink" Id="rId133" Target="https://doi.org/10.1002/mde.1308" TargetMode="External" /><Relationship Type="http://schemas.openxmlformats.org/officeDocument/2006/relationships/hyperlink" Id="rId141" Target="https://doi.org/10.1016/0304-4076(85)90158-7" TargetMode="External" /><Relationship Type="http://schemas.openxmlformats.org/officeDocument/2006/relationships/hyperlink" Id="rId159" Target="https://doi.org/10.1080/00031305.2016.1154108" TargetMode="External" /><Relationship Type="http://schemas.openxmlformats.org/officeDocument/2006/relationships/hyperlink" Id="rId161" Target="https://doi.org/10.1080/00031305.2019.1583913" TargetMode="External" /><Relationship Type="http://schemas.openxmlformats.org/officeDocument/2006/relationships/hyperlink" Id="rId139" Target="https://doi.org/10.1080/14660970.2022.2037218" TargetMode="External" /><Relationship Type="http://schemas.openxmlformats.org/officeDocument/2006/relationships/hyperlink" Id="rId127" Target="https://doi.org/10.1080/17430437.2017.1346620" TargetMode="External" /><Relationship Type="http://schemas.openxmlformats.org/officeDocument/2006/relationships/hyperlink" Id="rId153" Target="https://doi.org/10.1086/257790" TargetMode="External" /><Relationship Type="http://schemas.openxmlformats.org/officeDocument/2006/relationships/hyperlink" Id="rId112" Target="https://doi.org/10.1111/ecin.12061" TargetMode="External" /><Relationship Type="http://schemas.openxmlformats.org/officeDocument/2006/relationships/hyperlink" Id="rId120" Target="https://doi.org/10.1123/jsm.16.4.311" TargetMode="External" /><Relationship Type="http://schemas.openxmlformats.org/officeDocument/2006/relationships/hyperlink" Id="rId118" Target="https://doi.org/10.1123/jsm.2019-0404" TargetMode="External" /><Relationship Type="http://schemas.openxmlformats.org/officeDocument/2006/relationships/hyperlink" Id="rId129" Target="https://doi.org/10.1177/152700250200300204" TargetMode="External" /><Relationship Type="http://schemas.openxmlformats.org/officeDocument/2006/relationships/hyperlink" Id="rId116" Target="https://doi.org/10.1177/1527002508327387" TargetMode="External" /><Relationship Type="http://schemas.openxmlformats.org/officeDocument/2006/relationships/hyperlink" Id="rId137" Target="https://doi.org/10.1177/1527002509337212" TargetMode="External" /><Relationship Type="http://schemas.openxmlformats.org/officeDocument/2006/relationships/hyperlink" Id="rId114" Target="https://doi.org/10.1177/155862350800300105" TargetMode="External" /><Relationship Type="http://schemas.openxmlformats.org/officeDocument/2006/relationships/hyperlink" Id="rId145" Target="https://doi.org/10.2307/1880543" TargetMode="External" /><Relationship Type="http://schemas.openxmlformats.org/officeDocument/2006/relationships/hyperlink" Id="rId155" Target="https://doi.org/10.2307/1907382" TargetMode="External" /><Relationship Type="http://schemas.openxmlformats.org/officeDocument/2006/relationships/hyperlink" Id="rId125" Target="https://doi.org/10.32614/cran.package.wehoop" TargetMode="External" /><Relationship Type="http://schemas.openxmlformats.org/officeDocument/2006/relationships/hyperlink" Id="rId110" Target="https://doi.org/10.32731/IJSF/181.022023.03" TargetMode="External" /><Relationship Type="http://schemas.openxmlformats.org/officeDocument/2006/relationships/hyperlink" Id="rId150" Target="https://doi.org/10.3390/ijfs7010012" TargetMode="External" /><Relationship Type="http://schemas.openxmlformats.org/officeDocument/2006/relationships/hyperlink" Id="rId135" Target="https://doi.org/10.53728/2765-6500.1616" TargetMode="External" /><Relationship Type="http://schemas.openxmlformats.org/officeDocument/2006/relationships/hyperlink" Id="rId131" Target="https://github.com/eheinzen/elo" TargetMode="External" /><Relationship Type="http://schemas.openxmlformats.org/officeDocument/2006/relationships/hyperlink" Id="rId123" Target="https://polecom.org/index.php/polecom/article/view/119" TargetMode="External" /><Relationship Type="http://schemas.openxmlformats.org/officeDocument/2006/relationships/hyperlink" Id="rId171" Target="https://sandwich.R-Forge.R-project.org/" TargetMode="External" /><Relationship Type="http://schemas.openxmlformats.org/officeDocument/2006/relationships/hyperlink" Id="rId167" Target="https://thesportjournal.org/article/attendance-still-matters-in-mlb-the-relationship-with-winning-percentage/" TargetMode="External" /><Relationship Type="http://schemas.openxmlformats.org/officeDocument/2006/relationships/hyperlink" Id="rId157" Target="https://walker-data.com/tidycensus/" TargetMode="External" /><Relationship Type="http://schemas.openxmlformats.org/officeDocument/2006/relationships/hyperlink" Id="rId173" Target="https://www.acrossthetimeline.com/wnba/attendance.html" TargetMode="External" /><Relationship Type="http://schemas.openxmlformats.org/officeDocument/2006/relationships/hyperlink" Id="rId143" Target="https://www.jstor.org/stable/1924766" TargetMode="External" /><Relationship Type="http://schemas.openxmlformats.org/officeDocument/2006/relationships/hyperlink" Id="rId169" Target="https://www.stat.auckland.ac.nz/~yee/VGAM/" TargetMode="External" /><Relationship Type="http://schemas.openxmlformats.org/officeDocument/2006/relationships/hyperlink" Id="rId165"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Everyone Watches Women’s Basketball: Attendance and Fan Engagement in the WNBA</dc:title>
  <dc:creator>Gabriela Eastwood; Benjamin S. Baumer; Andrew Zimbalist</dc:creator>
  <cp:keywords>WNBA, Game Attendance</cp:keywords>
  <dcterms:created xsi:type="dcterms:W3CDTF">2026-07-11T13:12:40Z</dcterms:created>
  <dcterms:modified xsi:type="dcterms:W3CDTF">2026-07-11T13:12:40Z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 This, in turn, is consistent with a more durable popularity for the league.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2026-07-11</vt:lpwstr>
  </property>
  <property fmtid="{D5CDD505-2E9C-101B-9397-08002B2CF9AE}" pid="11" name="engines">
    <vt:lpwstr/>
  </property>
  <property fmtid="{D5CDD505-2E9C-101B-9397-08002B2CF9AE}" pid="12" name="footnotes-to-endnotes">
    <vt:lpwstr>True</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