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47.png" ContentType="image/png"/>
  <Override PartName="/word/media/rId52.png" ContentType="image/png"/>
  <Override PartName="/word/media/rId36.png" ContentType="image/png"/>
  <Override PartName="/word/media/rId15.png" ContentType="image/png"/>
  <Override PartName="/word/media/rId21.png" ContentType="image/png"/>
  <Override PartName="/word/media/rId57.png" ContentType="image/png"/>
  <Override PartName="/word/media/rId62.png" ContentType="image/png"/>
  <Override PartName="/word/media/rId41.png" ContentType="image/png"/>
  <Override PartName="/word/media/rId27.png" ContentType="image/png"/>
  <Override PartName="/word/media/rId113.png" ContentType="image/png"/>
  <Override PartName="/word/media/rId67.png" ContentType="image/png"/>
  <Override PartName="/word/media/rId188.png" ContentType="image/png"/>
  <Override PartName="/word/media/rId192.png" ContentType="image/png"/>
  <Override PartName="/word/media/rId196.png" ContentType="image/png"/>
  <Override PartName="/word/media/rId200.png" ContentType="image/png"/>
  <Override PartName="/word/media/rId95.png" ContentType="image/png"/>
  <Override PartName="/word/media/rId120.png" ContentType="image/png"/>
  <Override PartName="/word/media/rId100.png" ContentType="image/png"/>
  <Override PartName="/word/media/rId105.png" ContentType="image/png"/>
  <Override PartName="/word/media/rId125.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2026-06-28</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 In this paper we set out to determine how the underlying causes shaping game attendance work to explain these more recent trends, and specifically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br/>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bookmarkEnd w:id="10"/>
    <w:bookmarkStart w:id="12" w:name="why-is-the-wnba-different"/>
    <w:p>
      <w:pPr>
        <w:pStyle w:val="Heading3"/>
      </w:pPr>
      <w:r>
        <w:t xml:space="preserve">1.2 Why is the WNBA different?</w:t>
      </w:r>
    </w:p>
    <w:p>
      <w:pPr>
        <w:pStyle w:val="FirstParagraph"/>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1"/>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5" w:name="sec-data"/>
    <w:p>
      <w:pPr>
        <w:pStyle w:val="Heading2"/>
      </w:pPr>
      <w:r>
        <w:t xml:space="preserve">2 Data</w:t>
      </w:r>
    </w:p>
    <w:bookmarkStart w:id="26"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w:t>
      </w:r>
      <w:r>
        <w:t xml:space="preserve"> </w:t>
      </w:r>
      <w:r>
        <w:t xml:space="preserve">Attendance data was unavailable for only 152 games, while (due to the COVID-19 pandemic) 2 games (accurately) recorded attendance of 0.</w:t>
      </w:r>
      <w:r>
        <w:t xml:space="preserve"> </w:t>
      </w:r>
      <w:r>
        <w:t xml:space="preserve">Because the arenas WNBA teams play in vary widely in size– the New York Liberty alone have called both the Barclays Center (17,732 seat capacity) and the Westchester County Center (2,300 seat capacity) home in recent years– we contextualize raw attendance numbers by approximating the capacity of each game venue.</w:t>
      </w:r>
      <w:r>
        <w:t xml:space="preserve"> </w:t>
      </w:r>
      <w:r>
        <w:t xml:space="preserve">Because accurate records of arena configurations and capacities were difficult to obtain (particularly for venues not still in use) we approximated the practical capacity of each space by pulling the maximally attended game for each venue.</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 The game-level performance data include</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2000-07-29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EnergySolutions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2005-06-22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2018-06-07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Capital One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2018-05-20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2008-09-05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2008-06-01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UIC Pavilion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2017-08-18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2016-06-29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Talking Stick Resort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p>
      <w:pPr>
        <w:pStyle w:val="BodyText"/>
      </w:pPr>
      <w:hyperlink w:anchor="fig-boxplots-capacity">
        <w:r>
          <w:rPr>
            <w:rStyle w:val="Hyperlink"/>
          </w:rPr>
          <w:t xml:space="preserve">Figure 2</w:t>
        </w:r>
      </w:hyperlink>
      <w:r>
        <w:t xml:space="preserve"> </w:t>
      </w:r>
      <w:r>
        <w:t xml:space="preserve">shows the distribution of attendance as a percentage of the arena’s capacity.</w:t>
      </w:r>
      <w:r>
        <w:t xml:space="preserve"> </w:t>
      </w:r>
      <w:r>
        <w:t xml:space="preserve">Although we recorded reported arena capacities, those capacities change over time, and some games had attendance that exceeded the arena’s reported capacity.</w:t>
      </w:r>
      <w:r>
        <w:t xml:space="preserve"> </w:t>
      </w:r>
      <w:r>
        <w:t xml:space="preserve">Instead, we computed the percentage as a ratio of the attendance to the larger of the reported capacity, or the maximum recorded attendance at that arena in the sample.</w:t>
      </w:r>
      <w:r>
        <w:rPr>
          <w:rStyle w:val="FootnoteReference"/>
        </w:rPr>
        <w:footnoteReference w:id="20"/>
      </w:r>
    </w:p>
    <w:bookmarkStart w:id="25" w:name="cell-fig-boxplots-capacity"/>
    <w:tbl>
      <w:tblPr>
        <w:tblStyle w:val="Table"/>
        <w:tblW w:type="pct" w:w="5000"/>
        <w:tblLayout w:type="fixed"/>
        <w:tblLook w:firstRow="0" w:lastRow="0" w:firstColumn="0" w:lastColumn="0" w:noHBand="0" w:noVBand="0" w:val="0000"/>
      </w:tblPr>
      <w:tblGrid>
        <w:gridCol w:w="7920"/>
      </w:tblGrid>
      <w:tr>
        <w:tc>
          <w:tcPr/>
          <w:bookmarkStart w:id="24" w:name="fig-boxplots-capacity"/>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boxplots-capacity-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arena capacity by season. Caitlin Clark’s games in 2024-2025 are separated by color.</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32"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1" w:name="cell-fig-elo"/>
    <w:tbl>
      <w:tblPr>
        <w:tblStyle w:val="Table"/>
        <w:tblW w:type="pct" w:w="5000"/>
        <w:tblLayout w:type="fixed"/>
        <w:tblLook w:firstRow="0" w:lastRow="0" w:firstColumn="0" w:lastColumn="0" w:noHBand="0" w:noVBand="0" w:val="0000"/>
      </w:tblPr>
      <w:tblGrid>
        <w:gridCol w:w="7920"/>
      </w:tblGrid>
      <w:tr>
        <w:tc>
          <w:tcPr/>
          <w:bookmarkStart w:id="30" w:name="fig-elo"/>
          <w:p>
            <w:pPr>
              <w:pStyle w:val="Compact"/>
              <w:jc w:val="center"/>
            </w:pPr>
            <w:r>
              <w:drawing>
                <wp:inline>
                  <wp:extent cx="4620126" cy="3696101"/>
                  <wp:effectExtent b="0" l="0" r="0" t="0"/>
                  <wp:docPr descr="" title="" id="28" name="Picture"/>
                  <a:graphic>
                    <a:graphicData uri="http://schemas.openxmlformats.org/drawingml/2006/picture">
                      <pic:pic>
                        <pic:nvPicPr>
                          <pic:cNvPr descr="index_files/figure-docx/fig-elo-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End w:id="32"/>
    <w:bookmarkStart w:id="34"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bookmarkEnd w:id="35"/>
    <w:bookmarkStart w:id="86"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6"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w:t>
      </w:r>
    </w:p>
    <w:bookmarkStart w:id="40" w:name="cell-fig-attendance-year"/>
    <w:tbl>
      <w:tblPr>
        <w:tblStyle w:val="Table"/>
        <w:tblW w:type="pct" w:w="5000"/>
        <w:tblLayout w:type="fixed"/>
        <w:tblLook w:firstRow="0" w:lastRow="0" w:firstColumn="0" w:lastColumn="0" w:noHBand="0" w:noVBand="0" w:val="0000"/>
      </w:tblPr>
      <w:tblGrid>
        <w:gridCol w:w="7920"/>
      </w:tblGrid>
      <w:tr>
        <w:tc>
          <w:tcPr/>
          <w:bookmarkStart w:id="39" w:name="fig-attendance-year"/>
          <w:p>
            <w:pPr>
              <w:pStyle w:val="Compact"/>
              <w:jc w:val="center"/>
            </w:pPr>
            <w:r>
              <w:drawing>
                <wp:inline>
                  <wp:extent cx="4620126" cy="3696101"/>
                  <wp:effectExtent b="0" l="0" r="0" t="0"/>
                  <wp:docPr descr="" title="" id="37" name="Picture"/>
                  <a:graphic>
                    <a:graphicData uri="http://schemas.openxmlformats.org/drawingml/2006/picture">
                      <pic:pic>
                        <pic:nvPicPr>
                          <pic:cNvPr descr="index_files/figure-docx/fig-attendance-year-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w:t>
            </w:r>
          </w:p>
          <w:bookmarkEnd w:id="3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0"/>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5" w:name="cell-fig-capacity-year"/>
    <w:tbl>
      <w:tblPr>
        <w:tblStyle w:val="Table"/>
        <w:tblW w:type="pct" w:w="5000"/>
        <w:tblLayout w:type="fixed"/>
        <w:tblLook w:firstRow="0" w:lastRow="0" w:firstColumn="0" w:lastColumn="0" w:noHBand="0" w:noVBand="0" w:val="0000"/>
      </w:tblPr>
      <w:tblGrid>
        <w:gridCol w:w="7920"/>
      </w:tblGrid>
      <w:tr>
        <w:tc>
          <w:tcPr/>
          <w:bookmarkStart w:id="44" w:name="fig-capacity-year"/>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capacity-year-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arena capacity filled by season, against estimated home win probability. We note the edge effects caused by sellouts, which occur much more frequently in 2024 and 2025.</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6"/>
    <w:bookmarkStart w:id="80"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uncertain. We model this as the absolute difference in the two teams’ Elo ratings: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6</w:t>
        </w:r>
      </w:hyperlink>
      <w:r>
        <w:t xml:space="preserve"> </w:t>
      </w:r>
      <w:r>
        <w:t xml:space="preserve">and</w:t>
      </w:r>
      <w:r>
        <w:t xml:space="preserve"> </w:t>
      </w:r>
      <w:hyperlink w:anchor="fig-attend-f2">
        <w:r>
          <w:rPr>
            <w:rStyle w:val="Hyperlink"/>
          </w:rPr>
          <w:t xml:space="preserve">Figure 7</w:t>
        </w:r>
      </w:hyperlink>
      <w:r>
        <w:t xml:space="preserve">, respectively, with the corresponding plots for percentage of arena capacity shown in</w:t>
      </w:r>
      <w:r>
        <w:t xml:space="preserve"> </w:t>
      </w:r>
      <w:hyperlink w:anchor="fig-capacity-f1">
        <w:r>
          <w:rPr>
            <w:rStyle w:val="Hyperlink"/>
          </w:rPr>
          <w:t xml:space="preserve">Figure 8</w:t>
        </w:r>
      </w:hyperlink>
      <w:r>
        <w:t xml:space="preserve"> </w:t>
      </w:r>
      <w:r>
        <w:t xml:space="preserve">and</w:t>
      </w:r>
      <w:r>
        <w:t xml:space="preserve"> </w:t>
      </w:r>
      <w:hyperlink w:anchor="fig-capacity-f2">
        <w:r>
          <w:rPr>
            <w:rStyle w:val="Hyperlink"/>
          </w:rPr>
          <w:t xml:space="preserve">Figure 9</w:t>
        </w:r>
      </w:hyperlink>
      <w:r>
        <w:t xml:space="preserve">. Note that because our uncertainty of outcome metric is define as the absolute difference in Elo ratings between the two teams. Larger values indicate a less competitive matchup and therefore lower outcome uncertainty. If the uncertainty of outcome hypothesis is true, we would expect a negative relationship between this variable and attendance, as more competitive games should attract larger crowds.</w:t>
      </w:r>
    </w:p>
    <w:bookmarkStart w:id="51" w:name="cell-fig-attend-f1"/>
    <w:tbl>
      <w:tblPr>
        <w:tblStyle w:val="Table"/>
        <w:tblW w:type="pct" w:w="5000"/>
        <w:tblLayout w:type="fixed"/>
        <w:tblLook w:firstRow="0" w:lastRow="0" w:firstColumn="0" w:lastColumn="0" w:noHBand="0" w:noVBand="0" w:val="0000"/>
      </w:tblPr>
      <w:tblGrid>
        <w:gridCol w:w="7920"/>
      </w:tblGrid>
      <w:tr>
        <w:tc>
          <w:tcPr/>
          <w:bookmarkStart w:id="50" w:name="fig-attend-f1"/>
          <w:p>
            <w:pPr>
              <w:pStyle w:val="Compact"/>
              <w:jc w:val="center"/>
            </w:pPr>
            <w:r>
              <w:drawing>
                <wp:inline>
                  <wp:extent cx="4620126" cy="3696101"/>
                  <wp:effectExtent b="0" l="0" r="0" t="0"/>
                  <wp:docPr descr="" title="" id="48" name="Picture"/>
                  <a:graphic>
                    <a:graphicData uri="http://schemas.openxmlformats.org/drawingml/2006/picture">
                      <pic:pic>
                        <pic:nvPicPr>
                          <pic:cNvPr descr="index_files/figure-docx/fig-attend-f1-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WNBA game attendance by season, against quality of play (game-time sum of Elo ratings - 3000). Higher values indicate matchups between stronger teams.</w:t>
            </w:r>
          </w:p>
          <w:bookmarkEnd w:id="5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1"/>
    <w:bookmarkStart w:id="56" w:name="cell-fig-attend-f2"/>
    <w:tbl>
      <w:tblPr>
        <w:tblStyle w:val="Table"/>
        <w:tblW w:type="pct" w:w="5000"/>
        <w:tblLayout w:type="fixed"/>
        <w:tblLook w:firstRow="0" w:lastRow="0" w:firstColumn="0" w:lastColumn="0" w:noHBand="0" w:noVBand="0" w:val="0000"/>
      </w:tblPr>
      <w:tblGrid>
        <w:gridCol w:w="7920"/>
      </w:tblGrid>
      <w:tr>
        <w:tc>
          <w:tcPr/>
          <w:bookmarkStart w:id="55" w:name="fig-attend-f2"/>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ttend-f2-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WNBA game attendance by season, against uncertainty of outcome. Games are more competetive when UOH is closer to zero.</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Start w:id="61" w:name="cell-fig-capacity-f1"/>
    <w:tbl>
      <w:tblPr>
        <w:tblStyle w:val="Table"/>
        <w:tblW w:type="pct" w:w="5000"/>
        <w:tblLayout w:type="fixed"/>
        <w:tblLook w:firstRow="0" w:lastRow="0" w:firstColumn="0" w:lastColumn="0" w:noHBand="0" w:noVBand="0" w:val="0000"/>
      </w:tblPr>
      <w:tblGrid>
        <w:gridCol w:w="7920"/>
      </w:tblGrid>
      <w:tr>
        <w:tc>
          <w:tcPr/>
          <w:bookmarkStart w:id="60" w:name="fig-capacity-f1"/>
          <w:p>
            <w:pPr>
              <w:pStyle w:val="Compact"/>
              <w:jc w:val="center"/>
            </w:pPr>
            <w:r>
              <w:drawing>
                <wp:inline>
                  <wp:extent cx="4620126" cy="3696101"/>
                  <wp:effectExtent b="0" l="0" r="0" t="0"/>
                  <wp:docPr descr="" title="" id="58" name="Picture"/>
                  <a:graphic>
                    <a:graphicData uri="http://schemas.openxmlformats.org/drawingml/2006/picture">
                      <pic:pic>
                        <pic:nvPicPr>
                          <pic:cNvPr descr="index_files/figure-docx/fig-capacity-f1-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6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6" w:name="cell-fig-capacity-f2"/>
    <w:tbl>
      <w:tblPr>
        <w:tblStyle w:val="Table"/>
        <w:tblW w:type="pct" w:w="5000"/>
        <w:tblLayout w:type="fixed"/>
        <w:tblLook w:firstRow="0" w:lastRow="0" w:firstColumn="0" w:lastColumn="0" w:noHBand="0" w:noVBand="0" w:val="0000"/>
      </w:tblPr>
      <w:tblGrid>
        <w:gridCol w:w="7920"/>
      </w:tblGrid>
      <w:tr>
        <w:tc>
          <w:tcPr/>
          <w:bookmarkStart w:id="65" w:name="fig-capacity-f2"/>
          <w:p>
            <w:pPr>
              <w:pStyle w:val="Compact"/>
              <w:jc w:val="center"/>
            </w:pPr>
            <w:r>
              <w:drawing>
                <wp:inline>
                  <wp:extent cx="4620126" cy="3696101"/>
                  <wp:effectExtent b="0" l="0" r="0" t="0"/>
                  <wp:docPr descr="" title="" id="63" name="Picture"/>
                  <a:graphic>
                    <a:graphicData uri="http://schemas.openxmlformats.org/drawingml/2006/picture">
                      <pic:pic>
                        <pic:nvPicPr>
                          <pic:cNvPr descr="index_files/figure-docx/fig-capacity-f2-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asd</w:t>
            </w:r>
          </w:p>
          <w:bookmarkEnd w:id="6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6"/>
    <w:bookmarkStart w:id="79" w:name="rescaling"/>
    <w:p>
      <w:pPr>
        <w:pStyle w:val="Heading4"/>
      </w:pPr>
      <w:r>
        <w:t xml:space="preserve">3.2.1 Rescaling</w:t>
      </w:r>
    </w:p>
    <w:p>
      <w:pPr>
        <w:pStyle w:val="FirstParagraph"/>
      </w:pPr>
      <w:hyperlink w:anchor="fig-rescaled">
        <w:r>
          <w:rPr>
            <w:rStyle w:val="Hyperlink"/>
          </w:rPr>
          <w:t xml:space="preserve">Figure 10</w:t>
        </w:r>
      </w:hyperlink>
      <w:r>
        <w:t xml:space="preserve"> </w:t>
      </w:r>
      <w:r>
        <w:t xml:space="preserve">shows the distribution of our fan engagement variables after rescaling.</w:t>
      </w:r>
    </w:p>
    <w:bookmarkStart w:id="71" w:name="cell-fig-rescaled"/>
    <w:tbl>
      <w:tblPr>
        <w:tblStyle w:val="Table"/>
        <w:tblW w:type="pct" w:w="5000"/>
        <w:tblLayout w:type="fixed"/>
        <w:tblLook w:firstRow="0" w:lastRow="0" w:firstColumn="0" w:lastColumn="0" w:noHBand="0" w:noVBand="0" w:val="0000"/>
      </w:tblPr>
      <w:tblGrid>
        <w:gridCol w:w="7920"/>
      </w:tblGrid>
      <w:tr>
        <w:tc>
          <w:tcPr/>
          <w:bookmarkStart w:id="70" w:name="fig-rescaled"/>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rescaled-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Distribution of fan engagement variables after rescaling.</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r>
        <w:t xml:space="preserve">We note that</w:t>
      </w:r>
      <w:r>
        <w:t xml:space="preserve"> </w:t>
      </w:r>
      <w:hyperlink w:anchor="tbl-cor">
        <w:r>
          <w:rPr>
            <w:rStyle w:val="Hyperlink"/>
          </w:rPr>
          <w:t xml:space="preserve">Table 3</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72" w:name="tbl-cor"/>
          <w:p>
            <w:pPr>
              <w:jc w:val="center"/>
            </w:pPr>
            <w:pPr>
              <w:jc w:val="left"/>
              <w:spacing w:before="200"/>
              <w:pStyle w:val="ImageCaption"/>
            </w:pPr>
            <w:r>
              <w:t xml:space="preserve">Table 3: Correlations among fan engagment variables.</w:t>
            </w:r>
          </w:p>
          <w:tbl>
            <w:tblPr>
              <w:tblStyle w:val="Table"/>
              <w:tblW w:type="pct" w:w="5000"/>
              <w:tblLayout w:type="fixed"/>
              <w:tblLook w:firstRow="1" w:lastRow="0" w:firstColumn="0" w:lastColumn="0" w:noHBand="0" w:noVBand="0" w:val="0020"/>
            </w:tblPr>
            <w:tblGrid>
              <w:gridCol w:w="1721"/>
              <w:gridCol w:w="1549"/>
              <w:gridCol w:w="1721"/>
              <w:gridCol w:w="1377"/>
              <w:gridCol w:w="1549"/>
            </w:tblGrid>
            <w:tr>
              <w:trPr>
                <w:tblHeader w:val="on"/>
              </w:trPr>
              <w:tc>
                <w:tcPr/>
                <w:p>
                  <w:pPr>
                    <w:pStyle w:val="Compact"/>
                  </w:pPr>
                </w:p>
              </w:tc>
              <w:tc>
                <w:tcPr/>
                <w:p>
                  <w:pPr>
                    <w:pStyle w:val="Compact"/>
                    <w:jc w:val="right"/>
                    <w:jc w:val="center"/>
                  </w:pPr>
                  <w:r>
                    <w:t xml:space="preserve">z_quality_of_play</w:t>
                  </w:r>
                </w:p>
              </w:tc>
              <w:tc>
                <w:tcPr/>
                <w:p>
                  <w:pPr>
                    <w:pStyle w:val="Compact"/>
                    <w:jc w:val="right"/>
                    <w:jc w:val="center"/>
                  </w:pPr>
                  <w:r>
                    <w:t xml:space="preserve">z_uncertain_outcome</w:t>
                  </w:r>
                </w:p>
              </w:tc>
              <w:tc>
                <w:tcPr/>
                <w:p>
                  <w:pPr>
                    <w:pStyle w:val="Compact"/>
                    <w:jc w:val="right"/>
                    <w:jc w:val="center"/>
                  </w:pPr>
                  <w:r>
                    <w:t xml:space="preserve">z_loss_aversion</w:t>
                  </w:r>
                </w:p>
              </w:tc>
              <w:tc>
                <w:tcPr/>
                <w:p>
                  <w:pPr>
                    <w:pStyle w:val="Compact"/>
                    <w:jc w:val="right"/>
                    <w:jc w:val="center"/>
                  </w:pPr>
                  <w:r>
                    <w:t xml:space="preserve">zzz_sum_all_three</w:t>
                  </w:r>
                </w:p>
              </w:tc>
            </w:tr>
            <w:tr>
              <w:tc>
                <w:tcPr/>
                <w:p>
                  <w:pPr>
                    <w:pStyle w:val="Compact"/>
                    <w:jc w:val="left"/>
                    <w:jc w:val="center"/>
                  </w:pPr>
                  <w:r>
                    <w:t xml:space="preserve">z_quality_of_play</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z_uncertain_outcome</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z_loss_aversion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zzz_sum_all_three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bl>
          <w:bookmarkEnd w:id="7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4" name="Picture"/>
            <a:graphic>
              <a:graphicData uri="http://schemas.openxmlformats.org/drawingml/2006/picture">
                <pic:pic>
                  <pic:nvPicPr>
                    <pic:cNvPr descr="index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7" name="Picture"/>
            <a:graphic>
              <a:graphicData uri="http://schemas.openxmlformats.org/drawingml/2006/picture">
                <pic:pic>
                  <pic:nvPicPr>
                    <pic:cNvPr descr="index_files/figure-docx/unnamed-chunk-6-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82"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81"/>
      </w:r>
      <w:r>
        <w:t xml:space="preserve">.</w:t>
      </w:r>
      <w:r>
        <w:t xml:space="preserve"> </w:t>
      </w:r>
      <w:r>
        <w:t xml:space="preserve">Finally, we include an indicator based on whether Caitlin Clark played more than 0 minutes in the game (</w:t>
      </w:r>
      <m:oMath>
        <m:r>
          <m:t>χ</m:t>
        </m:r>
      </m:oMath>
      <w:r>
        <w:t xml:space="preserve">).</w:t>
      </w:r>
    </w:p>
    <w:bookmarkEnd w:id="82"/>
    <w:bookmarkStart w:id="83"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these changes, we include an interaction term between our measures of fan engagement (</w:t>
      </w:r>
      <m:oMath>
        <m:sSub>
          <m:e>
            <m:r>
              <m:t>f</m:t>
            </m:r>
          </m:e>
          <m:sub>
            <m:r>
              <m:t>k</m:t>
            </m:r>
          </m:sub>
        </m:sSub>
      </m:oMath>
      <w:r>
        <w:t xml:space="preserve">) and season (</w:t>
      </w:r>
      <m:oMath>
        <m:sSub>
          <m:e>
            <m:r>
              <m:t>τ</m:t>
            </m:r>
          </m:e>
          <m:sub>
            <m:r>
              <m:t>1</m:t>
            </m:r>
          </m:sub>
        </m:sSub>
      </m:oMath>
      <w:r>
        <w:t xml:space="preserve">). We also considered fitting a period-based model but ultimately decided against this approach. Defining periods by hand would require subjective decisions about the timing of structural breaks and would risk introducing researcher bias into the analysis. Instead, we allow the relationship between attendance and fan engagement to evolve season-by-season.</w:t>
      </w:r>
    </w:p>
    <w:bookmarkEnd w:id="83"/>
    <w:bookmarkStart w:id="84"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84"/>
    <w:bookmarkStart w:id="85"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85"/>
    <w:bookmarkEnd w:id="86"/>
    <w:bookmarkStart w:id="132"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1"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4</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8</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bookmarkStart w:id="94" w:name="baseline-effects"/>
    <w:p>
      <w:pPr>
        <w:pStyle w:val="Heading4"/>
      </w:pPr>
      <w:r>
        <w:t xml:space="preserve">4.1.1 Baseline effects</w:t>
      </w:r>
    </w:p>
    <w:tbl>
      <w:tblPr>
        <w:tblStyle w:val="Table"/>
        <w:tblW w:type="pct" w:w="5000"/>
        <w:tblLayout w:type="fixed"/>
        <w:tblLook w:firstRow="0" w:lastRow="0" w:firstColumn="0" w:lastColumn="0" w:noHBand="0" w:noVBand="0" w:val="0000"/>
      </w:tblPr>
      <w:tblGrid>
        <w:gridCol w:w="7920"/>
      </w:tblGrid>
      <w:tr>
        <w:tc>
          <w:tcPr/>
          <w:bookmarkStart w:id="87" w:name="tbl-coefs"/>
          <w:p>
            <w:pPr>
              <w:jc w:val="center"/>
            </w:pPr>
            <w:pPr>
              <w:jc w:val="left"/>
              <w:spacing w:before="200"/>
              <w:pStyle w:val="ImageCaption"/>
            </w:pPr>
            <w:r>
              <w:t xml:space="preserve">Table 4: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9.202</w:t>
                  </w:r>
                </w:p>
              </w:tc>
              <w:tc>
                <w:tcPr/>
                <w:p>
                  <w:pPr>
                    <w:pStyle w:val="Compact"/>
                    <w:jc w:val="right"/>
                    <w:jc w:val="center"/>
                  </w:pPr>
                  <w:r>
                    <w:t xml:space="preserve">0.081</w:t>
                  </w:r>
                </w:p>
              </w:tc>
              <w:tc>
                <w:tcPr/>
                <w:p>
                  <w:pPr>
                    <w:pStyle w:val="Compact"/>
                    <w:jc w:val="right"/>
                    <w:jc w:val="center"/>
                  </w:pPr>
                  <w:r>
                    <w:t xml:space="preserve">113.091</w:t>
                  </w:r>
                </w:p>
              </w:tc>
              <w:tc>
                <w:tcPr/>
                <w:p>
                  <w:pPr>
                    <w:pStyle w:val="Compact"/>
                    <w:jc w:val="right"/>
                    <w:jc w:val="center"/>
                  </w:pPr>
                  <w:r>
                    <w:t xml:space="preserve">0.000</w:t>
                  </w:r>
                </w:p>
              </w:tc>
              <w:tc>
                <w:tcPr/>
                <w:p>
                  <w:pPr>
                    <w:pStyle w:val="Compact"/>
                    <w:jc w:val="right"/>
                    <w:jc w:val="center"/>
                  </w:pPr>
                  <w:r>
                    <w:t xml:space="preserve">9.042</w:t>
                  </w:r>
                </w:p>
              </w:tc>
              <w:tc>
                <w:tcPr/>
                <w:p>
                  <w:pPr>
                    <w:pStyle w:val="Compact"/>
                    <w:jc w:val="right"/>
                    <w:jc w:val="center"/>
                  </w:pPr>
                  <w:r>
                    <w:t xml:space="preserve">9.361</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-0.081</w:t>
                  </w:r>
                </w:p>
              </w:tc>
              <w:tc>
                <w:tcPr/>
                <w:p>
                  <w:pPr>
                    <w:pStyle w:val="Compact"/>
                    <w:jc w:val="right"/>
                    <w:jc w:val="center"/>
                  </w:pPr>
                  <w:r>
                    <w:t xml:space="preserve">0.048</w:t>
                  </w:r>
                </w:p>
              </w:tc>
              <w:tc>
                <w:tcPr/>
                <w:p>
                  <w:pPr>
                    <w:pStyle w:val="Compact"/>
                    <w:jc w:val="right"/>
                    <w:jc w:val="center"/>
                  </w:pPr>
                  <w:r>
                    <w:t xml:space="preserve">-1.690</w:t>
                  </w:r>
                </w:p>
              </w:tc>
              <w:tc>
                <w:tcPr/>
                <w:p>
                  <w:pPr>
                    <w:pStyle w:val="Compact"/>
                    <w:jc w:val="right"/>
                    <w:jc w:val="center"/>
                  </w:pPr>
                  <w:r>
                    <w:t xml:space="preserve">0.091</w:t>
                  </w:r>
                </w:p>
              </w:tc>
              <w:tc>
                <w:tcPr/>
                <w:p>
                  <w:pPr>
                    <w:pStyle w:val="Compact"/>
                    <w:jc w:val="right"/>
                    <w:jc w:val="center"/>
                  </w:pPr>
                  <w:r>
                    <w:t xml:space="preserve">-0.175</w:t>
                  </w:r>
                </w:p>
              </w:tc>
              <w:tc>
                <w:tcPr/>
                <w:p>
                  <w:pPr>
                    <w:pStyle w:val="Compact"/>
                    <w:jc w:val="right"/>
                    <w:jc w:val="center"/>
                  </w:pPr>
                  <w:r>
                    <w:t xml:space="preserve">0.013</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0.003</w:t>
                  </w:r>
                </w:p>
              </w:tc>
              <w:tc>
                <w:tcPr/>
                <w:p>
                  <w:pPr>
                    <w:pStyle w:val="Compact"/>
                    <w:jc w:val="right"/>
                    <w:jc w:val="center"/>
                  </w:pPr>
                  <w:r>
                    <w:t xml:space="preserve">0.059</w:t>
                  </w:r>
                </w:p>
              </w:tc>
              <w:tc>
                <w:tcPr/>
                <w:p>
                  <w:pPr>
                    <w:pStyle w:val="Compact"/>
                    <w:jc w:val="right"/>
                    <w:jc w:val="center"/>
                  </w:pPr>
                  <w:r>
                    <w:t xml:space="preserve">0.058</w:t>
                  </w:r>
                </w:p>
              </w:tc>
              <w:tc>
                <w:tcPr/>
                <w:p>
                  <w:pPr>
                    <w:pStyle w:val="Compact"/>
                    <w:jc w:val="right"/>
                    <w:jc w:val="center"/>
                  </w:pPr>
                  <w:r>
                    <w:t xml:space="preserve">0.954</w:t>
                  </w:r>
                </w:p>
              </w:tc>
              <w:tc>
                <w:tcPr/>
                <w:p>
                  <w:pPr>
                    <w:pStyle w:val="Compact"/>
                    <w:jc w:val="right"/>
                    <w:jc w:val="center"/>
                  </w:pPr>
                  <w:r>
                    <w:t xml:space="preserve">-0.112</w:t>
                  </w:r>
                </w:p>
              </w:tc>
              <w:tc>
                <w:tcPr/>
                <w:p>
                  <w:pPr>
                    <w:pStyle w:val="Compact"/>
                    <w:jc w:val="right"/>
                    <w:jc w:val="center"/>
                  </w:pPr>
                  <w:r>
                    <w:t xml:space="preserve">0.119</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-0.053</w:t>
                  </w:r>
                </w:p>
              </w:tc>
              <w:tc>
                <w:tcPr/>
                <w:p>
                  <w:pPr>
                    <w:pStyle w:val="Compact"/>
                    <w:jc w:val="right"/>
                    <w:jc w:val="center"/>
                  </w:pPr>
                  <w:r>
                    <w:t xml:space="preserve">0.022</w:t>
                  </w:r>
                </w:p>
              </w:tc>
              <w:tc>
                <w:tcPr/>
                <w:p>
                  <w:pPr>
                    <w:pStyle w:val="Compact"/>
                    <w:jc w:val="right"/>
                    <w:jc w:val="center"/>
                  </w:pPr>
                  <w:r>
                    <w:t xml:space="preserve">-2.407</w:t>
                  </w:r>
                </w:p>
              </w:tc>
              <w:tc>
                <w:tcPr/>
                <w:p>
                  <w:pPr>
                    <w:pStyle w:val="Compact"/>
                    <w:jc w:val="right"/>
                    <w:jc w:val="center"/>
                  </w:pPr>
                  <w:r>
                    <w:t xml:space="preserve">0.016</w:t>
                  </w:r>
                </w:p>
              </w:tc>
              <w:tc>
                <w:tcPr/>
                <w:p>
                  <w:pPr>
                    <w:pStyle w:val="Compact"/>
                    <w:jc w:val="right"/>
                    <w:jc w:val="center"/>
                  </w:pPr>
                  <w:r>
                    <w:t xml:space="preserve">-0.097</w:t>
                  </w:r>
                </w:p>
              </w:tc>
              <w:tc>
                <w:tcPr/>
                <w:p>
                  <w:pPr>
                    <w:pStyle w:val="Compact"/>
                    <w:jc w:val="right"/>
                    <w:jc w:val="center"/>
                  </w:pPr>
                  <w:r>
                    <w:t xml:space="preserve">-0.010</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0.315</w:t>
                  </w:r>
                </w:p>
              </w:tc>
              <w:tc>
                <w:tcPr/>
                <w:p>
                  <w:pPr>
                    <w:pStyle w:val="Compact"/>
                    <w:jc w:val="right"/>
                    <w:jc w:val="center"/>
                  </w:pPr>
                  <w:r>
                    <w:t xml:space="preserve">0.027</w:t>
                  </w:r>
                </w:p>
              </w:tc>
              <w:tc>
                <w:tcPr/>
                <w:p>
                  <w:pPr>
                    <w:pStyle w:val="Compact"/>
                    <w:jc w:val="right"/>
                    <w:jc w:val="center"/>
                  </w:pPr>
                  <w:r>
                    <w:t xml:space="preserve">11.616</w:t>
                  </w:r>
                </w:p>
              </w:tc>
              <w:tc>
                <w:tcPr/>
                <w:p>
                  <w:pPr>
                    <w:pStyle w:val="Compact"/>
                    <w:jc w:val="right"/>
                    <w:jc w:val="center"/>
                  </w:pPr>
                  <w:r>
                    <w:t xml:space="preserve">0.000</w:t>
                  </w:r>
                </w:p>
              </w:tc>
              <w:tc>
                <w:tcPr/>
                <w:p>
                  <w:pPr>
                    <w:pStyle w:val="Compact"/>
                    <w:jc w:val="right"/>
                    <w:jc w:val="center"/>
                  </w:pPr>
                  <w:r>
                    <w:t xml:space="preserve">0.261</w:t>
                  </w:r>
                </w:p>
              </w:tc>
              <w:tc>
                <w:tcPr/>
                <w:p>
                  <w:pPr>
                    <w:pStyle w:val="Compact"/>
                    <w:jc w:val="right"/>
                    <w:jc w:val="center"/>
                  </w:pPr>
                  <w:r>
                    <w:t xml:space="preserve">0.368</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0.061</w:t>
                  </w:r>
                </w:p>
              </w:tc>
              <w:tc>
                <w:tcPr/>
                <w:p>
                  <w:pPr>
                    <w:pStyle w:val="Compact"/>
                    <w:jc w:val="right"/>
                    <w:jc w:val="center"/>
                  </w:pPr>
                  <w:r>
                    <w:t xml:space="preserve">0.024</w:t>
                  </w:r>
                </w:p>
              </w:tc>
              <w:tc>
                <w:tcPr/>
                <w:p>
                  <w:pPr>
                    <w:pStyle w:val="Compact"/>
                    <w:jc w:val="right"/>
                    <w:jc w:val="center"/>
                  </w:pPr>
                  <w:r>
                    <w:t xml:space="preserve">2.573</w:t>
                  </w:r>
                </w:p>
              </w:tc>
              <w:tc>
                <w:tcPr/>
                <w:p>
                  <w:pPr>
                    <w:pStyle w:val="Compact"/>
                    <w:jc w:val="right"/>
                    <w:jc w:val="center"/>
                  </w:pPr>
                  <w:r>
                    <w:t xml:space="preserve">0.010</w:t>
                  </w:r>
                </w:p>
              </w:tc>
              <w:tc>
                <w:tcPr/>
                <w:p>
                  <w:pPr>
                    <w:pStyle w:val="Compact"/>
                    <w:jc w:val="right"/>
                    <w:jc w:val="center"/>
                  </w:pPr>
                  <w:r>
                    <w:t xml:space="preserve">0.014</w:t>
                  </w:r>
                </w:p>
              </w:tc>
              <w:tc>
                <w:tcPr/>
                <w:p>
                  <w:pPr>
                    <w:pStyle w:val="Compact"/>
                    <w:jc w:val="right"/>
                    <w:jc w:val="center"/>
                  </w:pPr>
                  <w:r>
                    <w:t xml:space="preserve">0.107</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0.460</w:t>
                  </w:r>
                </w:p>
              </w:tc>
              <w:tc>
                <w:tcPr/>
                <w:p>
                  <w:pPr>
                    <w:pStyle w:val="Compact"/>
                    <w:jc w:val="right"/>
                    <w:jc w:val="center"/>
                  </w:pPr>
                  <w:r>
                    <w:t xml:space="preserve">0.042</w:t>
                  </w:r>
                </w:p>
              </w:tc>
              <w:tc>
                <w:tcPr/>
                <w:p>
                  <w:pPr>
                    <w:pStyle w:val="Compact"/>
                    <w:jc w:val="right"/>
                    <w:jc w:val="center"/>
                  </w:pPr>
                  <w:r>
                    <w:t xml:space="preserve">10.825</w:t>
                  </w:r>
                </w:p>
              </w:tc>
              <w:tc>
                <w:tcPr/>
                <w:p>
                  <w:pPr>
                    <w:pStyle w:val="Compact"/>
                    <w:jc w:val="right"/>
                    <w:jc w:val="center"/>
                  </w:pPr>
                  <w:r>
                    <w:t xml:space="preserve">0.000</w:t>
                  </w:r>
                </w:p>
              </w:tc>
              <w:tc>
                <w:tcPr/>
                <w:p>
                  <w:pPr>
                    <w:pStyle w:val="Compact"/>
                    <w:jc w:val="right"/>
                    <w:jc w:val="center"/>
                  </w:pPr>
                  <w:r>
                    <w:t xml:space="preserve">0.376</w:t>
                  </w:r>
                </w:p>
              </w:tc>
              <w:tc>
                <w:tcPr/>
                <w:p>
                  <w:pPr>
                    <w:pStyle w:val="Compact"/>
                    <w:jc w:val="right"/>
                    <w:jc w:val="center"/>
                  </w:pPr>
                  <w:r>
                    <w:t xml:space="preserve">0.543</w:t>
                  </w:r>
                </w:p>
              </w:tc>
            </w:tr>
          </w:tbl>
          <w:bookmarkEnd w:id="8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
        <w:r>
          <w:rPr>
            <w:rStyle w:val="Hyperlink"/>
          </w:rPr>
          <w:t xml:space="preserve">Table 4</w:t>
        </w:r>
      </w:hyperlink>
      <w:r>
        <w:t xml:space="preserve"> </w:t>
      </w:r>
      <w:r>
        <w:t xml:space="preserve">reports estimates from the baseline interaction. Because each measure of fan engagement is interacted with season, the reported coefficients for quality of play, outcome uncertainty, and loss aversion represent their estimated effects in the reference season (1997). The interaction terms, discussed below, capture how these relationships evolve over time. In the reference season,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p>
      <w:pPr>
        <w:pStyle w:val="BodyText"/>
      </w:pPr>
      <w:r>
        <w:t xml:space="preserve">Among the control variables, games featuring Caitlin Clark were associated with significantly higher attendance, whole A’ja Wilson’s presence was associated witha smaller but still significant increase in attendance.</w:t>
      </w:r>
      <w:r>
        <w:t xml:space="preserve"> </w:t>
      </w:r>
      <w:r>
        <w:t xml:space="preserve">Even for the smallest coefficient in</w:t>
      </w:r>
      <w:r>
        <w:t xml:space="preserve"> </w:t>
      </w:r>
      <w:hyperlink w:anchor="tbl-coefs">
        <w:r>
          <w:rPr>
            <w:rStyle w:val="Hyperlink"/>
          </w:rPr>
          <w:t xml:space="preserve">Table 4</w:t>
        </w:r>
      </w:hyperlink>
      <w:r>
        <w:t xml:space="preserve">, the expected attendance nearly doubles (i.e., is multiplied by</w:t>
      </w:r>
      <w:r>
        <w:t xml:space="preserve"> </w:t>
      </w:r>
      <m:oMath>
        <m:r>
          <m:rPr>
            <m:sty m:val="p"/>
          </m:rPr>
          <m:t>exp</m:t>
        </m:r>
        <m:r>
          <m:rPr>
            <m:sty m:val="p"/>
          </m:rPr>
          <m:t>(</m:t>
        </m:r>
        <m:r>
          <m:t>0.623</m:t>
        </m:r>
        <m:r>
          <m:rPr>
            <m:sty m:val="p"/>
          </m:rPr>
          <m:t>)</m:t>
        </m:r>
      </m:oMath>
      <w:r>
        <w:t xml:space="preserve"> </w:t>
      </w:r>
      <w:r>
        <w:t xml:space="preserve">= 1.58)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r>
        <w:t xml:space="preserve"> </w:t>
      </w:r>
      <w:r>
        <w:t xml:space="preserve">The corresponding change in attendance for A’ja Wilson—by most accounts a better player than Clark—is a multiple of 1.06.</w:t>
      </w:r>
    </w:p>
    <w:bookmarkStart w:id="92" w:name="cell-fig-attend-coefs"/>
    <w:tbl>
      <w:tblPr>
        <w:tblStyle w:val="Table"/>
        <w:tblW w:type="pct" w:w="5000"/>
        <w:tblLayout w:type="fixed"/>
        <w:tblLook w:firstRow="0" w:lastRow="0" w:firstColumn="0" w:lastColumn="0" w:noHBand="0" w:noVBand="0" w:val="0000"/>
      </w:tblPr>
      <w:tblGrid>
        <w:gridCol w:w="7920"/>
      </w:tblGrid>
      <w:tr>
        <w:tc>
          <w:tcPr/>
          <w:bookmarkStart w:id="91" w:name="fig-attend-coefs"/>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attend-coefs-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Relative magnitudes of coefficients in attendance model. Coefficients of interest are highlighted. Note the relatively large size of the coefficient associated with Caitlin Clark.</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p>
      <w:pPr>
        <w:pStyle w:val="BodyText"/>
      </w:pPr>
      <w:hyperlink w:anchor="tbl-glance">
        <w:r>
          <w:rPr>
            <w:rStyle w:val="Hyperlink"/>
          </w:rPr>
          <w:t xml:space="preserve">Table 5</w:t>
        </w:r>
      </w:hyperlink>
      <w:r>
        <w:t xml:space="preserve"> </w:t>
      </w:r>
      <w:r>
        <w:t xml:space="preserve">characterizes the model’s fit.</w:t>
      </w:r>
      <w:r>
        <w:t xml:space="preserve"> </w:t>
      </w:r>
      <w:r>
        <w:t xml:space="preserve">Our model explains</w:t>
      </w:r>
      <w:r>
        <w:t xml:space="preserve"> </w:t>
      </w:r>
      <m:oMath>
        <m:r>
          <m:t>70.2</m:t>
        </m:r>
      </m:oMath>
      <w:r>
        <w:t xml:space="preserve"> </w:t>
      </w:r>
      <w:r>
        <w:t xml:space="preserve">of the variance in game attendance, and the small difference between</w:t>
      </w:r>
      <w:r>
        <w:t xml:space="preserve"> </w:t>
      </w:r>
      <m:oMath>
        <m:sSup>
          <m:e>
            <m:r>
              <m:t>r</m:t>
            </m:r>
          </m:e>
          <m:sup>
            <m:r>
              <m:t>2</m:t>
            </m:r>
          </m:sup>
        </m:sSup>
      </m:oMath>
      <w:r>
        <w:t xml:space="preserve"> </w:t>
      </w:r>
      <w:r>
        <w:t xml:space="preserve">and</w:t>
      </w:r>
      <w:r>
        <w:t xml:space="preserve"> </w:t>
      </w:r>
      <m:oMath>
        <m:r>
          <m:t>a</m:t>
        </m:r>
        <m:r>
          <m:t>d</m:t>
        </m:r>
        <m:r>
          <m:t>j</m:t>
        </m:r>
        <m:r>
          <m:rPr>
            <m:sty m:val="p"/>
          </m:rPr>
          <m:t>.</m:t>
        </m:r>
        <m:sSup>
          <m:e>
            <m:r>
              <m:t>r</m:t>
            </m:r>
          </m:e>
          <m:sup>
            <m:r>
              <m:t>2</m:t>
            </m:r>
          </m:sup>
        </m:sSup>
      </m:oMath>
      <w:r>
        <w:t xml:space="preserve"> </w:t>
      </w:r>
      <w:r>
        <w:t xml:space="preserve">suggests that the complexity of our model is justified.</w:t>
      </w:r>
    </w:p>
    <w:tbl>
      <w:tblPr>
        <w:tblStyle w:val="Table"/>
        <w:tblW w:type="pct" w:w="5000"/>
        <w:tblLayout w:type="fixed"/>
        <w:tblLook w:firstRow="0" w:lastRow="0" w:firstColumn="0" w:lastColumn="0" w:noHBand="0" w:noVBand="0" w:val="0000"/>
      </w:tblPr>
      <w:tblGrid>
        <w:gridCol w:w="7920"/>
      </w:tblGrid>
      <w:tr>
        <w:tc>
          <w:tcPr/>
          <w:bookmarkStart w:id="93" w:name="tbl-glance"/>
          <w:p>
            <w:pPr>
              <w:jc w:val="center"/>
            </w:pPr>
            <w:pPr>
              <w:jc w:val="left"/>
              <w:spacing w:before="200"/>
              <w:pStyle w:val="ImageCaption"/>
            </w:pPr>
            <w:r>
              <w:t xml:space="preserve">Table 5: Model fit</w:t>
            </w:r>
          </w:p>
          <w:tbl>
            <w:tblPr>
              <w:tblStyle w:val="Table"/>
              <w:tblW w:type="pct" w:w="5000"/>
              <w:tblLayout w:type="fixed"/>
              <w:tblLook w:firstRow="1" w:lastRow="0" w:firstColumn="0" w:lastColumn="0" w:noHBand="0" w:noVBand="0" w:val="0020"/>
            </w:tblPr>
            <w:tblGrid>
              <w:gridCol w:w="440"/>
              <w:gridCol w:w="733"/>
              <w:gridCol w:w="1026"/>
              <w:gridCol w:w="440"/>
              <w:gridCol w:w="733"/>
              <w:gridCol w:w="586"/>
              <w:gridCol w:w="293"/>
              <w:gridCol w:w="586"/>
              <w:gridCol w:w="586"/>
              <w:gridCol w:w="586"/>
              <w:gridCol w:w="660"/>
              <w:gridCol w:w="880"/>
              <w:gridCol w:w="36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0.702</w:t>
                  </w:r>
                </w:p>
              </w:tc>
              <w:tc>
                <w:tcPr/>
                <w:p>
                  <w:pPr>
                    <w:pStyle w:val="Compact"/>
                    <w:jc w:val="right"/>
                    <w:jc w:val="center"/>
                  </w:pPr>
                  <w:r>
                    <w:t xml:space="preserve">0.691</w:t>
                  </w:r>
                </w:p>
              </w:tc>
              <w:tc>
                <w:tcPr/>
                <w:p>
                  <w:pPr>
                    <w:pStyle w:val="Compact"/>
                    <w:jc w:val="right"/>
                    <w:jc w:val="center"/>
                  </w:pPr>
                  <w:r>
                    <w:t xml:space="preserve">0.233</w:t>
                  </w:r>
                </w:p>
              </w:tc>
              <w:tc>
                <w:tcPr/>
                <w:p>
                  <w:pPr>
                    <w:pStyle w:val="Compact"/>
                    <w:jc w:val="right"/>
                    <w:jc w:val="center"/>
                  </w:pPr>
                  <w:r>
                    <w:t xml:space="preserve">66.734</w:t>
                  </w:r>
                </w:p>
              </w:tc>
              <w:tc>
                <w:tcPr/>
                <w:p>
                  <w:pPr>
                    <w:pStyle w:val="Compact"/>
                    <w:jc w:val="right"/>
                    <w:jc w:val="center"/>
                  </w:pPr>
                  <w:r>
                    <w:t xml:space="preserve">0</w:t>
                  </w:r>
                </w:p>
              </w:tc>
              <w:tc>
                <w:tcPr/>
                <w:p>
                  <w:pPr>
                    <w:pStyle w:val="Compact"/>
                    <w:jc w:val="right"/>
                    <w:jc w:val="center"/>
                  </w:pPr>
                  <w:r>
                    <w:t xml:space="preserve">172</w:t>
                  </w:r>
                </w:p>
              </w:tc>
              <w:tc>
                <w:tcPr/>
                <w:p>
                  <w:pPr>
                    <w:pStyle w:val="Compact"/>
                    <w:jc w:val="right"/>
                    <w:jc w:val="center"/>
                  </w:pPr>
                  <w:r>
                    <w:t xml:space="preserve">274.025</w:t>
                  </w:r>
                </w:p>
              </w:tc>
              <w:tc>
                <w:tcPr/>
                <w:p>
                  <w:pPr>
                    <w:pStyle w:val="Compact"/>
                    <w:jc w:val="right"/>
                    <w:jc w:val="center"/>
                  </w:pPr>
                  <w:r>
                    <w:t xml:space="preserve">-200.05</w:t>
                  </w:r>
                </w:p>
              </w:tc>
              <w:tc>
                <w:tcPr/>
                <w:p>
                  <w:pPr>
                    <w:pStyle w:val="Compact"/>
                    <w:jc w:val="right"/>
                    <w:jc w:val="center"/>
                  </w:pPr>
                  <w:r>
                    <w:t xml:space="preserve">935.879</w:t>
                  </w:r>
                </w:p>
              </w:tc>
              <w:tc>
                <w:tcPr/>
                <w:p>
                  <w:pPr>
                    <w:pStyle w:val="Compact"/>
                    <w:jc w:val="right"/>
                    <w:jc w:val="center"/>
                  </w:pPr>
                  <w:r>
                    <w:t xml:space="preserve">265.618</w:t>
                  </w:r>
                </w:p>
              </w:tc>
              <w:tc>
                <w:tcPr/>
                <w:p>
                  <w:pPr>
                    <w:pStyle w:val="Compact"/>
                    <w:jc w:val="right"/>
                    <w:jc w:val="center"/>
                  </w:pPr>
                  <w:r>
                    <w:t xml:space="preserve">4883</w:t>
                  </w:r>
                </w:p>
              </w:tc>
              <w:tc>
                <w:tcPr/>
                <w:p>
                  <w:pPr>
                    <w:pStyle w:val="Compact"/>
                    <w:jc w:val="right"/>
                    <w:jc w:val="center"/>
                  </w:pPr>
                  <w:r>
                    <w:t xml:space="preserve">5056</w:t>
                  </w:r>
                </w:p>
              </w:tc>
            </w:tr>
          </w:tbl>
          <w:bookmarkEnd w:id="9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1" w:lastRow="0" w:firstColumn="0" w:lastColumn="0" w:noHBand="0" w:noVBand="0" w:val="0020"/>
      </w:tblPr>
      <w:tblGrid>
        <w:gridCol w:w="3001"/>
        <w:gridCol w:w="1000"/>
        <w:gridCol w:w="1000"/>
        <w:gridCol w:w="750"/>
        <w:gridCol w:w="500"/>
        <w:gridCol w:w="1000"/>
        <w:gridCol w:w="666"/>
      </w:tblGrid>
      <w:tr>
        <w:trPr>
          <w:tblHeader w:val="on"/>
        </w:trPr>
        <w:tc>
          <w:tcPr/>
          <w:p>
            <w:pPr>
              <w:pStyle w:val="Compact"/>
              <w:jc w:val="left"/>
            </w:pPr>
            <w:r>
              <w:t xml:space="preserve">Model</w:t>
            </w:r>
          </w:p>
        </w:tc>
        <w:tc>
          <w:tcPr/>
          <w:p>
            <w:pPr>
              <w:pStyle w:val="Compact"/>
              <w:jc w:val="right"/>
            </w:pPr>
            <w:r>
              <w:t xml:space="preserve">Residual df</w:t>
            </w:r>
          </w:p>
        </w:tc>
        <w:tc>
          <w:tcPr/>
          <w:p>
            <w:pPr>
              <w:pStyle w:val="Compact"/>
              <w:jc w:val="right"/>
            </w:pPr>
            <w:r>
              <w:t xml:space="preserve">Residual SS</w:t>
            </w:r>
          </w:p>
        </w:tc>
        <w:tc>
          <w:tcPr/>
          <w:p>
            <w:pPr>
              <w:pStyle w:val="Compact"/>
              <w:jc w:val="right"/>
            </w:pPr>
            <w:r>
              <w:t xml:space="preserve">Df added</w:t>
            </w:r>
          </w:p>
        </w:tc>
        <w:tc>
          <w:tcPr/>
          <w:p>
            <w:pPr>
              <w:pStyle w:val="Compact"/>
              <w:jc w:val="right"/>
            </w:pPr>
            <w:r>
              <w:t xml:space="preserve">ΔSS</w:t>
            </w:r>
          </w:p>
        </w:tc>
        <w:tc>
          <w:tcPr/>
          <w:p>
            <w:pPr>
              <w:pStyle w:val="Compact"/>
              <w:jc w:val="right"/>
            </w:pPr>
            <w:r>
              <w:t xml:space="preserve">F-statistic</w:t>
            </w:r>
          </w:p>
        </w:tc>
        <w:tc>
          <w:tcPr/>
          <w:p>
            <w:pPr>
              <w:pStyle w:val="Compact"/>
              <w:jc w:val="right"/>
            </w:pPr>
            <w:r>
              <w:t xml:space="preserve">p-value</w:t>
            </w:r>
          </w:p>
        </w:tc>
      </w:tr>
      <w:tr>
        <w:tc>
          <w:tcPr/>
          <w:p>
            <w:pPr>
              <w:pStyle w:val="Compact"/>
              <w:jc w:val="left"/>
            </w:pPr>
            <w:r>
              <w:t xml:space="preserve">Baseline (no season-varying slopes)</w:t>
            </w:r>
          </w:p>
        </w:tc>
        <w:tc>
          <w:tcPr/>
          <w:p>
            <w:pPr>
              <w:pStyle w:val="Compact"/>
              <w:jc w:val="right"/>
            </w:pPr>
            <w:r>
              <w:t xml:space="preserve">4961</w:t>
            </w:r>
          </w:p>
        </w:tc>
        <w:tc>
          <w:tcPr/>
          <w:p>
            <w:pPr>
              <w:pStyle w:val="Compact"/>
              <w:jc w:val="right"/>
            </w:pPr>
            <w:r>
              <w:t xml:space="preserve">275.43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Season-varying slopes</w:t>
            </w:r>
          </w:p>
        </w:tc>
        <w:tc>
          <w:tcPr/>
          <w:p>
            <w:pPr>
              <w:pStyle w:val="Compact"/>
              <w:jc w:val="right"/>
            </w:pPr>
            <w:r>
              <w:t xml:space="preserve">4883</w:t>
            </w:r>
          </w:p>
        </w:tc>
        <w:tc>
          <w:tcPr/>
          <w:p>
            <w:pPr>
              <w:pStyle w:val="Compact"/>
              <w:jc w:val="right"/>
            </w:pPr>
            <w:r>
              <w:t xml:space="preserve">265.62</w:t>
            </w:r>
          </w:p>
        </w:tc>
        <w:tc>
          <w:tcPr/>
          <w:p>
            <w:pPr>
              <w:pStyle w:val="Compact"/>
              <w:jc w:val="right"/>
            </w:pPr>
            <w:r>
              <w:t xml:space="preserve">78</w:t>
            </w:r>
          </w:p>
        </w:tc>
        <w:tc>
          <w:tcPr/>
          <w:p>
            <w:pPr>
              <w:pStyle w:val="Compact"/>
              <w:jc w:val="right"/>
            </w:pPr>
            <w:r>
              <w:t xml:space="preserve">9.814</w:t>
            </w:r>
          </w:p>
        </w:tc>
        <w:tc>
          <w:tcPr/>
          <w:p>
            <w:pPr>
              <w:pStyle w:val="Compact"/>
              <w:jc w:val="right"/>
            </w:pPr>
            <w:r>
              <w:t xml:space="preserve">2.313</w:t>
            </w:r>
          </w:p>
        </w:tc>
        <w:tc>
          <w:tcPr/>
          <w:p>
            <w:pPr>
              <w:pStyle w:val="Compact"/>
              <w:jc w:val="right"/>
            </w:pPr>
            <w:r>
              <w:t xml:space="preserve">0</w:t>
            </w:r>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
        <w:r>
          <w:rPr>
            <w:rStyle w:val="Hyperlink"/>
          </w:rPr>
          <w:t xml:space="preserve">Table 8</w:t>
        </w:r>
      </w:hyperlink>
      <w:r>
        <w:t xml:space="preserve"> </w:t>
      </w:r>
      <w:r>
        <w:t xml:space="preserve">compares a model fit with constant slope coefficients to our model which allows each effect to vary by season. The interactions introduce 78 additional terms corresponding to season specific slopes to our model. The nested F-test rejects the null hypothesis that season-specific interactions are equal to zero, indicating that the effects of our fan engagement measures differ significantly across seasons.</w:t>
      </w:r>
    </w:p>
    <w:bookmarkEnd w:id="94"/>
    <w:bookmarkStart w:id="110" w:name="annual-effects"/>
    <w:p>
      <w:pPr>
        <w:pStyle w:val="Heading4"/>
      </w:pPr>
      <w:r>
        <w:t xml:space="preserve">4.1.2 Annual effects</w:t>
      </w:r>
    </w:p>
    <w:p>
      <w:pPr>
        <w:pStyle w:val="FirstParagraph"/>
      </w:pPr>
      <w:hyperlink w:anchor="fig-season-coefs">
        <w:r>
          <w:rPr>
            <w:rStyle w:val="Hyperlink"/>
          </w:rPr>
          <w:t xml:space="preserve">Figure 12</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99" w:name="cell-fig-season-coefs"/>
    <w:tbl>
      <w:tblPr>
        <w:tblStyle w:val="Table"/>
        <w:tblW w:type="pct" w:w="5000"/>
        <w:tblLayout w:type="fixed"/>
        <w:tblLook w:firstRow="0" w:lastRow="0" w:firstColumn="0" w:lastColumn="0" w:noHBand="0" w:noVBand="0" w:val="0000"/>
      </w:tblPr>
      <w:tblGrid>
        <w:gridCol w:w="7920"/>
      </w:tblGrid>
      <w:tr>
        <w:tc>
          <w:tcPr/>
          <w:bookmarkStart w:id="98" w:name="fig-season-coefs"/>
          <w:p>
            <w:pPr>
              <w:pStyle w:val="Compact"/>
              <w:jc w:val="center"/>
            </w:pPr>
            <w:r>
              <w:drawing>
                <wp:inline>
                  <wp:extent cx="4620126" cy="3696101"/>
                  <wp:effectExtent b="0" l="0" r="0" t="0"/>
                  <wp:docPr descr="" title="" id="96" name="Picture"/>
                  <a:graphic>
                    <a:graphicData uri="http://schemas.openxmlformats.org/drawingml/2006/picture">
                      <pic:pic>
                        <pic:nvPicPr>
                          <pic:cNvPr descr="index_files/figure-docx/fig-season-coefs-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fixed effects for natural logarithm of attendance models.</w:t>
            </w:r>
          </w:p>
          <w:bookmarkEnd w:id="9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9"/>
    <w:p>
      <w:pPr>
        <w:pStyle w:val="BodyText"/>
      </w:pPr>
      <w:hyperlink w:anchor="fig-season-slopes">
        <w:r>
          <w:rPr>
            <w:rStyle w:val="Hyperlink"/>
          </w:rPr>
          <w:t xml:space="preserve">Figure 13</w:t>
        </w:r>
      </w:hyperlink>
      <w:r>
        <w:t xml:space="preserve"> </w:t>
      </w:r>
      <w:r>
        <w:t xml:space="preserve">shows the season-by-season slopes on the interaction terms for our three hypotheses, relative to the 1997 reference season. Where the seasonal fixed effects convey broad attendance trends, the interaction term slopes identify trends in how fan behavior is driven by game outcomes. Where general attendance dropped off after the opening season, the extent to which fan behavior is influenced by game outcome seems to improve past the first season. In particular, the interaction coefficients on our loss aversion variable are positive and generally increasing, suggesting that the attendance response to home win probability has strengthened over the league’s history. The importance of outcome uncertainty and quality of play on attendance appears to be weaker and not substantially improved in recent years.</w:t>
      </w:r>
    </w:p>
    <w:bookmarkStart w:id="104" w:name="cell-fig-season-slopes"/>
    <w:tbl>
      <w:tblPr>
        <w:tblStyle w:val="Table"/>
        <w:tblW w:type="pct" w:w="5000"/>
        <w:tblLayout w:type="fixed"/>
        <w:tblLook w:firstRow="0" w:lastRow="0" w:firstColumn="0" w:lastColumn="0" w:noHBand="0" w:noVBand="0" w:val="0000"/>
      </w:tblPr>
      <w:tblGrid>
        <w:gridCol w:w="7920"/>
      </w:tblGrid>
      <w:tr>
        <w:tc>
          <w:tcPr/>
          <w:bookmarkStart w:id="103" w:name="fig-season-slopes"/>
          <w:p>
            <w:pPr>
              <w:pStyle w:val="Compact"/>
              <w:jc w:val="center"/>
            </w:pPr>
            <w:r>
              <w:drawing>
                <wp:inline>
                  <wp:extent cx="4620126" cy="3696101"/>
                  <wp:effectExtent b="0" l="0" r="0" t="0"/>
                  <wp:docPr descr="" title="" id="101" name="Picture"/>
                  <a:graphic>
                    <a:graphicData uri="http://schemas.openxmlformats.org/drawingml/2006/picture">
                      <pic:pic>
                        <pic:nvPicPr>
                          <pic:cNvPr descr="index_files/figure-docx/fig-season-slopes-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Estimated season-level changes in slopes for natural logarithm of attendance models.</w:t>
            </w:r>
          </w:p>
          <w:bookmarkEnd w:id="10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4"/>
    <w:bookmarkStart w:id="109" w:name="cell-fig-season-slopes-actual"/>
    <w:tbl>
      <w:tblPr>
        <w:tblStyle w:val="Table"/>
        <w:tblW w:type="pct" w:w="5000"/>
        <w:tblLayout w:type="fixed"/>
        <w:tblLook w:firstRow="0" w:lastRow="0" w:firstColumn="0" w:lastColumn="0" w:noHBand="0" w:noVBand="0" w:val="0000"/>
      </w:tblPr>
      <w:tblGrid>
        <w:gridCol w:w="7920"/>
      </w:tblGrid>
      <w:tr>
        <w:tc>
          <w:tcPr/>
          <w:bookmarkStart w:id="108" w:name="fig-season-slopes-actual"/>
          <w:p>
            <w:pPr>
              <w:pStyle w:val="Compact"/>
              <w:jc w:val="center"/>
            </w:pPr>
            <w:r>
              <w:drawing>
                <wp:inline>
                  <wp:extent cx="4620126" cy="3696101"/>
                  <wp:effectExtent b="0" l="0" r="0" t="0"/>
                  <wp:docPr descr="" title="" id="106" name="Picture"/>
                  <a:graphic>
                    <a:graphicData uri="http://schemas.openxmlformats.org/drawingml/2006/picture">
                      <pic:pic>
                        <pic:nvPicPr>
                          <pic:cNvPr descr="index_files/figure-docx/fig-season-slopes-actual-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season level slopes for attendance models</w:t>
            </w:r>
          </w:p>
          <w:bookmarkEnd w:id="10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9"/>
    <w:bookmarkEnd w:id="110"/>
    <w:bookmarkEnd w:id="111"/>
    <w:bookmarkStart w:id="131"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9" w:name="main-effects"/>
    <w:p>
      <w:pPr>
        <w:pStyle w:val="Heading4"/>
      </w:pPr>
      <w:r>
        <w:t xml:space="preserve">4.2.1 Main effects</w:t>
      </w:r>
    </w:p>
    <w:p>
      <w:pPr>
        <w:pStyle w:val="FirstParagraph"/>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12"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2.197</w:t>
                  </w:r>
                </w:p>
              </w:tc>
              <w:tc>
                <w:tcPr/>
                <w:p>
                  <w:pPr>
                    <w:pStyle w:val="Compact"/>
                    <w:jc w:val="right"/>
                    <w:jc w:val="center"/>
                  </w:pPr>
                  <w:r>
                    <w:t xml:space="preserve">0.218</w:t>
                  </w:r>
                </w:p>
              </w:tc>
              <w:tc>
                <w:tcPr/>
                <w:p>
                  <w:pPr>
                    <w:pStyle w:val="Compact"/>
                    <w:jc w:val="right"/>
                    <w:jc w:val="center"/>
                  </w:pPr>
                  <w:r>
                    <w:t xml:space="preserve">10.091</w:t>
                  </w:r>
                </w:p>
              </w:tc>
              <w:tc>
                <w:tcPr/>
                <w:p>
                  <w:pPr>
                    <w:pStyle w:val="Compact"/>
                    <w:jc w:val="right"/>
                    <w:jc w:val="center"/>
                  </w:pPr>
                  <w:r>
                    <w:t xml:space="preserve">0.000</w:t>
                  </w:r>
                </w:p>
              </w:tc>
              <w:tc>
                <w:tcPr/>
                <w:p>
                  <w:pPr>
                    <w:pStyle w:val="Compact"/>
                    <w:jc w:val="right"/>
                    <w:jc w:val="center"/>
                  </w:pPr>
                  <w:r>
                    <w:t xml:space="preserve">1.770</w:t>
                  </w:r>
                </w:p>
              </w:tc>
              <w:tc>
                <w:tcPr/>
                <w:p>
                  <w:pPr>
                    <w:pStyle w:val="Compact"/>
                    <w:jc w:val="right"/>
                    <w:jc w:val="center"/>
                  </w:pPr>
                  <w:r>
                    <w:t xml:space="preserve">2.624</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-0.170</w:t>
                  </w:r>
                </w:p>
              </w:tc>
              <w:tc>
                <w:tcPr/>
                <w:p>
                  <w:pPr>
                    <w:pStyle w:val="Compact"/>
                    <w:jc w:val="right"/>
                    <w:jc w:val="center"/>
                  </w:pPr>
                  <w:r>
                    <w:t xml:space="preserve">0.117</w:t>
                  </w:r>
                </w:p>
              </w:tc>
              <w:tc>
                <w:tcPr/>
                <w:p>
                  <w:pPr>
                    <w:pStyle w:val="Compact"/>
                    <w:jc w:val="right"/>
                    <w:jc w:val="center"/>
                  </w:pPr>
                  <w:r>
                    <w:t xml:space="preserve">-1.444</w:t>
                  </w:r>
                </w:p>
              </w:tc>
              <w:tc>
                <w:tcPr/>
                <w:p>
                  <w:pPr>
                    <w:pStyle w:val="Compact"/>
                    <w:jc w:val="right"/>
                    <w:jc w:val="center"/>
                  </w:pPr>
                  <w:r>
                    <w:t xml:space="preserve">0.149</w:t>
                  </w:r>
                </w:p>
              </w:tc>
              <w:tc>
                <w:tcPr/>
                <w:p>
                  <w:pPr>
                    <w:pStyle w:val="Compact"/>
                    <w:jc w:val="right"/>
                    <w:jc w:val="center"/>
                  </w:pPr>
                  <w:r>
                    <w:t xml:space="preserve">-0.400</w:t>
                  </w:r>
                </w:p>
              </w:tc>
              <w:tc>
                <w:tcPr/>
                <w:p>
                  <w:pPr>
                    <w:pStyle w:val="Compact"/>
                    <w:jc w:val="right"/>
                    <w:jc w:val="center"/>
                  </w:pPr>
                  <w:r>
                    <w:t xml:space="preserve">0.061</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0.111</w:t>
                  </w:r>
                </w:p>
              </w:tc>
              <w:tc>
                <w:tcPr/>
                <w:p>
                  <w:pPr>
                    <w:pStyle w:val="Compact"/>
                    <w:jc w:val="right"/>
                    <w:jc w:val="center"/>
                  </w:pPr>
                  <w:r>
                    <w:t xml:space="preserve">0.159</w:t>
                  </w:r>
                </w:p>
              </w:tc>
              <w:tc>
                <w:tcPr/>
                <w:p>
                  <w:pPr>
                    <w:pStyle w:val="Compact"/>
                    <w:jc w:val="right"/>
                    <w:jc w:val="center"/>
                  </w:pPr>
                  <w:r>
                    <w:t xml:space="preserve">0.701</w:t>
                  </w:r>
                </w:p>
              </w:tc>
              <w:tc>
                <w:tcPr/>
                <w:p>
                  <w:pPr>
                    <w:pStyle w:val="Compact"/>
                    <w:jc w:val="right"/>
                    <w:jc w:val="center"/>
                  </w:pPr>
                  <w:r>
                    <w:t xml:space="preserve">0.483</w:t>
                  </w:r>
                </w:p>
              </w:tc>
              <w:tc>
                <w:tcPr/>
                <w:p>
                  <w:pPr>
                    <w:pStyle w:val="Compact"/>
                    <w:jc w:val="right"/>
                    <w:jc w:val="center"/>
                  </w:pPr>
                  <w:r>
                    <w:t xml:space="preserve">-0.200</w:t>
                  </w:r>
                </w:p>
              </w:tc>
              <w:tc>
                <w:tcPr/>
                <w:p>
                  <w:pPr>
                    <w:pStyle w:val="Compact"/>
                    <w:jc w:val="right"/>
                    <w:jc w:val="center"/>
                  </w:pPr>
                  <w:r>
                    <w:t xml:space="preserve">0.423</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-0.123</w:t>
                  </w:r>
                </w:p>
              </w:tc>
              <w:tc>
                <w:tcPr/>
                <w:p>
                  <w:pPr>
                    <w:pStyle w:val="Compact"/>
                    <w:jc w:val="right"/>
                    <w:jc w:val="center"/>
                  </w:pPr>
                  <w:r>
                    <w:t xml:space="preserve">0.057</w:t>
                  </w:r>
                </w:p>
              </w:tc>
              <w:tc>
                <w:tcPr/>
                <w:p>
                  <w:pPr>
                    <w:pStyle w:val="Compact"/>
                    <w:jc w:val="right"/>
                    <w:jc w:val="center"/>
                  </w:pPr>
                  <w:r>
                    <w:t xml:space="preserve">-2.168</w:t>
                  </w:r>
                </w:p>
              </w:tc>
              <w:tc>
                <w:tcPr/>
                <w:p>
                  <w:pPr>
                    <w:pStyle w:val="Compact"/>
                    <w:jc w:val="right"/>
                    <w:jc w:val="center"/>
                  </w:pPr>
                  <w:r>
                    <w:t xml:space="preserve">0.030</w:t>
                  </w:r>
                </w:p>
              </w:tc>
              <w:tc>
                <w:tcPr/>
                <w:p>
                  <w:pPr>
                    <w:pStyle w:val="Compact"/>
                    <w:jc w:val="right"/>
                    <w:jc w:val="center"/>
                  </w:pPr>
                  <w:r>
                    <w:t xml:space="preserve">-0.234</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2.888</w:t>
                  </w:r>
                </w:p>
              </w:tc>
              <w:tc>
                <w:tcPr/>
                <w:p>
                  <w:pPr>
                    <w:pStyle w:val="Compact"/>
                    <w:jc w:val="right"/>
                    <w:jc w:val="center"/>
                  </w:pPr>
                  <w:r>
                    <w:t xml:space="preserve">0.118</w:t>
                  </w:r>
                </w:p>
              </w:tc>
              <w:tc>
                <w:tcPr/>
                <w:p>
                  <w:pPr>
                    <w:pStyle w:val="Compact"/>
                    <w:jc w:val="right"/>
                    <w:jc w:val="center"/>
                  </w:pPr>
                  <w:r>
                    <w:t xml:space="preserve">24.384</w:t>
                  </w:r>
                </w:p>
              </w:tc>
              <w:tc>
                <w:tcPr/>
                <w:p>
                  <w:pPr>
                    <w:pStyle w:val="Compact"/>
                    <w:jc w:val="right"/>
                    <w:jc w:val="center"/>
                  </w:pPr>
                  <w:r>
                    <w:t xml:space="preserve">0.000</w:t>
                  </w:r>
                </w:p>
              </w:tc>
              <w:tc>
                <w:tcPr/>
                <w:p>
                  <w:pPr>
                    <w:pStyle w:val="Compact"/>
                    <w:jc w:val="right"/>
                    <w:jc w:val="center"/>
                  </w:pPr>
                  <w:r>
                    <w:t xml:space="preserve">2.656</w:t>
                  </w:r>
                </w:p>
              </w:tc>
              <w:tc>
                <w:tcPr/>
                <w:p>
                  <w:pPr>
                    <w:pStyle w:val="Compact"/>
                    <w:jc w:val="right"/>
                    <w:jc w:val="center"/>
                  </w:pPr>
                  <w:r>
                    <w:t xml:space="preserve">3.121</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0.175</w:t>
                  </w:r>
                </w:p>
              </w:tc>
              <w:tc>
                <w:tcPr/>
                <w:p>
                  <w:pPr>
                    <w:pStyle w:val="Compact"/>
                    <w:jc w:val="right"/>
                    <w:jc w:val="center"/>
                  </w:pPr>
                  <w:r>
                    <w:t xml:space="preserve">0.054</w:t>
                  </w:r>
                </w:p>
              </w:tc>
              <w:tc>
                <w:tcPr/>
                <w:p>
                  <w:pPr>
                    <w:pStyle w:val="Compact"/>
                    <w:jc w:val="right"/>
                    <w:jc w:val="center"/>
                  </w:pPr>
                  <w:r>
                    <w:t xml:space="preserve">3.257</w:t>
                  </w:r>
                </w:p>
              </w:tc>
              <w:tc>
                <w:tcPr/>
                <w:p>
                  <w:pPr>
                    <w:pStyle w:val="Compact"/>
                    <w:jc w:val="right"/>
                    <w:jc w:val="center"/>
                  </w:pPr>
                  <w:r>
                    <w:t xml:space="preserve">0.001</w:t>
                  </w:r>
                </w:p>
              </w:tc>
              <w:tc>
                <w:tcPr/>
                <w:p>
                  <w:pPr>
                    <w:pStyle w:val="Compact"/>
                    <w:jc w:val="right"/>
                    <w:jc w:val="center"/>
                  </w:pPr>
                  <w:r>
                    <w:t xml:space="preserve">0.070</w:t>
                  </w:r>
                </w:p>
              </w:tc>
              <w:tc>
                <w:tcPr/>
                <w:p>
                  <w:pPr>
                    <w:pStyle w:val="Compact"/>
                    <w:jc w:val="right"/>
                    <w:jc w:val="center"/>
                  </w:pPr>
                  <w:r>
                    <w:t xml:space="preserve">0.280</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1.613</w:t>
                  </w:r>
                </w:p>
              </w:tc>
              <w:tc>
                <w:tcPr/>
                <w:p>
                  <w:pPr>
                    <w:pStyle w:val="Compact"/>
                    <w:jc w:val="right"/>
                    <w:jc w:val="center"/>
                  </w:pPr>
                  <w:r>
                    <w:t xml:space="preserve">0.212</w:t>
                  </w:r>
                </w:p>
              </w:tc>
              <w:tc>
                <w:tcPr/>
                <w:p>
                  <w:pPr>
                    <w:pStyle w:val="Compact"/>
                    <w:jc w:val="right"/>
                    <w:jc w:val="center"/>
                  </w:pPr>
                  <w:r>
                    <w:t xml:space="preserve">7.599</w:t>
                  </w:r>
                </w:p>
              </w:tc>
              <w:tc>
                <w:tcPr/>
                <w:p>
                  <w:pPr>
                    <w:pStyle w:val="Compact"/>
                    <w:jc w:val="right"/>
                    <w:jc w:val="center"/>
                  </w:pPr>
                  <w:r>
                    <w:t xml:space="preserve">0.000</w:t>
                  </w:r>
                </w:p>
              </w:tc>
              <w:tc>
                <w:tcPr/>
                <w:p>
                  <w:pPr>
                    <w:pStyle w:val="Compact"/>
                    <w:jc w:val="right"/>
                    <w:jc w:val="center"/>
                  </w:pPr>
                  <w:r>
                    <w:t xml:space="preserve">1.197</w:t>
                  </w:r>
                </w:p>
              </w:tc>
              <w:tc>
                <w:tcPr/>
                <w:p>
                  <w:pPr>
                    <w:pStyle w:val="Compact"/>
                    <w:jc w:val="right"/>
                    <w:jc w:val="center"/>
                  </w:pPr>
                  <w:r>
                    <w:t xml:space="preserve">2.030</w:t>
                  </w:r>
                </w:p>
              </w:tc>
            </w:tr>
          </w:tbl>
          <w:bookmarkEnd w:id="11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pct-coefs">
        <w:r>
          <w:rPr>
            <w:rStyle w:val="Hyperlink"/>
          </w:rPr>
          <w:t xml:space="preserve">Figure 15</w:t>
        </w:r>
      </w:hyperlink>
      <w:r>
        <w:t xml:space="preserve"> </w:t>
      </w:r>
      <w:r>
        <w:t xml:space="preserve">shows that…</w:t>
      </w:r>
    </w:p>
    <w:bookmarkStart w:id="117" w:name="cell-fig-pct-coefs"/>
    <w:tbl>
      <w:tblPr>
        <w:tblStyle w:val="Table"/>
        <w:tblW w:type="pct" w:w="5000"/>
        <w:tblLayout w:type="fixed"/>
        <w:tblLook w:firstRow="0" w:lastRow="0" w:firstColumn="0" w:lastColumn="0" w:noHBand="0" w:noVBand="0" w:val="0000"/>
      </w:tblPr>
      <w:tblGrid>
        <w:gridCol w:w="7920"/>
      </w:tblGrid>
      <w:tr>
        <w:tc>
          <w:tcPr/>
          <w:bookmarkStart w:id="116" w:name="fig-pct-coefs"/>
          <w:p>
            <w:pPr>
              <w:pStyle w:val="Compact"/>
              <w:jc w:val="center"/>
            </w:pPr>
            <w:r>
              <w:drawing>
                <wp:inline>
                  <wp:extent cx="4620126" cy="3696101"/>
                  <wp:effectExtent b="0" l="0" r="0" t="0"/>
                  <wp:docPr descr="" title="" id="114" name="Picture"/>
                  <a:graphic>
                    <a:graphicData uri="http://schemas.openxmlformats.org/drawingml/2006/picture">
                      <pic:pic>
                        <pic:nvPicPr>
                          <pic:cNvPr descr="index_files/figure-docx/fig-pct-coefs-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Relative magnitudes of coefficients in attendance model. Coefficients of interest are highlighted. Note the relatively large size of the coefficient associated with Caitlin Clark.</w:t>
            </w:r>
          </w:p>
          <w:bookmarkEnd w:id="1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7"/>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18"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860.2571</w:t>
                  </w:r>
                </w:p>
              </w:tc>
              <w:tc>
                <w:tcPr/>
                <w:p>
                  <w:pPr>
                    <w:pStyle w:val="Compact"/>
                    <w:jc w:val="right"/>
                    <w:jc w:val="center"/>
                  </w:pPr>
                  <w:r>
                    <w:t xml:space="preserve">5055</w:t>
                  </w:r>
                </w:p>
              </w:tc>
              <w:tc>
                <w:tcPr/>
                <w:p>
                  <w:pPr>
                    <w:pStyle w:val="Compact"/>
                    <w:jc w:val="right"/>
                    <w:jc w:val="center"/>
                  </w:pPr>
                  <w:r>
                    <w:t xml:space="preserve">-2705.892</w:t>
                  </w:r>
                </w:p>
              </w:tc>
              <w:tc>
                <w:tcPr/>
                <w:p>
                  <w:pPr>
                    <w:pStyle w:val="Compact"/>
                    <w:jc w:val="right"/>
                    <w:jc w:val="center"/>
                  </w:pPr>
                  <w:r>
                    <w:t xml:space="preserve">5757.784</w:t>
                  </w:r>
                </w:p>
              </w:tc>
              <w:tc>
                <w:tcPr/>
                <w:p>
                  <w:pPr>
                    <w:pStyle w:val="Compact"/>
                    <w:jc w:val="right"/>
                    <w:jc w:val="center"/>
                  </w:pPr>
                  <w:r>
                    <w:t xml:space="preserve">6887.185</w:t>
                  </w:r>
                </w:p>
              </w:tc>
              <w:tc>
                <w:tcPr/>
                <w:p>
                  <w:pPr>
                    <w:pStyle w:val="Compact"/>
                    <w:jc w:val="right"/>
                    <w:jc w:val="center"/>
                  </w:pPr>
                  <w:r>
                    <w:t xml:space="preserve">266.5421</w:t>
                  </w:r>
                </w:p>
              </w:tc>
              <w:tc>
                <w:tcPr/>
                <w:p>
                  <w:pPr>
                    <w:pStyle w:val="Compact"/>
                    <w:jc w:val="right"/>
                    <w:jc w:val="center"/>
                  </w:pPr>
                  <w:r>
                    <w:t xml:space="preserve">4883</w:t>
                  </w:r>
                </w:p>
              </w:tc>
              <w:tc>
                <w:tcPr/>
                <w:p>
                  <w:pPr>
                    <w:pStyle w:val="Compact"/>
                    <w:jc w:val="right"/>
                    <w:jc w:val="center"/>
                  </w:pPr>
                  <w:r>
                    <w:t xml:space="preserve">5056</w:t>
                  </w:r>
                </w:p>
              </w:tc>
            </w:tr>
          </w:tbl>
          <w:bookmarkEnd w:id="11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9</w:t>
        </w:r>
      </w:hyperlink>
      <w:r>
        <w:t xml:space="preserve"> </w:t>
      </w:r>
      <w:r>
        <w:t xml:space="preserve">shows the analysis of variance for the percentage of arena capacity models.</w:t>
      </w:r>
    </w:p>
    <w:bookmarkEnd w:id="119"/>
    <w:bookmarkStart w:id="130" w:name="annual-effects-1"/>
    <w:p>
      <w:pPr>
        <w:pStyle w:val="Heading4"/>
      </w:pPr>
      <w:r>
        <w:t xml:space="preserve">4.2.2 Annual effects</w:t>
      </w:r>
    </w:p>
    <w:p>
      <w:pPr>
        <w:pStyle w:val="FirstParagraph"/>
      </w:pPr>
      <w:hyperlink w:anchor="fig-season-coefs2">
        <w:r>
          <w:rPr>
            <w:rStyle w:val="Hyperlink"/>
          </w:rPr>
          <w:t xml:space="preserve">Figure 16</w:t>
        </w:r>
      </w:hyperlink>
      <w:r>
        <w:t xml:space="preserve"> </w:t>
      </w:r>
      <w:r>
        <w:t xml:space="preserve">displays the estimated effects of our fan engagement measures on attendance relative to the 1997 reference season. Similar to the overall attendance trends, these effects generally remained below their 1997 levels for much of the league’s history and only returned to comparable levels recently. In the most recent years of measurement, however, we see the league exceeding previously record-holding levels.</w:t>
      </w:r>
    </w:p>
    <w:bookmarkStart w:id="124" w:name="cell-fig-season-coefs2"/>
    <w:tbl>
      <w:tblPr>
        <w:tblStyle w:val="Table"/>
        <w:tblW w:type="pct" w:w="5000"/>
        <w:tblLayout w:type="fixed"/>
        <w:tblLook w:firstRow="0" w:lastRow="0" w:firstColumn="0" w:lastColumn="0" w:noHBand="0" w:noVBand="0" w:val="0000"/>
      </w:tblPr>
      <w:tblGrid>
        <w:gridCol w:w="7920"/>
      </w:tblGrid>
      <w:tr>
        <w:tc>
          <w:tcPr/>
          <w:bookmarkStart w:id="123" w:name="fig-season-coefs2"/>
          <w:p>
            <w:pPr>
              <w:pStyle w:val="Compact"/>
              <w:jc w:val="center"/>
            </w:pPr>
            <w:r>
              <w:drawing>
                <wp:inline>
                  <wp:extent cx="4620126" cy="3696101"/>
                  <wp:effectExtent b="0" l="0" r="0" t="0"/>
                  <wp:docPr descr="" title="" id="121" name="Picture"/>
                  <a:graphic>
                    <a:graphicData uri="http://schemas.openxmlformats.org/drawingml/2006/picture">
                      <pic:pic>
                        <pic:nvPicPr>
                          <pic:cNvPr descr="index_files/figure-docx/fig-season-coefs2-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season-level fixed effects for percentage of arena capacity models.</w:t>
            </w:r>
          </w:p>
          <w:bookmarkEnd w:id="12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4"/>
    <w:p>
      <w:pPr>
        <w:pStyle w:val="BodyText"/>
      </w:pPr>
      <w:hyperlink w:anchor="fig-season-slopes2">
        <w:r>
          <w:rPr>
            <w:rStyle w:val="Hyperlink"/>
          </w:rPr>
          <w:t xml:space="preserve">Figure 17</w:t>
        </w:r>
      </w:hyperlink>
      <w:r>
        <w:t xml:space="preserve"> </w:t>
      </w:r>
      <w:r>
        <w:t xml:space="preserve">shows that…??</w:t>
      </w:r>
    </w:p>
    <w:bookmarkStart w:id="129" w:name="cell-fig-season-slopes2"/>
    <w:tbl>
      <w:tblPr>
        <w:tblStyle w:val="Table"/>
        <w:tblW w:type="pct" w:w="5000"/>
        <w:tblLayout w:type="fixed"/>
        <w:tblLook w:firstRow="0" w:lastRow="0" w:firstColumn="0" w:lastColumn="0" w:noHBand="0" w:noVBand="0" w:val="0000"/>
      </w:tblPr>
      <w:tblGrid>
        <w:gridCol w:w="7920"/>
      </w:tblGrid>
      <w:tr>
        <w:tc>
          <w:tcPr/>
          <w:bookmarkStart w:id="128" w:name="fig-season-slopes2"/>
          <w:p>
            <w:pPr>
              <w:pStyle w:val="Compact"/>
              <w:jc w:val="center"/>
            </w:pPr>
            <w:r>
              <w:drawing>
                <wp:inline>
                  <wp:extent cx="4620126" cy="3696101"/>
                  <wp:effectExtent b="0" l="0" r="0" t="0"/>
                  <wp:docPr descr="" title="" id="126" name="Picture"/>
                  <a:graphic>
                    <a:graphicData uri="http://schemas.openxmlformats.org/drawingml/2006/picture">
                      <pic:pic>
                        <pic:nvPicPr>
                          <pic:cNvPr descr="index_files/figure-docx/fig-season-slopes2-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Estimated season-level changes in slopes for percentage of arena capacity models.</w:t>
            </w:r>
          </w:p>
          <w:bookmarkEnd w:id="12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9"/>
    <w:bookmarkEnd w:id="130"/>
    <w:bookmarkEnd w:id="131"/>
    <w:bookmarkEnd w:id="132"/>
    <w:bookmarkStart w:id="136" w:name="conclusion"/>
    <w:p>
      <w:pPr>
        <w:pStyle w:val="Heading2"/>
      </w:pPr>
      <w:r>
        <w:t xml:space="preserve">5 Conclusion</w:t>
      </w:r>
    </w:p>
    <w:bookmarkStart w:id="133"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133"/>
    <w:bookmarkStart w:id="134" w:name="future-work"/>
    <w:p>
      <w:pPr>
        <w:pStyle w:val="Heading3"/>
      </w:pPr>
      <w:r>
        <w:t xml:space="preserve">5.2 Future work</w:t>
      </w:r>
    </w:p>
    <w:bookmarkEnd w:id="134"/>
    <w:bookmarkStart w:id="135" w:name="discussion"/>
    <w:p>
      <w:pPr>
        <w:pStyle w:val="Heading3"/>
      </w:pPr>
      <w:r>
        <w:t xml:space="preserve">5.3 Discussion</w:t>
      </w:r>
    </w:p>
    <w:bookmarkEnd w:id="135"/>
    <w:bookmarkEnd w:id="136"/>
    <w:bookmarkStart w:id="184" w:name="references"/>
    <w:p>
      <w:pPr>
        <w:pStyle w:val="Heading2"/>
      </w:pPr>
      <w:r>
        <w:t xml:space="preserve">References</w:t>
      </w:r>
    </w:p>
    <w:bookmarkStart w:id="183" w:name="refs"/>
    <w:bookmarkStart w:id="138"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137">
        <w:r>
          <w:rPr>
            <w:rStyle w:val="Hyperlink"/>
          </w:rPr>
          <w:t xml:space="preserve">https://www.acrossthetimeline.com/wnba/attendance.html</w:t>
        </w:r>
      </w:hyperlink>
      <w:r>
        <w:t xml:space="preserve">.</w:t>
      </w:r>
      <w:r>
        <w:t xml:space="preserve"> </w:t>
      </w:r>
      <w:hyperlink r:id="rId137">
        <w:r>
          <w:rPr>
            <w:rStyle w:val="Hyperlink"/>
          </w:rPr>
          <w:t xml:space="preserve">https://www.acrossthetimeline.com/wnba/attendance.html</w:t>
        </w:r>
      </w:hyperlink>
      <w:r>
        <w:t xml:space="preserve">.</w:t>
      </w:r>
    </w:p>
    <w:bookmarkEnd w:id="138"/>
    <w:bookmarkStart w:id="140"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39">
        <w:r>
          <w:rPr>
            <w:rStyle w:val="Hyperlink"/>
          </w:rPr>
          <w:t xml:space="preserve">https://doi.org/10.1111/ecin.12061</w:t>
        </w:r>
      </w:hyperlink>
      <w:r>
        <w:t xml:space="preserve">.</w:t>
      </w:r>
    </w:p>
    <w:bookmarkEnd w:id="140"/>
    <w:bookmarkStart w:id="142"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41">
        <w:r>
          <w:rPr>
            <w:rStyle w:val="Hyperlink"/>
          </w:rPr>
          <w:t xml:space="preserve">https://doi.org/10.1177/155862350800300105</w:t>
        </w:r>
      </w:hyperlink>
      <w:r>
        <w:t xml:space="preserve">.</w:t>
      </w:r>
    </w:p>
    <w:bookmarkEnd w:id="142"/>
    <w:bookmarkStart w:id="144"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43">
        <w:r>
          <w:rPr>
            <w:rStyle w:val="Hyperlink"/>
          </w:rPr>
          <w:t xml:space="preserve">https://doi.org/10.1177/1527002508327387</w:t>
        </w:r>
      </w:hyperlink>
      <w:r>
        <w:t xml:space="preserve">.</w:t>
      </w:r>
    </w:p>
    <w:bookmarkEnd w:id="144"/>
    <w:bookmarkStart w:id="146"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45">
        <w:r>
          <w:rPr>
            <w:rStyle w:val="Hyperlink"/>
          </w:rPr>
          <w:t xml:space="preserve">https://doi.org/10.1123/jsm.2019-0404</w:t>
        </w:r>
      </w:hyperlink>
      <w:r>
        <w:t xml:space="preserve">.</w:t>
      </w:r>
    </w:p>
    <w:bookmarkEnd w:id="146"/>
    <w:bookmarkStart w:id="148"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47">
        <w:r>
          <w:rPr>
            <w:rStyle w:val="Hyperlink"/>
          </w:rPr>
          <w:t xml:space="preserve">https://doi.org/10.1123/jsm.16.4.311</w:t>
        </w:r>
      </w:hyperlink>
      <w:r>
        <w:t xml:space="preserve">.</w:t>
      </w:r>
    </w:p>
    <w:bookmarkEnd w:id="148"/>
    <w:bookmarkStart w:id="149"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49"/>
    <w:bookmarkStart w:id="151"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50">
        <w:r>
          <w:rPr>
            <w:rStyle w:val="Hyperlink"/>
          </w:rPr>
          <w:t xml:space="preserve">https://polecom.org/index.php/polecom/article/view/119</w:t>
        </w:r>
      </w:hyperlink>
      <w:r>
        <w:t xml:space="preserve">.</w:t>
      </w:r>
    </w:p>
    <w:bookmarkEnd w:id="151"/>
    <w:bookmarkStart w:id="153"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52">
        <w:r>
          <w:rPr>
            <w:rStyle w:val="Hyperlink"/>
          </w:rPr>
          <w:t xml:space="preserve">https://doi.org/10.32614/cran.package.wehoop</w:t>
        </w:r>
      </w:hyperlink>
      <w:r>
        <w:t xml:space="preserve">.</w:t>
      </w:r>
    </w:p>
    <w:bookmarkEnd w:id="153"/>
    <w:bookmarkStart w:id="155"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54">
        <w:r>
          <w:rPr>
            <w:rStyle w:val="Hyperlink"/>
          </w:rPr>
          <w:t xml:space="preserve">https://doi.org/10.1080/17430437.2017.1346620</w:t>
        </w:r>
      </w:hyperlink>
      <w:r>
        <w:t xml:space="preserve">.</w:t>
      </w:r>
    </w:p>
    <w:bookmarkEnd w:id="155"/>
    <w:bookmarkStart w:id="157"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56">
        <w:r>
          <w:rPr>
            <w:rStyle w:val="Hyperlink"/>
          </w:rPr>
          <w:t xml:space="preserve">https://doi.org/10.1002/mde.1308</w:t>
        </w:r>
      </w:hyperlink>
      <w:r>
        <w:t xml:space="preserve">.</w:t>
      </w:r>
    </w:p>
    <w:bookmarkEnd w:id="157"/>
    <w:bookmarkStart w:id="159"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58">
        <w:r>
          <w:rPr>
            <w:rStyle w:val="Hyperlink"/>
          </w:rPr>
          <w:t xml:space="preserve">https://doi.org/10.53728/2765-6500.1616</w:t>
        </w:r>
      </w:hyperlink>
      <w:r>
        <w:t xml:space="preserve">.</w:t>
      </w:r>
    </w:p>
    <w:bookmarkEnd w:id="159"/>
    <w:bookmarkStart w:id="161"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60">
        <w:r>
          <w:rPr>
            <w:rStyle w:val="Hyperlink"/>
          </w:rPr>
          <w:t xml:space="preserve">https://doi.org/10.1177/1527002509337212</w:t>
        </w:r>
      </w:hyperlink>
      <w:r>
        <w:t xml:space="preserve">.</w:t>
      </w:r>
    </w:p>
    <w:bookmarkEnd w:id="161"/>
    <w:bookmarkStart w:id="163"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62">
        <w:r>
          <w:rPr>
            <w:rStyle w:val="Hyperlink"/>
          </w:rPr>
          <w:t xml:space="preserve">https://doi.org/10.1080/14660970.2022.2037218</w:t>
        </w:r>
      </w:hyperlink>
      <w:r>
        <w:t xml:space="preserve">.</w:t>
      </w:r>
    </w:p>
    <w:bookmarkEnd w:id="163"/>
    <w:bookmarkStart w:id="165"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64">
        <w:r>
          <w:rPr>
            <w:rStyle w:val="Hyperlink"/>
          </w:rPr>
          <w:t xml:space="preserve">https://doi.org/10.1016/0304-4076(85)90158-7</w:t>
        </w:r>
      </w:hyperlink>
      <w:r>
        <w:t xml:space="preserve">.</w:t>
      </w:r>
    </w:p>
    <w:bookmarkEnd w:id="165"/>
    <w:bookmarkStart w:id="167"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66">
        <w:r>
          <w:rPr>
            <w:rStyle w:val="Hyperlink"/>
          </w:rPr>
          <w:t xml:space="preserve">https://www.jstor.org/stable/1924766</w:t>
        </w:r>
      </w:hyperlink>
      <w:r>
        <w:t xml:space="preserve">.</w:t>
      </w:r>
    </w:p>
    <w:bookmarkEnd w:id="167"/>
    <w:bookmarkStart w:id="168"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68"/>
    <w:bookmarkStart w:id="170"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69">
        <w:r>
          <w:rPr>
            <w:rStyle w:val="Hyperlink"/>
          </w:rPr>
          <w:t xml:space="preserve">https://doi.org/10.1002/(SICI)1099-1255(199611)11:6&lt;619::AID-JAE418&gt;3.0.CO;2-1</w:t>
        </w:r>
      </w:hyperlink>
      <w:r>
        <w:t xml:space="preserve">.</w:t>
      </w:r>
    </w:p>
    <w:bookmarkEnd w:id="170"/>
    <w:bookmarkStart w:id="172"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71">
        <w:r>
          <w:rPr>
            <w:rStyle w:val="Hyperlink"/>
          </w:rPr>
          <w:t xml:space="preserve">https://doi.org/10.3390/ijfs7010012</w:t>
        </w:r>
      </w:hyperlink>
      <w:r>
        <w:t xml:space="preserve">.</w:t>
      </w:r>
    </w:p>
    <w:bookmarkEnd w:id="172"/>
    <w:bookmarkStart w:id="173"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73"/>
    <w:bookmarkStart w:id="175"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74">
        <w:r>
          <w:rPr>
            <w:rStyle w:val="Hyperlink"/>
          </w:rPr>
          <w:t xml:space="preserve">https://doi.org/10.1080/00031305.2016.1154108</w:t>
        </w:r>
      </w:hyperlink>
      <w:r>
        <w:t xml:space="preserve">.</w:t>
      </w:r>
    </w:p>
    <w:bookmarkEnd w:id="175"/>
    <w:bookmarkStart w:id="177"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76">
        <w:r>
          <w:rPr>
            <w:rStyle w:val="Hyperlink"/>
          </w:rPr>
          <w:t xml:space="preserve">https://doi.org/10.1080/00031305.2019.1583913</w:t>
        </w:r>
      </w:hyperlink>
      <w:r>
        <w:t xml:space="preserve">.</w:t>
      </w:r>
    </w:p>
    <w:bookmarkEnd w:id="177"/>
    <w:bookmarkStart w:id="179"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78">
        <w:r>
          <w:rPr>
            <w:rStyle w:val="Hyperlink"/>
          </w:rPr>
          <w:t xml:space="preserve">https://accessecon.com/pubs/eb/2003/volume1/eb-03a10003a.pdf</w:t>
        </w:r>
      </w:hyperlink>
      <w:r>
        <w:t xml:space="preserve">.</w:t>
      </w:r>
    </w:p>
    <w:bookmarkEnd w:id="179"/>
    <w:bookmarkStart w:id="181" w:name="ref-wnba2024recordseason"/>
    <w:p>
      <w:pPr>
        <w:pStyle w:val="Bibliography"/>
      </w:pPr>
      <w:r>
        <w:t xml:space="preserve">WNBA. 2024.</w:t>
      </w:r>
      <w:r>
        <w:t xml:space="preserve"> </w:t>
      </w:r>
      <w:r>
        <w:t xml:space="preserve">“WNBA Delivers Record‑setting 2024 Season.”</w:t>
      </w:r>
      <w:r>
        <w:t xml:space="preserve"> </w:t>
      </w:r>
      <w:hyperlink r:id="rId180">
        <w:r>
          <w:rPr>
            <w:rStyle w:val="Hyperlink"/>
          </w:rPr>
          <w:t xml:space="preserve">https://www.wnba.com/news/wnba-delivers-record-setting-2024-season</w:t>
        </w:r>
      </w:hyperlink>
      <w:r>
        <w:t xml:space="preserve">.</w:t>
      </w:r>
    </w:p>
    <w:bookmarkEnd w:id="181"/>
    <w:bookmarkStart w:id="182"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82"/>
    <w:bookmarkEnd w:id="183"/>
    <w:bookmarkEnd w:id="184"/>
    <w:bookmarkStart w:id="207" w:name="appendix"/>
    <w:p>
      <w:pPr>
        <w:pStyle w:val="Heading2"/>
      </w:pPr>
      <w:r>
        <w:t xml:space="preserve">6 Appendix</w:t>
      </w:r>
    </w:p>
    <w:bookmarkStart w:id="187"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85" w:name="tbl-anova"/>
          <w:p>
            <w:pPr>
              <w:jc w:val="center"/>
            </w:pPr>
            <w:pPr>
              <w:jc w:val="left"/>
              <w:spacing w:before="200"/>
              <w:pStyle w:val="ImageCaption"/>
            </w:pPr>
            <w:r>
              <w:t xml:space="preserve">Table 8: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72"/>
              <w:gridCol w:w="3912"/>
              <w:gridCol w:w="286"/>
              <w:gridCol w:w="763"/>
              <w:gridCol w:w="667"/>
              <w:gridCol w:w="954"/>
              <w:gridCol w:w="76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2.981</w:t>
                  </w:r>
                </w:p>
              </w:tc>
              <w:tc>
                <w:tcPr/>
                <w:p>
                  <w:pPr>
                    <w:pStyle w:val="Compact"/>
                    <w:jc w:val="right"/>
                    <w:jc w:val="center"/>
                  </w:pPr>
                  <w:r>
                    <w:t xml:space="preserve">2.981</w:t>
                  </w:r>
                </w:p>
              </w:tc>
              <w:tc>
                <w:tcPr/>
                <w:p>
                  <w:pPr>
                    <w:pStyle w:val="Compact"/>
                    <w:jc w:val="right"/>
                    <w:jc w:val="center"/>
                  </w:pPr>
                  <w:r>
                    <w:t xml:space="preserve">54.793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5.733</w:t>
                  </w:r>
                </w:p>
              </w:tc>
              <w:tc>
                <w:tcPr/>
                <w:p>
                  <w:pPr>
                    <w:pStyle w:val="Compact"/>
                    <w:jc w:val="right"/>
                    <w:jc w:val="center"/>
                  </w:pPr>
                  <w:r>
                    <w:t xml:space="preserve">5.733</w:t>
                  </w:r>
                </w:p>
              </w:tc>
              <w:tc>
                <w:tcPr/>
                <w:p>
                  <w:pPr>
                    <w:pStyle w:val="Compact"/>
                    <w:jc w:val="right"/>
                    <w:jc w:val="center"/>
                  </w:pPr>
                  <w:r>
                    <w:t xml:space="preserve">105.392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0.051</w:t>
                  </w:r>
                </w:p>
              </w:tc>
              <w:tc>
                <w:tcPr/>
                <w:p>
                  <w:pPr>
                    <w:pStyle w:val="Compact"/>
                    <w:jc w:val="right"/>
                    <w:jc w:val="center"/>
                  </w:pPr>
                  <w:r>
                    <w:t xml:space="preserve">0.822</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0.511</w:t>
                  </w:r>
                </w:p>
              </w:tc>
              <w:tc>
                <w:tcPr/>
                <w:p>
                  <w:pPr>
                    <w:pStyle w:val="Compact"/>
                    <w:jc w:val="right"/>
                    <w:jc w:val="center"/>
                  </w:pPr>
                  <w:r>
                    <w:t xml:space="preserve">0.511</w:t>
                  </w:r>
                </w:p>
              </w:tc>
              <w:tc>
                <w:tcPr/>
                <w:p>
                  <w:pPr>
                    <w:pStyle w:val="Compact"/>
                    <w:jc w:val="right"/>
                    <w:jc w:val="center"/>
                  </w:pPr>
                  <w:r>
                    <w:t xml:space="preserve">9.399</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13.501</w:t>
                  </w:r>
                </w:p>
              </w:tc>
              <w:tc>
                <w:tcPr/>
                <w:p>
                  <w:pPr>
                    <w:pStyle w:val="Compact"/>
                    <w:jc w:val="right"/>
                    <w:jc w:val="center"/>
                  </w:pPr>
                  <w:r>
                    <w:t xml:space="preserve">13.501</w:t>
                  </w:r>
                </w:p>
              </w:tc>
              <w:tc>
                <w:tcPr/>
                <w:p>
                  <w:pPr>
                    <w:pStyle w:val="Compact"/>
                    <w:jc w:val="right"/>
                    <w:jc w:val="center"/>
                  </w:pPr>
                  <w:r>
                    <w:t xml:space="preserve">248.198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8.349</w:t>
                  </w:r>
                </w:p>
              </w:tc>
              <w:tc>
                <w:tcPr/>
                <w:p>
                  <w:pPr>
                    <w:pStyle w:val="Compact"/>
                    <w:jc w:val="right"/>
                    <w:jc w:val="center"/>
                  </w:pPr>
                  <w:r>
                    <w:t xml:space="preserve">8.349</w:t>
                  </w:r>
                </w:p>
              </w:tc>
              <w:tc>
                <w:tcPr/>
                <w:p>
                  <w:pPr>
                    <w:pStyle w:val="Compact"/>
                    <w:jc w:val="right"/>
                    <w:jc w:val="center"/>
                  </w:pPr>
                  <w:r>
                    <w:t xml:space="preserve">153.486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12.297</w:t>
                  </w:r>
                </w:p>
              </w:tc>
              <w:tc>
                <w:tcPr/>
                <w:p>
                  <w:pPr>
                    <w:pStyle w:val="Compact"/>
                    <w:jc w:val="right"/>
                    <w:jc w:val="center"/>
                  </w:pPr>
                  <w:r>
                    <w:t xml:space="preserve">3.074</w:t>
                  </w:r>
                </w:p>
              </w:tc>
              <w:tc>
                <w:tcPr/>
                <w:p>
                  <w:pPr>
                    <w:pStyle w:val="Compact"/>
                    <w:jc w:val="right"/>
                    <w:jc w:val="center"/>
                  </w:pPr>
                  <w:r>
                    <w:t xml:space="preserve">56.518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14.302</w:t>
                  </w:r>
                </w:p>
              </w:tc>
              <w:tc>
                <w:tcPr/>
                <w:p>
                  <w:pPr>
                    <w:pStyle w:val="Compact"/>
                    <w:jc w:val="right"/>
                    <w:jc w:val="center"/>
                  </w:pPr>
                  <w:r>
                    <w:t xml:space="preserve">2.384</w:t>
                  </w:r>
                </w:p>
              </w:tc>
              <w:tc>
                <w:tcPr/>
                <w:p>
                  <w:pPr>
                    <w:pStyle w:val="Compact"/>
                    <w:jc w:val="right"/>
                    <w:jc w:val="center"/>
                  </w:pPr>
                  <w:r>
                    <w:t xml:space="preserve">43.820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4.638</w:t>
                  </w:r>
                </w:p>
              </w:tc>
              <w:tc>
                <w:tcPr/>
                <w:p>
                  <w:pPr>
                    <w:pStyle w:val="Compact"/>
                    <w:jc w:val="right"/>
                    <w:jc w:val="center"/>
                  </w:pPr>
                  <w:r>
                    <w:t xml:space="preserve">0.178</w:t>
                  </w:r>
                </w:p>
              </w:tc>
              <w:tc>
                <w:tcPr/>
                <w:p>
                  <w:pPr>
                    <w:pStyle w:val="Compact"/>
                    <w:jc w:val="right"/>
                    <w:jc w:val="center"/>
                  </w:pPr>
                  <w:r>
                    <w:t xml:space="preserve">3.280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2.373</w:t>
                  </w:r>
                </w:p>
              </w:tc>
              <w:tc>
                <w:tcPr/>
                <w:p>
                  <w:pPr>
                    <w:pStyle w:val="Compact"/>
                    <w:jc w:val="right"/>
                    <w:jc w:val="center"/>
                  </w:pPr>
                  <w:r>
                    <w:t xml:space="preserve">0.091</w:t>
                  </w:r>
                </w:p>
              </w:tc>
              <w:tc>
                <w:tcPr/>
                <w:p>
                  <w:pPr>
                    <w:pStyle w:val="Compact"/>
                    <w:jc w:val="right"/>
                    <w:jc w:val="center"/>
                  </w:pPr>
                  <w:r>
                    <w:t xml:space="preserve">1.678</w:t>
                  </w:r>
                </w:p>
              </w:tc>
              <w:tc>
                <w:tcPr/>
                <w:p>
                  <w:pPr>
                    <w:pStyle w:val="Compact"/>
                    <w:jc w:val="right"/>
                    <w:jc w:val="center"/>
                  </w:pPr>
                  <w:r>
                    <w:t xml:space="preserve">0.017</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2.803</w:t>
                  </w:r>
                </w:p>
              </w:tc>
              <w:tc>
                <w:tcPr/>
                <w:p>
                  <w:pPr>
                    <w:pStyle w:val="Compact"/>
                    <w:jc w:val="right"/>
                    <w:jc w:val="center"/>
                  </w:pPr>
                  <w:r>
                    <w:t xml:space="preserve">0.108</w:t>
                  </w:r>
                </w:p>
              </w:tc>
              <w:tc>
                <w:tcPr/>
                <w:p>
                  <w:pPr>
                    <w:pStyle w:val="Compact"/>
                    <w:jc w:val="right"/>
                    <w:jc w:val="center"/>
                  </w:pPr>
                  <w:r>
                    <w:t xml:space="preserve">1.982</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154.156</w:t>
                  </w:r>
                </w:p>
              </w:tc>
              <w:tc>
                <w:tcPr/>
                <w:p>
                  <w:pPr>
                    <w:pStyle w:val="Compact"/>
                    <w:jc w:val="right"/>
                    <w:jc w:val="center"/>
                  </w:pPr>
                  <w:r>
                    <w:t xml:space="preserve">5.929</w:t>
                  </w:r>
                </w:p>
              </w:tc>
              <w:tc>
                <w:tcPr/>
                <w:p>
                  <w:pPr>
                    <w:pStyle w:val="Compact"/>
                    <w:jc w:val="right"/>
                    <w:jc w:val="center"/>
                  </w:pPr>
                  <w:r>
                    <w:t xml:space="preserve">108.997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402.731</w:t>
                  </w:r>
                </w:p>
              </w:tc>
              <w:tc>
                <w:tcPr/>
                <w:p>
                  <w:pPr>
                    <w:pStyle w:val="Compact"/>
                    <w:jc w:val="right"/>
                    <w:jc w:val="center"/>
                  </w:pPr>
                  <w:r>
                    <w:t xml:space="preserve">7.745</w:t>
                  </w:r>
                </w:p>
              </w:tc>
              <w:tc>
                <w:tcPr/>
                <w:p>
                  <w:pPr>
                    <w:pStyle w:val="Compact"/>
                    <w:jc w:val="right"/>
                    <w:jc w:val="center"/>
                  </w:pPr>
                  <w:r>
                    <w:t xml:space="preserve">142.378</w:t>
                  </w:r>
                </w:p>
              </w:tc>
              <w:tc>
                <w:tcPr/>
                <w:p>
                  <w:pPr>
                    <w:pStyle w:val="Compact"/>
                    <w:jc w:val="right"/>
                    <w:jc w:val="center"/>
                  </w:pPr>
                  <w:r>
                    <w:t xml:space="preserve">0.000</w:t>
                  </w:r>
                </w:p>
              </w:tc>
            </w:tr>
          </w:tbl>
          <w:bookmarkEnd w:id="18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tbl-anova2"/>
          <w:p>
            <w:pPr>
              <w:jc w:val="center"/>
            </w:pPr>
            <w:pPr>
              <w:jc w:val="left"/>
              <w:spacing w:before="200"/>
              <w:pStyle w:val="ImageCaption"/>
            </w:pPr>
            <w:r>
              <w:t xml:space="preserve">Table 9: Analysis of variance for terms in models for percentage of arena capacity.</w:t>
            </w:r>
          </w:p>
          <w:tbl>
            <w:tblPr>
              <w:tblStyle w:val="Table"/>
              <w:tblW w:type="pct" w:w="5000"/>
              <w:tblLayout w:type="fixed"/>
              <w:tblLook w:firstRow="1" w:lastRow="0" w:firstColumn="0" w:lastColumn="0" w:noHBand="0" w:noVBand="0" w:val="0020"/>
            </w:tblPr>
            <w:tblGrid>
              <w:gridCol w:w="489"/>
              <w:gridCol w:w="3347"/>
              <w:gridCol w:w="244"/>
              <w:gridCol w:w="734"/>
              <w:gridCol w:w="979"/>
              <w:gridCol w:w="1469"/>
              <w:gridCol w:w="65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2.816</w:t>
                  </w:r>
                </w:p>
              </w:tc>
              <w:tc>
                <w:tcPr/>
                <w:p>
                  <w:pPr>
                    <w:pStyle w:val="Compact"/>
                    <w:jc w:val="right"/>
                    <w:jc w:val="center"/>
                  </w:pPr>
                  <w:r>
                    <w:t xml:space="preserve">5052</w:t>
                  </w:r>
                </w:p>
              </w:tc>
              <w:tc>
                <w:tcPr/>
                <w:p>
                  <w:pPr>
                    <w:pStyle w:val="Compact"/>
                    <w:jc w:val="right"/>
                    <w:jc w:val="center"/>
                  </w:pPr>
                  <w:r>
                    <w:t xml:space="preserve">852.070</w:t>
                  </w:r>
                </w:p>
              </w:tc>
              <w:tc>
                <w:tcPr/>
                <w:p>
                  <w:pPr>
                    <w:pStyle w:val="Compact"/>
                    <w:jc w:val="right"/>
                    <w:jc w:val="center"/>
                  </w:pPr>
                  <w:r>
                    <w:t xml:space="preserve">0.093</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5.353</w:t>
                  </w:r>
                </w:p>
              </w:tc>
              <w:tc>
                <w:tcPr/>
                <w:p>
                  <w:pPr>
                    <w:pStyle w:val="Compact"/>
                    <w:jc w:val="right"/>
                    <w:jc w:val="center"/>
                  </w:pPr>
                  <w:r>
                    <w:t xml:space="preserve">5054</w:t>
                  </w:r>
                </w:p>
              </w:tc>
              <w:tc>
                <w:tcPr/>
                <w:p>
                  <w:pPr>
                    <w:pStyle w:val="Compact"/>
                    <w:jc w:val="right"/>
                    <w:jc w:val="center"/>
                  </w:pPr>
                  <w:r>
                    <w:t xml:space="preserve">854.904</w:t>
                  </w:r>
                </w:p>
              </w:tc>
              <w:tc>
                <w:tcPr/>
                <w:p>
                  <w:pPr>
                    <w:pStyle w:val="Compact"/>
                    <w:jc w:val="right"/>
                    <w:jc w:val="center"/>
                  </w:pPr>
                  <w:r>
                    <w:t xml:space="preserve">0.021</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0.017</w:t>
                  </w:r>
                </w:p>
              </w:tc>
              <w:tc>
                <w:tcPr/>
                <w:p>
                  <w:pPr>
                    <w:pStyle w:val="Compact"/>
                    <w:jc w:val="right"/>
                    <w:jc w:val="center"/>
                  </w:pPr>
                  <w:r>
                    <w:t xml:space="preserve">5053</w:t>
                  </w:r>
                </w:p>
              </w:tc>
              <w:tc>
                <w:tcPr/>
                <w:p>
                  <w:pPr>
                    <w:pStyle w:val="Compact"/>
                    <w:jc w:val="right"/>
                    <w:jc w:val="center"/>
                  </w:pPr>
                  <w:r>
                    <w:t xml:space="preserve">854.887</w:t>
                  </w:r>
                </w:p>
              </w:tc>
              <w:tc>
                <w:tcPr/>
                <w:p>
                  <w:pPr>
                    <w:pStyle w:val="Compact"/>
                    <w:jc w:val="right"/>
                    <w:jc w:val="center"/>
                  </w:pPr>
                  <w:r>
                    <w:t xml:space="preserve">0.895</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0.835</w:t>
                  </w:r>
                </w:p>
              </w:tc>
              <w:tc>
                <w:tcPr/>
                <w:p>
                  <w:pPr>
                    <w:pStyle w:val="Compact"/>
                    <w:jc w:val="right"/>
                    <w:jc w:val="center"/>
                  </w:pPr>
                  <w:r>
                    <w:t xml:space="preserve">4962</w:t>
                  </w:r>
                </w:p>
              </w:tc>
              <w:tc>
                <w:tcPr/>
                <w:p>
                  <w:pPr>
                    <w:pStyle w:val="Compact"/>
                    <w:jc w:val="right"/>
                    <w:jc w:val="center"/>
                  </w:pPr>
                  <w:r>
                    <w:t xml:space="preserve">317.728</w:t>
                  </w:r>
                </w:p>
              </w:tc>
              <w:tc>
                <w:tcPr/>
                <w:p>
                  <w:pPr>
                    <w:pStyle w:val="Compact"/>
                    <w:jc w:val="right"/>
                    <w:jc w:val="center"/>
                  </w:pPr>
                  <w:r>
                    <w:t xml:space="preserve">0.361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22.492</w:t>
                  </w:r>
                </w:p>
              </w:tc>
              <w:tc>
                <w:tcPr/>
                <w:p>
                  <w:pPr>
                    <w:pStyle w:val="Compact"/>
                    <w:jc w:val="right"/>
                    <w:jc w:val="center"/>
                  </w:pPr>
                  <w:r>
                    <w:t xml:space="preserve">4963</w:t>
                  </w:r>
                </w:p>
              </w:tc>
              <w:tc>
                <w:tcPr/>
                <w:p>
                  <w:pPr>
                    <w:pStyle w:val="Compact"/>
                    <w:jc w:val="right"/>
                    <w:jc w:val="center"/>
                  </w:pPr>
                  <w:r>
                    <w:t xml:space="preserve">318.563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41.696</w:t>
                  </w:r>
                </w:p>
              </w:tc>
              <w:tc>
                <w:tcPr/>
                <w:p>
                  <w:pPr>
                    <w:pStyle w:val="Compact"/>
                    <w:jc w:val="right"/>
                    <w:jc w:val="center"/>
                  </w:pPr>
                  <w:r>
                    <w:t xml:space="preserve">4961</w:t>
                  </w:r>
                </w:p>
              </w:tc>
              <w:tc>
                <w:tcPr/>
                <w:p>
                  <w:pPr>
                    <w:pStyle w:val="Compact"/>
                    <w:jc w:val="right"/>
                    <w:jc w:val="center"/>
                  </w:pPr>
                  <w:r>
                    <w:t xml:space="preserve">276.032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11.663</w:t>
                  </w:r>
                </w:p>
              </w:tc>
              <w:tc>
                <w:tcPr/>
                <w:p>
                  <w:pPr>
                    <w:pStyle w:val="Compact"/>
                    <w:jc w:val="right"/>
                    <w:jc w:val="center"/>
                  </w:pPr>
                  <w:r>
                    <w:t xml:space="preserve">5016</w:t>
                  </w:r>
                </w:p>
              </w:tc>
              <w:tc>
                <w:tcPr/>
                <w:p>
                  <w:pPr>
                    <w:pStyle w:val="Compact"/>
                    <w:jc w:val="right"/>
                    <w:jc w:val="center"/>
                  </w:pPr>
                  <w:r>
                    <w:t xml:space="preserve">611.101</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15.055</w:t>
                  </w:r>
                </w:p>
              </w:tc>
              <w:tc>
                <w:tcPr/>
                <w:p>
                  <w:pPr>
                    <w:pStyle w:val="Compact"/>
                    <w:jc w:val="right"/>
                    <w:jc w:val="center"/>
                  </w:pPr>
                  <w:r>
                    <w:t xml:space="preserve">5020</w:t>
                  </w:r>
                </w:p>
              </w:tc>
              <w:tc>
                <w:tcPr/>
                <w:p>
                  <w:pPr>
                    <w:pStyle w:val="Compact"/>
                    <w:jc w:val="right"/>
                    <w:jc w:val="center"/>
                  </w:pPr>
                  <w:r>
                    <w:t xml:space="preserve">622.764</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4.302</w:t>
                  </w:r>
                </w:p>
              </w:tc>
              <w:tc>
                <w:tcPr/>
                <w:p>
                  <w:pPr>
                    <w:pStyle w:val="Compact"/>
                    <w:jc w:val="right"/>
                    <w:jc w:val="center"/>
                  </w:pPr>
                  <w:r>
                    <w:t xml:space="preserve">4883</w:t>
                  </w:r>
                </w:p>
              </w:tc>
              <w:tc>
                <w:tcPr/>
                <w:p>
                  <w:pPr>
                    <w:pStyle w:val="Compact"/>
                    <w:jc w:val="right"/>
                    <w:jc w:val="center"/>
                  </w:pPr>
                  <w:r>
                    <w:t xml:space="preserve">266.542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2.500</w:t>
                  </w:r>
                </w:p>
              </w:tc>
              <w:tc>
                <w:tcPr/>
                <w:p>
                  <w:pPr>
                    <w:pStyle w:val="Compact"/>
                    <w:jc w:val="right"/>
                    <w:jc w:val="center"/>
                  </w:pPr>
                  <w:r>
                    <w:t xml:space="preserve">4935</w:t>
                  </w:r>
                </w:p>
              </w:tc>
              <w:tc>
                <w:tcPr/>
                <w:p>
                  <w:pPr>
                    <w:pStyle w:val="Compact"/>
                    <w:jc w:val="right"/>
                    <w:jc w:val="center"/>
                  </w:pPr>
                  <w:r>
                    <w:t xml:space="preserve">273.532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2.688</w:t>
                  </w:r>
                </w:p>
              </w:tc>
              <w:tc>
                <w:tcPr/>
                <w:p>
                  <w:pPr>
                    <w:pStyle w:val="Compact"/>
                    <w:jc w:val="right"/>
                    <w:jc w:val="center"/>
                  </w:pPr>
                  <w:r>
                    <w:t xml:space="preserve">4909</w:t>
                  </w:r>
                </w:p>
              </w:tc>
              <w:tc>
                <w:tcPr/>
                <w:p>
                  <w:pPr>
                    <w:pStyle w:val="Compact"/>
                    <w:jc w:val="right"/>
                    <w:jc w:val="center"/>
                  </w:pPr>
                  <w:r>
                    <w:t xml:space="preserve">270.844</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214.251</w:t>
                  </w:r>
                </w:p>
              </w:tc>
              <w:tc>
                <w:tcPr/>
                <w:p>
                  <w:pPr>
                    <w:pStyle w:val="Compact"/>
                    <w:jc w:val="right"/>
                    <w:jc w:val="center"/>
                  </w:pPr>
                  <w:r>
                    <w:t xml:space="preserve">5026</w:t>
                  </w:r>
                </w:p>
              </w:tc>
              <w:tc>
                <w:tcPr/>
                <w:p>
                  <w:pPr>
                    <w:pStyle w:val="Compact"/>
                    <w:jc w:val="right"/>
                    <w:jc w:val="center"/>
                  </w:pPr>
                  <w:r>
                    <w:t xml:space="preserve">637.819</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270.047</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0.000</w:t>
                  </w:r>
                </w:p>
              </w:tc>
            </w:tr>
          </w:tbl>
          <w:bookmarkEnd w:id="18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7"/>
    <w:bookmarkStart w:id="205" w:name="sec-resid-attend"/>
    <w:p>
      <w:pPr>
        <w:pStyle w:val="Heading3"/>
      </w:pPr>
      <w:r>
        <w:t xml:space="preserve">6.2 Residual analysis of attendance models</w:t>
      </w:r>
    </w:p>
    <w:bookmarkStart w:id="204"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91" w:name="fig-resids-1"/>
                <w:p>
                  <w:pPr>
                    <w:pStyle w:val="Compact"/>
                    <w:jc w:val="center"/>
                    <w:jc w:val="left"/>
                  </w:pPr>
                  <w:r>
                    <w:drawing>
                      <wp:inline>
                        <wp:extent cx="4620126" cy="3696101"/>
                        <wp:effectExtent b="0" l="0" r="0" t="0"/>
                        <wp:docPr descr="" title="" id="189" name="Picture"/>
                        <a:graphic>
                          <a:graphicData uri="http://schemas.openxmlformats.org/drawingml/2006/picture">
                            <pic:pic>
                              <pic:nvPicPr>
                                <pic:cNvPr descr="index_files/figure-docx/fig-resids-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9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5" w:name="fig-resids-2"/>
                <w:p>
                  <w:pPr>
                    <w:pStyle w:val="Compact"/>
                    <w:jc w:val="center"/>
                    <w:jc w:val="left"/>
                  </w:pPr>
                  <w:r>
                    <w:drawing>
                      <wp:inline>
                        <wp:extent cx="4620126" cy="3696101"/>
                        <wp:effectExtent b="0" l="0" r="0" t="0"/>
                        <wp:docPr descr="" title="" id="193" name="Picture"/>
                        <a:graphic>
                          <a:graphicData uri="http://schemas.openxmlformats.org/drawingml/2006/picture">
                            <pic:pic>
                              <pic:nvPicPr>
                                <pic:cNvPr descr="index_files/figure-docx/fig-resids-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95"/>
              </w:tc>
            </w:tr>
          </w:tbl>
          <w:p/>
        </w:tc>
        <w:tc>
          <w:tcPr/>
          <w:tbl>
            <w:tblPr>
              <w:tblStyle w:val="Table"/>
              <w:tblW w:type="pct" w:w="5000"/>
              <w:tblLayout w:type="fixed"/>
              <w:tblLook w:firstRow="0" w:lastRow="0" w:firstColumn="0" w:lastColumn="0" w:noHBand="0" w:noVBand="0" w:val="0000"/>
            </w:tblPr>
            <w:tblGrid>
              <w:gridCol w:w="7920"/>
            </w:tblGrid>
            <w:tr>
              <w:tc>
                <w:tcPr/>
                <w:bookmarkStart w:id="199" w:name="fig-resids-3"/>
                <w:p>
                  <w:pPr>
                    <w:pStyle w:val="Compact"/>
                    <w:jc w:val="center"/>
                    <w:jc w:val="left"/>
                  </w:pPr>
                  <w:r>
                    <w:drawing>
                      <wp:inline>
                        <wp:extent cx="4620126" cy="3696101"/>
                        <wp:effectExtent b="0" l="0" r="0" t="0"/>
                        <wp:docPr descr="" title="" id="197" name="Picture"/>
                        <a:graphic>
                          <a:graphicData uri="http://schemas.openxmlformats.org/drawingml/2006/picture">
                            <pic:pic>
                              <pic:nvPicPr>
                                <pic:cNvPr descr="index_files/figure-docx/fig-resids-3.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9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203" w:name="fig-resids-4"/>
                <w:p>
                  <w:pPr>
                    <w:pStyle w:val="Compact"/>
                    <w:jc w:val="center"/>
                    <w:jc w:val="left"/>
                  </w:pPr>
                  <w:r>
                    <w:drawing>
                      <wp:inline>
                        <wp:extent cx="4620126" cy="3696101"/>
                        <wp:effectExtent b="0" l="0" r="0" t="0"/>
                        <wp:docPr descr="" title="" id="201" name="Picture"/>
                        <a:graphic>
                          <a:graphicData uri="http://schemas.openxmlformats.org/drawingml/2006/picture">
                            <pic:pic>
                              <pic:nvPicPr>
                                <pic:cNvPr descr="index_files/figure-docx/fig-resids-4.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 Residual plots for models.</w:t>
                  </w:r>
                </w:p>
                <w:bookmarkEnd w:id="203"/>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204"/>
    <w:bookmarkEnd w:id="205"/>
    <w:bookmarkStart w:id="206" w:name="tobit-modeling"/>
    <w:p>
      <w:pPr>
        <w:pStyle w:val="Heading3"/>
      </w:pPr>
      <w:r>
        <w:t xml:space="preserve">6.3 Tobit modeling</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20">
    <w:p>
      <w:pPr>
        <w:pStyle w:val="FootnoteText"/>
      </w:pPr>
      <w:r>
        <w:rPr>
          <w:rStyle w:val="FootnoteReference"/>
        </w:rPr>
        <w:footnoteRef/>
      </w:r>
      <w:r>
        <w:t xml:space="preserve"> </w:t>
      </w:r>
      <w:r>
        <w:t xml:space="preserve">These modifications reduced the number of 1’s in the sample, which was useful mathematically during modeling.</w:t>
      </w:r>
    </w:p>
  </w:footnote>
  <w:footnote w:id="81">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95" Target="media/rId95.png" /><Relationship Type="http://schemas.openxmlformats.org/officeDocument/2006/relationships/image" Id="rId120" Target="media/rId120.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178" Target="https://accessecon.com/pubs/eb/2003/volume1/eb-03a10003a.pdf" TargetMode="External" /><Relationship Type="http://schemas.openxmlformats.org/officeDocument/2006/relationships/hyperlink" Id="rId169" Target="https://doi.org/10.1002/(SICI)1099-1255(199611)11:6&lt;619::AID-JAE418&gt;3.0.CO;2-1" TargetMode="External" /><Relationship Type="http://schemas.openxmlformats.org/officeDocument/2006/relationships/hyperlink" Id="rId156" Target="https://doi.org/10.1002/mde.1308" TargetMode="External" /><Relationship Type="http://schemas.openxmlformats.org/officeDocument/2006/relationships/hyperlink" Id="rId164" Target="https://doi.org/10.1016/0304-4076(85)90158-7" TargetMode="External" /><Relationship Type="http://schemas.openxmlformats.org/officeDocument/2006/relationships/hyperlink" Id="rId174" Target="https://doi.org/10.1080/00031305.2016.1154108" TargetMode="External" /><Relationship Type="http://schemas.openxmlformats.org/officeDocument/2006/relationships/hyperlink" Id="rId176" Target="https://doi.org/10.1080/00031305.2019.1583913" TargetMode="External" /><Relationship Type="http://schemas.openxmlformats.org/officeDocument/2006/relationships/hyperlink" Id="rId162" Target="https://doi.org/10.1080/14660970.2022.2037218" TargetMode="External" /><Relationship Type="http://schemas.openxmlformats.org/officeDocument/2006/relationships/hyperlink" Id="rId154" Target="https://doi.org/10.1080/17430437.2017.1346620" TargetMode="External" /><Relationship Type="http://schemas.openxmlformats.org/officeDocument/2006/relationships/hyperlink" Id="rId139" Target="https://doi.org/10.1111/ecin.12061" TargetMode="External" /><Relationship Type="http://schemas.openxmlformats.org/officeDocument/2006/relationships/hyperlink" Id="rId147" Target="https://doi.org/10.1123/jsm.16.4.311" TargetMode="External" /><Relationship Type="http://schemas.openxmlformats.org/officeDocument/2006/relationships/hyperlink" Id="rId145" Target="https://doi.org/10.1123/jsm.2019-0404" TargetMode="External" /><Relationship Type="http://schemas.openxmlformats.org/officeDocument/2006/relationships/hyperlink" Id="rId143" Target="https://doi.org/10.1177/1527002508327387" TargetMode="External" /><Relationship Type="http://schemas.openxmlformats.org/officeDocument/2006/relationships/hyperlink" Id="rId160" Target="https://doi.org/10.1177/1527002509337212" TargetMode="External" /><Relationship Type="http://schemas.openxmlformats.org/officeDocument/2006/relationships/hyperlink" Id="rId141" Target="https://doi.org/10.1177/155862350800300105" TargetMode="External" /><Relationship Type="http://schemas.openxmlformats.org/officeDocument/2006/relationships/hyperlink" Id="rId152" Target="https://doi.org/10.32614/cran.package.wehoop" TargetMode="External" /><Relationship Type="http://schemas.openxmlformats.org/officeDocument/2006/relationships/hyperlink" Id="rId171" Target="https://doi.org/10.3390/ijfs7010012" TargetMode="External" /><Relationship Type="http://schemas.openxmlformats.org/officeDocument/2006/relationships/hyperlink" Id="rId158"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50" Target="https://polecom.org/index.php/polecom/article/view/119" TargetMode="External" /><Relationship Type="http://schemas.openxmlformats.org/officeDocument/2006/relationships/hyperlink" Id="rId137" Target="https://www.acrossthetimeline.com/wnba/attendance.html" TargetMode="External" /><Relationship Type="http://schemas.openxmlformats.org/officeDocument/2006/relationships/hyperlink" Id="rId166" Target="https://www.jstor.org/stable/1924766" TargetMode="External" /><Relationship Type="http://schemas.openxmlformats.org/officeDocument/2006/relationships/hyperlink" Id="rId180"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78" Target="https://accessecon.com/pubs/eb/2003/volume1/eb-03a10003a.pdf" TargetMode="External" /><Relationship Type="http://schemas.openxmlformats.org/officeDocument/2006/relationships/hyperlink" Id="rId169" Target="https://doi.org/10.1002/(SICI)1099-1255(199611)11:6&lt;619::AID-JAE418&gt;3.0.CO;2-1" TargetMode="External" /><Relationship Type="http://schemas.openxmlformats.org/officeDocument/2006/relationships/hyperlink" Id="rId156" Target="https://doi.org/10.1002/mde.1308" TargetMode="External" /><Relationship Type="http://schemas.openxmlformats.org/officeDocument/2006/relationships/hyperlink" Id="rId164" Target="https://doi.org/10.1016/0304-4076(85)90158-7" TargetMode="External" /><Relationship Type="http://schemas.openxmlformats.org/officeDocument/2006/relationships/hyperlink" Id="rId174" Target="https://doi.org/10.1080/00031305.2016.1154108" TargetMode="External" /><Relationship Type="http://schemas.openxmlformats.org/officeDocument/2006/relationships/hyperlink" Id="rId176" Target="https://doi.org/10.1080/00031305.2019.1583913" TargetMode="External" /><Relationship Type="http://schemas.openxmlformats.org/officeDocument/2006/relationships/hyperlink" Id="rId162" Target="https://doi.org/10.1080/14660970.2022.2037218" TargetMode="External" /><Relationship Type="http://schemas.openxmlformats.org/officeDocument/2006/relationships/hyperlink" Id="rId154" Target="https://doi.org/10.1080/17430437.2017.1346620" TargetMode="External" /><Relationship Type="http://schemas.openxmlformats.org/officeDocument/2006/relationships/hyperlink" Id="rId139" Target="https://doi.org/10.1111/ecin.12061" TargetMode="External" /><Relationship Type="http://schemas.openxmlformats.org/officeDocument/2006/relationships/hyperlink" Id="rId147" Target="https://doi.org/10.1123/jsm.16.4.311" TargetMode="External" /><Relationship Type="http://schemas.openxmlformats.org/officeDocument/2006/relationships/hyperlink" Id="rId145" Target="https://doi.org/10.1123/jsm.2019-0404" TargetMode="External" /><Relationship Type="http://schemas.openxmlformats.org/officeDocument/2006/relationships/hyperlink" Id="rId143" Target="https://doi.org/10.1177/1527002508327387" TargetMode="External" /><Relationship Type="http://schemas.openxmlformats.org/officeDocument/2006/relationships/hyperlink" Id="rId160" Target="https://doi.org/10.1177/1527002509337212" TargetMode="External" /><Relationship Type="http://schemas.openxmlformats.org/officeDocument/2006/relationships/hyperlink" Id="rId141" Target="https://doi.org/10.1177/155862350800300105" TargetMode="External" /><Relationship Type="http://schemas.openxmlformats.org/officeDocument/2006/relationships/hyperlink" Id="rId152" Target="https://doi.org/10.32614/cran.package.wehoop" TargetMode="External" /><Relationship Type="http://schemas.openxmlformats.org/officeDocument/2006/relationships/hyperlink" Id="rId171" Target="https://doi.org/10.3390/ijfs7010012" TargetMode="External" /><Relationship Type="http://schemas.openxmlformats.org/officeDocument/2006/relationships/hyperlink" Id="rId158"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50" Target="https://polecom.org/index.php/polecom/article/view/119" TargetMode="External" /><Relationship Type="http://schemas.openxmlformats.org/officeDocument/2006/relationships/hyperlink" Id="rId137" Target="https://www.acrossthetimeline.com/wnba/attendance.html" TargetMode="External" /><Relationship Type="http://schemas.openxmlformats.org/officeDocument/2006/relationships/hyperlink" Id="rId166" Target="https://www.jstor.org/stable/1924766" TargetMode="External" /><Relationship Type="http://schemas.openxmlformats.org/officeDocument/2006/relationships/hyperlink" Id="rId180"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2026-06-28T21:42:53Z</dcterms:created>
  <dcterms:modified xsi:type="dcterms:W3CDTF">2026-06-28T21:42:53Z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2026-06-28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