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30.png" ContentType="image/png"/>
  <Override PartName="/word/media/rId15.png" ContentType="image/png"/>
  <Override PartName="/word/media/rId51.png" ContentType="image/png"/>
  <Override PartName="/word/media/rId56.png" ContentType="image/png"/>
  <Override PartName="/word/media/rId35.png" ContentType="image/png"/>
  <Override PartName="/word/media/rId21.png" ContentType="image/png"/>
  <Override PartName="/word/media/rId157.png" ContentType="image/png"/>
  <Override PartName="/word/media/rId193.png" ContentType="image/png"/>
  <Override PartName="/word/media/rId197.png" ContentType="image/png"/>
  <Override PartName="/word/media/rId201.png" ContentType="image/png"/>
  <Override PartName="/word/media/rId161.png" ContentType="image/png"/>
  <Override PartName="/word/media/rId165.png" ContentType="image/png"/>
  <Override PartName="/word/media/rId169.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70.png" ContentType="image/png"/>
  <Override PartName="/word/media/rId83.png" ContentType="image/png"/>
  <Override PartName="/word/media/rId75.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2026-06-08</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0"/>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Start w:id="11" w:name="still-to-be-incorporated-in-intro"/>
    <w:p>
      <w:pPr>
        <w:pStyle w:val="Heading3"/>
      </w:pPr>
      <w:r>
        <w:t xml:space="preserve">1.1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1"/>
    <w:bookmarkEnd w:id="12"/>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 Attendance data was unavailable for only 152 games, while (due to the COVID-19 pandemic) 2 games (accurately) recorded attendance of 0. Because the arenas WNBA teams play in vary widely in size- the New York Liberty alone have called both the Barclays Center (17,732 seat capacity) and the Westchester County Center (2,300 seat capacity) home in recent years- we contextualize raw attendance numbers with manually collected arena capacities.</w:t>
      </w:r>
      <w:r>
        <w:rPr>
          <w:rStyle w:val="FootnoteReference"/>
        </w:rPr>
        <w:footnoteReference w:id="13"/>
      </w:r>
      <w:r>
        <w:t xml:space="preserve"> </w:t>
      </w:r>
      <w:r>
        <w:t xml:space="preserve">While team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2011-07-18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2023-08-19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Michelob ULTRA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2010-06-08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Philips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1999-06-17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2018-08-19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Mandalay Bay Events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6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6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5</w:t>
        </w:r>
      </w:hyperlink>
      <w:r>
        <w:t xml:space="preserve"> </w:t>
      </w:r>
      <w:r>
        <w:t xml:space="preserve">and</w:t>
      </w:r>
      <w:r>
        <w:t xml:space="preserve"> </w:t>
      </w:r>
      <w:hyperlink w:anchor="fig-attend-f2">
        <w:r>
          <w:rPr>
            <w:rStyle w:val="Hyperlink"/>
          </w:rPr>
          <w:t xml:space="preserve">Figure 6</w:t>
        </w:r>
      </w:hyperlink>
      <w:r>
        <w:t xml:space="preserve">, respectively, with the corresponding plots for percentage of arena capacity shown in</w:t>
      </w:r>
      <w:r>
        <w:t xml:space="preserve"> </w:t>
      </w:r>
      <w:hyperlink w:anchor="fig-capacity-f1">
        <w:r>
          <w:rPr>
            <w:rStyle w:val="Hyperlink"/>
          </w:rPr>
          <w:t xml:space="preserve">Figure 7</w:t>
        </w:r>
      </w:hyperlink>
      <w:r>
        <w:t xml:space="preserve"> </w:t>
      </w:r>
      <w:r>
        <w:t xml:space="preserve">and</w:t>
      </w:r>
      <w:r>
        <w:t xml:space="preserve"> </w:t>
      </w:r>
      <w:hyperlink w:anchor="fig-capacity-f2">
        <w:r>
          <w:rPr>
            <w:rStyle w:val="Hyperlink"/>
          </w:rPr>
          <w:t xml:space="preserve">Figure 8</w:t>
        </w:r>
      </w:hyperlink>
      <w:r>
        <w:t xml:space="preserve">.</w:t>
      </w:r>
    </w:p>
    <w:bookmarkStart w:id="45" w:name="cell-fig-attend-f1"/>
    <w:tbl>
      <w:tblPr>
        <w:tblStyle w:val="Table"/>
        <w:tblW w:type="pct" w:w="5000"/>
        <w:tblLayout w:type="fixed"/>
        <w:tblLook w:firstRow="0" w:lastRow="0" w:firstColumn="0" w:lastColumn="0" w:noHBand="0" w:noVBand="0" w:val="0000"/>
      </w:tblPr>
      <w:tblGrid>
        <w:gridCol w:w="7920"/>
      </w:tblGrid>
      <w:tr>
        <w:tc>
          <w:tcPr/>
          <w:bookmarkStart w:id="44" w:name="fig-attend-f1"/>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attend-f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asd</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Start w:id="50" w:name="cell-fig-attend-f2"/>
    <w:tbl>
      <w:tblPr>
        <w:tblStyle w:val="Table"/>
        <w:tblW w:type="pct" w:w="5000"/>
        <w:tblLayout w:type="fixed"/>
        <w:tblLook w:firstRow="0" w:lastRow="0" w:firstColumn="0" w:lastColumn="0" w:noHBand="0" w:noVBand="0" w:val="0000"/>
      </w:tblPr>
      <w:tblGrid>
        <w:gridCol w:w="7920"/>
      </w:tblGrid>
      <w:tr>
        <w:tc>
          <w:tcPr/>
          <w:bookmarkStart w:id="49" w:name="fig-attend-f2"/>
          <w:p>
            <w:pPr>
              <w:pStyle w:val="Compact"/>
              <w:jc w:val="center"/>
            </w:pPr>
            <w:r>
              <w:drawing>
                <wp:inline>
                  <wp:extent cx="4620126" cy="3696101"/>
                  <wp:effectExtent b="0" l="0" r="0" t="0"/>
                  <wp:docPr descr="" title="" id="47" name="Picture"/>
                  <a:graphic>
                    <a:graphicData uri="http://schemas.openxmlformats.org/drawingml/2006/picture">
                      <pic:pic>
                        <pic:nvPicPr>
                          <pic:cNvPr descr="index_files/figure-docx/fig-attend-f2-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asd</w:t>
            </w:r>
          </w:p>
          <w:bookmarkEnd w:id="4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0"/>
    <w:bookmarkStart w:id="55" w:name="cell-fig-capacity-f1"/>
    <w:tbl>
      <w:tblPr>
        <w:tblStyle w:val="Table"/>
        <w:tblW w:type="pct" w:w="5000"/>
        <w:tblLayout w:type="fixed"/>
        <w:tblLook w:firstRow="0" w:lastRow="0" w:firstColumn="0" w:lastColumn="0" w:noHBand="0" w:noVBand="0" w:val="0000"/>
      </w:tblPr>
      <w:tblGrid>
        <w:gridCol w:w="7920"/>
      </w:tblGrid>
      <w:tr>
        <w:tc>
          <w:tcPr/>
          <w:bookmarkStart w:id="54" w:name="fig-capacity-f1"/>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capacity-f1-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asd</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Start w:id="60" w:name="cell-fig-capacity-f2"/>
    <w:tbl>
      <w:tblPr>
        <w:tblStyle w:val="Table"/>
        <w:tblW w:type="pct" w:w="5000"/>
        <w:tblLayout w:type="fixed"/>
        <w:tblLook w:firstRow="0" w:lastRow="0" w:firstColumn="0" w:lastColumn="0" w:noHBand="0" w:noVBand="0" w:val="0000"/>
      </w:tblPr>
      <w:tblGrid>
        <w:gridCol w:w="7920"/>
      </w:tblGrid>
      <w:tr>
        <w:tc>
          <w:tcPr/>
          <w:bookmarkStart w:id="59" w:name="fig-capacity-f2"/>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capacity-f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6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62"/>
      </w:r>
      <w:r>
        <w:t xml:space="preserve">.</w:t>
      </w:r>
      <w:r>
        <w:t xml:space="preserve"> </w:t>
      </w:r>
      <w:r>
        <w:t xml:space="preserve">Finally, we include an indicator based on whether Caitlin Clark played more than 0 minutes in the game (</w:t>
      </w:r>
      <m:oMath>
        <m:r>
          <m:t>χ</m:t>
        </m:r>
      </m:oMath>
      <w:r>
        <w:t xml:space="preserve">).</w:t>
      </w:r>
    </w:p>
    <w:bookmarkEnd w:id="63"/>
    <w:bookmarkStart w:id="6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64"/>
    <w:bookmarkStart w:id="6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65"/>
    <w:bookmarkStart w:id="6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66"/>
    <w:bookmarkEnd w:id="67"/>
    <w:bookmarkStart w:id="94"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0"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7</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F1: Fan Engagment</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f2</w:t>
                  </w:r>
                </w:p>
              </w:tc>
              <w:tc>
                <w:tcPr/>
                <w:p>
                  <w:pPr>
                    <w:pStyle w:val="Compact"/>
                    <w:jc w:val="left"/>
                    <w:jc w:val="center"/>
                  </w:pPr>
                  <w:r>
                    <w:t xml:space="preserve">F2: Fan Engagment</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f3</w:t>
                  </w:r>
                </w:p>
              </w:tc>
              <w:tc>
                <w:tcPr/>
                <w:p>
                  <w:pPr>
                    <w:pStyle w:val="Compact"/>
                    <w:jc w:val="left"/>
                    <w:jc w:val="center"/>
                  </w:pPr>
                  <w:r>
                    <w:t xml:space="preserve">F3: Fan Engagment</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p>
      <w:pPr>
        <w:pStyle w:val="BodyText"/>
      </w:pPr>
      <w:hyperlink w:anchor="tbl-glance">
        <w:r>
          <w:rPr>
            <w:rStyle w:val="Hyperlink"/>
          </w:rPr>
          <w:t xml:space="preserve">Table 4</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69" w:name="tbl-glance"/>
          <w:p>
            <w:pPr>
              <w:jc w:val="center"/>
            </w:pPr>
            <w:pPr>
              <w:jc w:val="left"/>
              <w:spacing w:before="200"/>
              <w:pStyle w:val="ImageCaption"/>
            </w:pPr>
            <w:r>
              <w:t xml:space="preserve">Table 4: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9</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74" w:name="cell-fig-season-coefs"/>
    <w:tbl>
      <w:tblPr>
        <w:tblStyle w:val="Table"/>
        <w:tblW w:type="pct" w:w="5000"/>
        <w:tblLayout w:type="fixed"/>
        <w:tblLook w:firstRow="0" w:lastRow="0" w:firstColumn="0" w:lastColumn="0" w:noHBand="0" w:noVBand="0" w:val="0000"/>
      </w:tblPr>
      <w:tblGrid>
        <w:gridCol w:w="7920"/>
      </w:tblGrid>
      <w:tr>
        <w:tc>
          <w:tcPr/>
          <w:bookmarkStart w:id="73" w:name="fig-season-coefs"/>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coefs-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Estimated season-level fixed effects for natural logarithm of attendance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p>
      <w:pPr>
        <w:pStyle w:val="BodyText"/>
      </w:pPr>
      <w:hyperlink w:anchor="fig-season-slopes">
        <w:r>
          <w:rPr>
            <w:rStyle w:val="Hyperlink"/>
          </w:rPr>
          <w:t xml:space="preserve">Figure 10</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79" w:name="cell-fig-season-slopes"/>
    <w:tbl>
      <w:tblPr>
        <w:tblStyle w:val="Table"/>
        <w:tblW w:type="pct" w:w="5000"/>
        <w:tblLayout w:type="fixed"/>
        <w:tblLook w:firstRow="0" w:lastRow="0" w:firstColumn="0" w:lastColumn="0" w:noHBand="0" w:noVBand="0" w:val="0000"/>
      </w:tblPr>
      <w:tblGrid>
        <w:gridCol w:w="7920"/>
      </w:tblGrid>
      <w:tr>
        <w:tc>
          <w:tcPr/>
          <w:bookmarkStart w:id="78" w:name="fig-season-slopes"/>
          <w:p>
            <w:pPr>
              <w:pStyle w:val="Compact"/>
              <w:jc w:val="center"/>
            </w:pPr>
            <w:r>
              <w:drawing>
                <wp:inline>
                  <wp:extent cx="4620126" cy="3696101"/>
                  <wp:effectExtent b="0" l="0" r="0" t="0"/>
                  <wp:docPr descr="" title="" id="76" name="Picture"/>
                  <a:graphic>
                    <a:graphicData uri="http://schemas.openxmlformats.org/drawingml/2006/picture">
                      <pic:pic>
                        <pic:nvPicPr>
                          <pic:cNvPr descr="index_files/figure-docx/fig-season-slopes-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Estimated season-level changes in slopes for natural logarithm of attendance models.</w:t>
            </w:r>
          </w:p>
          <w:bookmarkEnd w:id="7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93"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5</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1" w:name="tbl-coefs2"/>
          <w:p>
            <w:pPr>
              <w:jc w:val="center"/>
            </w:pPr>
            <w:pPr>
              <w:jc w:val="left"/>
              <w:spacing w:before="200"/>
              <w:pStyle w:val="ImageCaption"/>
            </w:pPr>
            <w:r>
              <w:t xml:space="preserve">Table 5: Table of coefficients from percentage of arena capacity models.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w:t>
                  </w:r>
                </w:p>
              </w:tc>
              <w:tc>
                <w:tcPr/>
                <w:p>
                  <w:pPr>
                    <w:pStyle w:val="Compact"/>
                    <w:jc w:val="right"/>
                    <w:jc w:val="center"/>
                  </w:pPr>
                  <w:r>
                    <w:t xml:space="preserve">0.306</w:t>
                  </w:r>
                </w:p>
              </w:tc>
              <w:tc>
                <w:tcPr/>
                <w:p>
                  <w:pPr>
                    <w:pStyle w:val="Compact"/>
                    <w:jc w:val="right"/>
                    <w:jc w:val="center"/>
                  </w:pPr>
                  <w:r>
                    <w:t xml:space="preserve">0.137</w:t>
                  </w:r>
                </w:p>
              </w:tc>
              <w:tc>
                <w:tcPr/>
                <w:p>
                  <w:pPr>
                    <w:pStyle w:val="Compact"/>
                    <w:jc w:val="right"/>
                    <w:jc w:val="center"/>
                  </w:pPr>
                  <w:r>
                    <w:t xml:space="preserve">0.891</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0.307</w:t>
                  </w:r>
                </w:p>
              </w:tc>
              <w:tc>
                <w:tcPr/>
                <w:p>
                  <w:pPr>
                    <w:pStyle w:val="Compact"/>
                    <w:jc w:val="right"/>
                    <w:jc w:val="center"/>
                  </w:pPr>
                  <w:r>
                    <w:t xml:space="preserve">0.374</w:t>
                  </w:r>
                </w:p>
              </w:tc>
              <w:tc>
                <w:tcPr/>
                <w:p>
                  <w:pPr>
                    <w:pStyle w:val="Compact"/>
                    <w:jc w:val="right"/>
                    <w:jc w:val="center"/>
                  </w:pPr>
                  <w:r>
                    <w:t xml:space="preserve">0.821</w:t>
                  </w:r>
                </w:p>
              </w:tc>
              <w:tc>
                <w:tcPr/>
                <w:p>
                  <w:pPr>
                    <w:pStyle w:val="Compact"/>
                    <w:jc w:val="right"/>
                    <w:jc w:val="center"/>
                  </w:pPr>
                  <w:r>
                    <w:t xml:space="preserve">0.412</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w:t>
                  </w:r>
                </w:p>
              </w:tc>
              <w:tc>
                <w:tcPr/>
                <w:p>
                  <w:pPr>
                    <w:pStyle w:val="Compact"/>
                    <w:jc w:val="right"/>
                    <w:jc w:val="center"/>
                  </w:pPr>
                  <w:r>
                    <w:t xml:space="preserve">0.320</w:t>
                  </w:r>
                </w:p>
              </w:tc>
              <w:tc>
                <w:tcPr/>
                <w:p>
                  <w:pPr>
                    <w:pStyle w:val="Compact"/>
                    <w:jc w:val="right"/>
                    <w:jc w:val="center"/>
                  </w:pPr>
                  <w:r>
                    <w:t xml:space="preserve">0.157</w:t>
                  </w:r>
                </w:p>
              </w:tc>
              <w:tc>
                <w:tcPr/>
                <w:p>
                  <w:pPr>
                    <w:pStyle w:val="Compact"/>
                    <w:jc w:val="right"/>
                    <w:jc w:val="center"/>
                  </w:pPr>
                  <w:r>
                    <w:t xml:space="preserve">0.875</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2.827</w:t>
                  </w:r>
                </w:p>
              </w:tc>
              <w:tc>
                <w:tcPr/>
                <w:p>
                  <w:pPr>
                    <w:pStyle w:val="Compact"/>
                    <w:jc w:val="right"/>
                    <w:jc w:val="center"/>
                  </w:pPr>
                  <w:r>
                    <w:t xml:space="preserve">0.262</w:t>
                  </w:r>
                </w:p>
              </w:tc>
              <w:tc>
                <w:tcPr/>
                <w:p>
                  <w:pPr>
                    <w:pStyle w:val="Compact"/>
                    <w:jc w:val="right"/>
                    <w:jc w:val="center"/>
                  </w:pPr>
                  <w:r>
                    <w:t xml:space="preserve">10.777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2.902</w:t>
                  </w:r>
                </w:p>
              </w:tc>
              <w:tc>
                <w:tcPr/>
                <w:p>
                  <w:pPr>
                    <w:pStyle w:val="Compact"/>
                    <w:jc w:val="right"/>
                    <w:jc w:val="center"/>
                  </w:pPr>
                  <w:r>
                    <w:t xml:space="preserve">0.260</w:t>
                  </w:r>
                </w:p>
              </w:tc>
              <w:tc>
                <w:tcPr/>
                <w:p>
                  <w:pPr>
                    <w:pStyle w:val="Compact"/>
                    <w:jc w:val="right"/>
                    <w:jc w:val="center"/>
                  </w:pPr>
                  <w:r>
                    <w:t xml:space="preserve">11.181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2.872</w:t>
                  </w:r>
                </w:p>
              </w:tc>
              <w:tc>
                <w:tcPr/>
                <w:p>
                  <w:pPr>
                    <w:pStyle w:val="Compact"/>
                    <w:jc w:val="right"/>
                    <w:jc w:val="center"/>
                  </w:pPr>
                  <w:r>
                    <w:t xml:space="preserve">0.261</w:t>
                  </w:r>
                </w:p>
              </w:tc>
              <w:tc>
                <w:tcPr/>
                <w:p>
                  <w:pPr>
                    <w:pStyle w:val="Compact"/>
                    <w:jc w:val="right"/>
                    <w:jc w:val="center"/>
                  </w:pPr>
                  <w:r>
                    <w:t xml:space="preserve">10.996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F1: Fan Engagment</w:t>
                  </w:r>
                </w:p>
              </w:tc>
              <w:tc>
                <w:tcPr/>
                <w:p>
                  <w:pPr>
                    <w:pStyle w:val="Compact"/>
                    <w:jc w:val="right"/>
                    <w:jc w:val="center"/>
                  </w:pPr>
                  <w:r>
                    <w:t xml:space="preserve">0.005</w:t>
                  </w:r>
                </w:p>
              </w:tc>
              <w:tc>
                <w:tcPr/>
                <w:p>
                  <w:pPr>
                    <w:pStyle w:val="Compact"/>
                    <w:jc w:val="right"/>
                    <w:jc w:val="center"/>
                  </w:pPr>
                  <w:r>
                    <w:t xml:space="preserve">0.001</w:t>
                  </w:r>
                </w:p>
              </w:tc>
              <w:tc>
                <w:tcPr/>
                <w:p>
                  <w:pPr>
                    <w:pStyle w:val="Compact"/>
                    <w:jc w:val="right"/>
                    <w:jc w:val="center"/>
                  </w:pPr>
                  <w:r>
                    <w:t xml:space="preserve">4.249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F2: Fan Engagment</w:t>
                  </w:r>
                </w:p>
              </w:tc>
              <w:tc>
                <w:tcPr/>
                <w:p>
                  <w:pPr>
                    <w:pStyle w:val="Compact"/>
                    <w:jc w:val="right"/>
                    <w:jc w:val="center"/>
                  </w:pPr>
                  <w:r>
                    <w:t xml:space="preserve">-0.001</w:t>
                  </w:r>
                </w:p>
              </w:tc>
              <w:tc>
                <w:tcPr/>
                <w:p>
                  <w:pPr>
                    <w:pStyle w:val="Compact"/>
                    <w:jc w:val="right"/>
                    <w:jc w:val="center"/>
                  </w:pPr>
                  <w:r>
                    <w:t xml:space="preserve">0.003</w:t>
                  </w:r>
                </w:p>
              </w:tc>
              <w:tc>
                <w:tcPr/>
                <w:p>
                  <w:pPr>
                    <w:pStyle w:val="Compact"/>
                    <w:jc w:val="right"/>
                    <w:jc w:val="center"/>
                  </w:pPr>
                  <w:r>
                    <w:t xml:space="preserve">-0.427</w:t>
                  </w:r>
                </w:p>
              </w:tc>
              <w:tc>
                <w:tcPr/>
                <w:p>
                  <w:pPr>
                    <w:pStyle w:val="Compact"/>
                    <w:jc w:val="right"/>
                    <w:jc w:val="center"/>
                  </w:pPr>
                  <w:r>
                    <w:t xml:space="preserve">0.670</w:t>
                  </w:r>
                </w:p>
              </w:tc>
            </w:tr>
            <w:tr>
              <w:tc>
                <w:tcPr/>
                <w:p>
                  <w:pPr>
                    <w:pStyle w:val="Compact"/>
                    <w:jc w:val="left"/>
                    <w:jc w:val="center"/>
                  </w:pPr>
                  <w:r>
                    <w:t xml:space="preserve">f3</w:t>
                  </w:r>
                </w:p>
              </w:tc>
              <w:tc>
                <w:tcPr/>
                <w:p>
                  <w:pPr>
                    <w:pStyle w:val="Compact"/>
                    <w:jc w:val="left"/>
                    <w:jc w:val="center"/>
                  </w:pPr>
                  <w:r>
                    <w:t xml:space="preserve">F3: Fan Engagment</w:t>
                  </w:r>
                </w:p>
              </w:tc>
              <w:tc>
                <w:tcPr/>
                <w:p>
                  <w:pPr>
                    <w:pStyle w:val="Compact"/>
                    <w:jc w:val="right"/>
                    <w:jc w:val="center"/>
                  </w:pPr>
                  <w:r>
                    <w:t xml:space="preserve">2.358</w:t>
                  </w:r>
                </w:p>
              </w:tc>
              <w:tc>
                <w:tcPr/>
                <w:p>
                  <w:pPr>
                    <w:pStyle w:val="Compact"/>
                    <w:jc w:val="right"/>
                    <w:jc w:val="center"/>
                  </w:pPr>
                  <w:r>
                    <w:t xml:space="preserve">0.899</w:t>
                  </w:r>
                </w:p>
              </w:tc>
              <w:tc>
                <w:tcPr/>
                <w:p>
                  <w:pPr>
                    <w:pStyle w:val="Compact"/>
                    <w:jc w:val="right"/>
                    <w:jc w:val="center"/>
                  </w:pPr>
                  <w:r>
                    <w:t xml:space="preserve">2.624</w:t>
                  </w:r>
                </w:p>
              </w:tc>
              <w:tc>
                <w:tcPr/>
                <w:p>
                  <w:pPr>
                    <w:pStyle w:val="Compact"/>
                    <w:jc w:val="right"/>
                    <w:jc w:val="center"/>
                  </w:pPr>
                  <w:r>
                    <w:t xml:space="preserve">0.009</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0.019</w:t>
                  </w:r>
                </w:p>
              </w:tc>
              <w:tc>
                <w:tcPr/>
                <w:p>
                  <w:pPr>
                    <w:pStyle w:val="Compact"/>
                    <w:jc w:val="right"/>
                    <w:jc w:val="center"/>
                  </w:pPr>
                  <w:r>
                    <w:t xml:space="preserve">0.005</w:t>
                  </w:r>
                </w:p>
              </w:tc>
              <w:tc>
                <w:tcPr/>
                <w:p>
                  <w:pPr>
                    <w:pStyle w:val="Compact"/>
                    <w:jc w:val="right"/>
                    <w:jc w:val="center"/>
                  </w:pPr>
                  <w:r>
                    <w:t xml:space="preserve">4.131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0.016</w:t>
                  </w:r>
                </w:p>
              </w:tc>
              <w:tc>
                <w:tcPr/>
                <w:p>
                  <w:pPr>
                    <w:pStyle w:val="Compact"/>
                    <w:jc w:val="right"/>
                    <w:jc w:val="center"/>
                  </w:pPr>
                  <w:r>
                    <w:t xml:space="preserve">0.005</w:t>
                  </w:r>
                </w:p>
              </w:tc>
              <w:tc>
                <w:tcPr/>
                <w:p>
                  <w:pPr>
                    <w:pStyle w:val="Compact"/>
                    <w:jc w:val="right"/>
                    <w:jc w:val="center"/>
                  </w:pPr>
                  <w:r>
                    <w:t xml:space="preserve">3.531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0.018</w:t>
                  </w:r>
                </w:p>
              </w:tc>
              <w:tc>
                <w:tcPr/>
                <w:p>
                  <w:pPr>
                    <w:pStyle w:val="Compact"/>
                    <w:jc w:val="right"/>
                    <w:jc w:val="center"/>
                  </w:pPr>
                  <w:r>
                    <w:t xml:space="preserve">0.005</w:t>
                  </w:r>
                </w:p>
              </w:tc>
              <w:tc>
                <w:tcPr/>
                <w:p>
                  <w:pPr>
                    <w:pStyle w:val="Compact"/>
                    <w:jc w:val="right"/>
                    <w:jc w:val="center"/>
                  </w:pPr>
                  <w:r>
                    <w:t xml:space="preserve">3.790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-0.098</w:t>
                  </w:r>
                </w:p>
              </w:tc>
              <w:tc>
                <w:tcPr/>
                <w:p>
                  <w:pPr>
                    <w:pStyle w:val="Compact"/>
                    <w:jc w:val="right"/>
                    <w:jc w:val="center"/>
                  </w:pPr>
                  <w:r>
                    <w:t xml:space="preserve">0.015</w:t>
                  </w:r>
                </w:p>
              </w:tc>
              <w:tc>
                <w:tcPr/>
                <w:p>
                  <w:pPr>
                    <w:pStyle w:val="Compact"/>
                    <w:jc w:val="right"/>
                    <w:jc w:val="center"/>
                  </w:pPr>
                  <w:r>
                    <w:t xml:space="preserve">-6.628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-0.095</w:t>
                  </w:r>
                </w:p>
              </w:tc>
              <w:tc>
                <w:tcPr/>
                <w:p>
                  <w:pPr>
                    <w:pStyle w:val="Compact"/>
                    <w:jc w:val="right"/>
                    <w:jc w:val="center"/>
                  </w:pPr>
                  <w:r>
                    <w:t xml:space="preserve">0.014</w:t>
                  </w:r>
                </w:p>
              </w:tc>
              <w:tc>
                <w:tcPr/>
                <w:p>
                  <w:pPr>
                    <w:pStyle w:val="Compact"/>
                    <w:jc w:val="right"/>
                    <w:jc w:val="center"/>
                  </w:pPr>
                  <w:r>
                    <w:t xml:space="preserve">-6.551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-0.102</w:t>
                  </w:r>
                </w:p>
              </w:tc>
              <w:tc>
                <w:tcPr/>
                <w:p>
                  <w:pPr>
                    <w:pStyle w:val="Compact"/>
                    <w:jc w:val="right"/>
                    <w:jc w:val="center"/>
                  </w:pPr>
                  <w:r>
                    <w:t xml:space="preserve">0.015</w:t>
                  </w:r>
                </w:p>
              </w:tc>
              <w:tc>
                <w:tcPr/>
                <w:p>
                  <w:pPr>
                    <w:pStyle w:val="Compact"/>
                    <w:jc w:val="right"/>
                    <w:jc w:val="center"/>
                  </w:pPr>
                  <w:r>
                    <w:t xml:space="preserve">-6.797</w:t>
                  </w:r>
                </w:p>
              </w:tc>
              <w:tc>
                <w:tcPr/>
                <w:p>
                  <w:pPr>
                    <w:pStyle w:val="Compact"/>
                    <w:jc w:val="right"/>
                    <w:jc w:val="center"/>
                  </w:pPr>
                  <w:r>
                    <w:t xml:space="preserve">0.000</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6</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2" w:name="tbl-glance2"/>
          <w:p>
            <w:pPr>
              <w:jc w:val="center"/>
            </w:pPr>
            <w:pPr>
              <w:jc w:val="left"/>
              <w:spacing w:before="200"/>
              <w:pStyle w:val="ImageCaption"/>
            </w:pPr>
            <w:r>
              <w:t xml:space="preserve">Table 6: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p>
      <w:pPr>
        <w:pStyle w:val="BodyText"/>
      </w:pPr>
      <w:hyperlink w:anchor="fig-season-coefs2">
        <w:r>
          <w:rPr>
            <w:rStyle w:val="Hyperlink"/>
          </w:rPr>
          <w:t xml:space="preserve">Figure 11</w:t>
        </w:r>
      </w:hyperlink>
      <w:r>
        <w:t xml:space="preserve"> </w:t>
      </w:r>
      <w:r>
        <w:t xml:space="preserve">shows that…</w:t>
      </w:r>
    </w:p>
    <w:bookmarkStart w:id="87" w:name="cell-fig-season-coefs2"/>
    <w:tbl>
      <w:tblPr>
        <w:tblStyle w:val="Table"/>
        <w:tblW w:type="pct" w:w="5000"/>
        <w:tblLayout w:type="fixed"/>
        <w:tblLook w:firstRow="0" w:lastRow="0" w:firstColumn="0" w:lastColumn="0" w:noHBand="0" w:noVBand="0" w:val="0000"/>
      </w:tblPr>
      <w:tblGrid>
        <w:gridCol w:w="7920"/>
      </w:tblGrid>
      <w:tr>
        <w:tc>
          <w:tcPr/>
          <w:bookmarkStart w:id="86" w:name="fig-season-coefs2"/>
          <w:p>
            <w:pPr>
              <w:pStyle w:val="Compact"/>
              <w:jc w:val="center"/>
            </w:pPr>
            <w:r>
              <w:drawing>
                <wp:inline>
                  <wp:extent cx="4620126" cy="3696101"/>
                  <wp:effectExtent b="0" l="0" r="0" t="0"/>
                  <wp:docPr descr="" title="" id="84" name="Picture"/>
                  <a:graphic>
                    <a:graphicData uri="http://schemas.openxmlformats.org/drawingml/2006/picture">
                      <pic:pic>
                        <pic:nvPicPr>
                          <pic:cNvPr descr="index_files/figure-docx/fig-season-coefs2-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8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7"/>
    <w:p>
      <w:pPr>
        <w:pStyle w:val="BodyText"/>
      </w:pPr>
      <w:hyperlink w:anchor="fig-season-slopes2">
        <w:r>
          <w:rPr>
            <w:rStyle w:val="Hyperlink"/>
          </w:rPr>
          <w:t xml:space="preserve">Figure 12</w:t>
        </w:r>
      </w:hyperlink>
      <w:r>
        <w:t xml:space="preserve"> </w:t>
      </w:r>
      <w:r>
        <w:t xml:space="preserve">shows that…</w:t>
      </w:r>
    </w:p>
    <w:bookmarkStart w:id="92" w:name="cell-fig-season-slopes2"/>
    <w:tbl>
      <w:tblPr>
        <w:tblStyle w:val="Table"/>
        <w:tblW w:type="pct" w:w="5000"/>
        <w:tblLayout w:type="fixed"/>
        <w:tblLook w:firstRow="0" w:lastRow="0" w:firstColumn="0" w:lastColumn="0" w:noHBand="0" w:noVBand="0" w:val="0000"/>
      </w:tblPr>
      <w:tblGrid>
        <w:gridCol w:w="7920"/>
      </w:tblGrid>
      <w:tr>
        <w:tc>
          <w:tcPr/>
          <w:bookmarkStart w:id="91" w:name="fig-season-slopes2"/>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season-slopes2-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bookmarkEnd w:id="93"/>
    <w:bookmarkEnd w:id="94"/>
    <w:bookmarkStart w:id="98" w:name="conclusion"/>
    <w:p>
      <w:pPr>
        <w:pStyle w:val="Heading2"/>
      </w:pPr>
      <w:r>
        <w:t xml:space="preserve">5 Conclusion</w:t>
      </w:r>
    </w:p>
    <w:bookmarkStart w:id="95"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95"/>
    <w:bookmarkStart w:id="96" w:name="future-work"/>
    <w:p>
      <w:pPr>
        <w:pStyle w:val="Heading3"/>
      </w:pPr>
      <w:r>
        <w:t xml:space="preserve">5.2 Future work</w:t>
      </w:r>
    </w:p>
    <w:bookmarkEnd w:id="96"/>
    <w:bookmarkStart w:id="97" w:name="discussion"/>
    <w:p>
      <w:pPr>
        <w:pStyle w:val="Heading3"/>
      </w:pPr>
      <w:r>
        <w:t xml:space="preserve">5.3 Discussion</w:t>
      </w:r>
    </w:p>
    <w:bookmarkEnd w:id="97"/>
    <w:bookmarkEnd w:id="98"/>
    <w:bookmarkStart w:id="153" w:name="references"/>
    <w:p>
      <w:pPr>
        <w:pStyle w:val="Heading2"/>
      </w:pPr>
      <w:r>
        <w:t xml:space="preserve">References</w:t>
      </w:r>
    </w:p>
    <w:bookmarkStart w:id="152" w:name="refs"/>
    <w:bookmarkStart w:id="100"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99">
        <w:r>
          <w:rPr>
            <w:rStyle w:val="Hyperlink"/>
          </w:rPr>
          <w:t xml:space="preserve">https://www.acrossthetimeline.com/wnba/attendance.html</w:t>
        </w:r>
      </w:hyperlink>
      <w:r>
        <w:t xml:space="preserve">.</w:t>
      </w:r>
      <w:r>
        <w:t xml:space="preserve"> </w:t>
      </w:r>
      <w:hyperlink r:id="rId99">
        <w:r>
          <w:rPr>
            <w:rStyle w:val="Hyperlink"/>
          </w:rPr>
          <w:t xml:space="preserve">https://www.acrossthetimeline.com/wnba/attendance.html</w:t>
        </w:r>
      </w:hyperlink>
      <w:r>
        <w:t xml:space="preserve">.</w:t>
      </w:r>
    </w:p>
    <w:bookmarkEnd w:id="100"/>
    <w:bookmarkStart w:id="102"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101">
        <w:r>
          <w:rPr>
            <w:rStyle w:val="Hyperlink"/>
          </w:rPr>
          <w:t xml:space="preserve">https://doi.org/10.1177/019372359001400102</w:t>
        </w:r>
      </w:hyperlink>
      <w:r>
        <w:t xml:space="preserve">.</w:t>
      </w:r>
    </w:p>
    <w:bookmarkEnd w:id="102"/>
    <w:bookmarkStart w:id="104"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103">
        <w:r>
          <w:rPr>
            <w:rStyle w:val="Hyperlink"/>
          </w:rPr>
          <w:t xml:space="preserve">https://doi.org/10.1177/1527002504265957</w:t>
        </w:r>
      </w:hyperlink>
      <w:r>
        <w:t xml:space="preserve">.</w:t>
      </w:r>
    </w:p>
    <w:bookmarkEnd w:id="104"/>
    <w:bookmarkStart w:id="106"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05">
        <w:r>
          <w:rPr>
            <w:rStyle w:val="Hyperlink"/>
          </w:rPr>
          <w:t xml:space="preserve">https://doi.org/10.1111/ecin.12061</w:t>
        </w:r>
      </w:hyperlink>
      <w:r>
        <w:t xml:space="preserve">.</w:t>
      </w:r>
    </w:p>
    <w:bookmarkEnd w:id="106"/>
    <w:bookmarkStart w:id="108"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07">
        <w:r>
          <w:rPr>
            <w:rStyle w:val="Hyperlink"/>
          </w:rPr>
          <w:t xml:space="preserve">https://doi.org/10.1177/155862350800300105</w:t>
        </w:r>
      </w:hyperlink>
      <w:r>
        <w:t xml:space="preserve">.</w:t>
      </w:r>
    </w:p>
    <w:bookmarkEnd w:id="108"/>
    <w:bookmarkStart w:id="110"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09">
        <w:r>
          <w:rPr>
            <w:rStyle w:val="Hyperlink"/>
          </w:rPr>
          <w:t xml:space="preserve">https://doi.org/10.1177/1527002508327387</w:t>
        </w:r>
      </w:hyperlink>
      <w:r>
        <w:t xml:space="preserve">.</w:t>
      </w:r>
    </w:p>
    <w:bookmarkEnd w:id="110"/>
    <w:bookmarkStart w:id="112"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11">
        <w:r>
          <w:rPr>
            <w:rStyle w:val="Hyperlink"/>
          </w:rPr>
          <w:t xml:space="preserve">https://doi.org/10.1123/jsm.2019-0404</w:t>
        </w:r>
      </w:hyperlink>
      <w:r>
        <w:t xml:space="preserve">.</w:t>
      </w:r>
    </w:p>
    <w:bookmarkEnd w:id="112"/>
    <w:bookmarkStart w:id="114"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13">
        <w:r>
          <w:rPr>
            <w:rStyle w:val="Hyperlink"/>
          </w:rPr>
          <w:t xml:space="preserve">https://doi.org/10.1123/jsm.16.4.311</w:t>
        </w:r>
      </w:hyperlink>
      <w:r>
        <w:t xml:space="preserve">.</w:t>
      </w:r>
    </w:p>
    <w:bookmarkEnd w:id="114"/>
    <w:bookmarkStart w:id="115"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15"/>
    <w:bookmarkStart w:id="117"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16">
        <w:r>
          <w:rPr>
            <w:rStyle w:val="Hyperlink"/>
          </w:rPr>
          <w:t xml:space="preserve">https://polecom.org/index.php/polecom/article/view/119</w:t>
        </w:r>
      </w:hyperlink>
      <w:r>
        <w:t xml:space="preserve">.</w:t>
      </w:r>
    </w:p>
    <w:bookmarkEnd w:id="117"/>
    <w:bookmarkStart w:id="119"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18">
        <w:r>
          <w:rPr>
            <w:rStyle w:val="Hyperlink"/>
          </w:rPr>
          <w:t xml:space="preserve">https://doi.org/10.32614/cran.package.wehoop</w:t>
        </w:r>
      </w:hyperlink>
      <w:r>
        <w:t xml:space="preserve">.</w:t>
      </w:r>
    </w:p>
    <w:bookmarkEnd w:id="119"/>
    <w:bookmarkStart w:id="121"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20">
        <w:r>
          <w:rPr>
            <w:rStyle w:val="Hyperlink"/>
          </w:rPr>
          <w:t xml:space="preserve">https://doi.org/10.1080/17430437.2017.1346620</w:t>
        </w:r>
      </w:hyperlink>
      <w:r>
        <w:t xml:space="preserve">.</w:t>
      </w:r>
    </w:p>
    <w:bookmarkEnd w:id="121"/>
    <w:bookmarkStart w:id="123"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22">
        <w:r>
          <w:rPr>
            <w:rStyle w:val="Hyperlink"/>
          </w:rPr>
          <w:t xml:space="preserve">https://doi.org/10.1177/152700250200300204</w:t>
        </w:r>
      </w:hyperlink>
      <w:r>
        <w:t xml:space="preserve">.</w:t>
      </w:r>
    </w:p>
    <w:bookmarkEnd w:id="123"/>
    <w:bookmarkStart w:id="125"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24">
        <w:r>
          <w:rPr>
            <w:rStyle w:val="Hyperlink"/>
          </w:rPr>
          <w:t xml:space="preserve">https://doi.org/10.1002/mde.1308</w:t>
        </w:r>
      </w:hyperlink>
      <w:r>
        <w:t xml:space="preserve">.</w:t>
      </w:r>
    </w:p>
    <w:bookmarkEnd w:id="125"/>
    <w:bookmarkStart w:id="127"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26">
        <w:r>
          <w:rPr>
            <w:rStyle w:val="Hyperlink"/>
          </w:rPr>
          <w:t xml:space="preserve">https://doi.org/10.53728/2765-6500.1616</w:t>
        </w:r>
      </w:hyperlink>
      <w:r>
        <w:t xml:space="preserve">.</w:t>
      </w:r>
    </w:p>
    <w:bookmarkEnd w:id="127"/>
    <w:bookmarkStart w:id="129"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28">
        <w:r>
          <w:rPr>
            <w:rStyle w:val="Hyperlink"/>
          </w:rPr>
          <w:t xml:space="preserve">https://doi.org/10.1177/1527002509337212</w:t>
        </w:r>
      </w:hyperlink>
      <w:r>
        <w:t xml:space="preserve">.</w:t>
      </w:r>
    </w:p>
    <w:bookmarkEnd w:id="129"/>
    <w:bookmarkStart w:id="131"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30">
        <w:r>
          <w:rPr>
            <w:rStyle w:val="Hyperlink"/>
          </w:rPr>
          <w:t xml:space="preserve">https://doi.org/10.1080/14660970.2022.2037218</w:t>
        </w:r>
      </w:hyperlink>
      <w:r>
        <w:t xml:space="preserve">.</w:t>
      </w:r>
    </w:p>
    <w:bookmarkEnd w:id="131"/>
    <w:bookmarkStart w:id="133"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32">
        <w:r>
          <w:rPr>
            <w:rStyle w:val="Hyperlink"/>
          </w:rPr>
          <w:t xml:space="preserve">https://doi.org/10.1016/0304-4076(85)90158-7</w:t>
        </w:r>
      </w:hyperlink>
      <w:r>
        <w:t xml:space="preserve">.</w:t>
      </w:r>
    </w:p>
    <w:bookmarkEnd w:id="133"/>
    <w:bookmarkStart w:id="135"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34">
        <w:r>
          <w:rPr>
            <w:rStyle w:val="Hyperlink"/>
          </w:rPr>
          <w:t xml:space="preserve">https://www.jstor.org/stable/1924766</w:t>
        </w:r>
      </w:hyperlink>
      <w:r>
        <w:t xml:space="preserve">.</w:t>
      </w:r>
    </w:p>
    <w:bookmarkEnd w:id="135"/>
    <w:bookmarkStart w:id="136"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36"/>
    <w:bookmarkStart w:id="138"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37">
        <w:r>
          <w:rPr>
            <w:rStyle w:val="Hyperlink"/>
          </w:rPr>
          <w:t xml:space="preserve">https://doi.org/10.1002/(SICI)1099-1255(199611)11:6&lt;619::AID-JAE418&gt;3.0.CO;2-1</w:t>
        </w:r>
      </w:hyperlink>
      <w:r>
        <w:t xml:space="preserve">.</w:t>
      </w:r>
    </w:p>
    <w:bookmarkEnd w:id="138"/>
    <w:bookmarkStart w:id="140"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39">
        <w:r>
          <w:rPr>
            <w:rStyle w:val="Hyperlink"/>
          </w:rPr>
          <w:t xml:space="preserve">https://doi.org/10.3390/ijfs7010012</w:t>
        </w:r>
      </w:hyperlink>
      <w:r>
        <w:t xml:space="preserve">.</w:t>
      </w:r>
    </w:p>
    <w:bookmarkEnd w:id="140"/>
    <w:bookmarkStart w:id="141"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41"/>
    <w:bookmarkStart w:id="142"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42"/>
    <w:bookmarkStart w:id="144"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43">
        <w:r>
          <w:rPr>
            <w:rStyle w:val="Hyperlink"/>
          </w:rPr>
          <w:t xml:space="preserve">https://doi.org/10.1080/00031305.2016.1154108</w:t>
        </w:r>
      </w:hyperlink>
      <w:r>
        <w:t xml:space="preserve">.</w:t>
      </w:r>
    </w:p>
    <w:bookmarkEnd w:id="144"/>
    <w:bookmarkStart w:id="146"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45">
        <w:r>
          <w:rPr>
            <w:rStyle w:val="Hyperlink"/>
          </w:rPr>
          <w:t xml:space="preserve">https://doi.org/10.1080/00031305.2019.1583913</w:t>
        </w:r>
      </w:hyperlink>
      <w:r>
        <w:t xml:space="preserve">.</w:t>
      </w:r>
    </w:p>
    <w:bookmarkEnd w:id="146"/>
    <w:bookmarkStart w:id="148"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47">
        <w:r>
          <w:rPr>
            <w:rStyle w:val="Hyperlink"/>
          </w:rPr>
          <w:t xml:space="preserve">https://accessecon.com/pubs/eb/2003/volume1/eb-03a10003a.pdf</w:t>
        </w:r>
      </w:hyperlink>
      <w:r>
        <w:t xml:space="preserve">.</w:t>
      </w:r>
    </w:p>
    <w:bookmarkEnd w:id="148"/>
    <w:bookmarkStart w:id="150" w:name="ref-wnba2024recordseason"/>
    <w:p>
      <w:pPr>
        <w:pStyle w:val="Bibliography"/>
      </w:pPr>
      <w:r>
        <w:t xml:space="preserve">WNBA. 2024.</w:t>
      </w:r>
      <w:r>
        <w:t xml:space="preserve"> </w:t>
      </w:r>
      <w:r>
        <w:t xml:space="preserve">“WNBA Delivers Record‑setting 2024 Season.”</w:t>
      </w:r>
      <w:r>
        <w:t xml:space="preserve"> </w:t>
      </w:r>
      <w:hyperlink r:id="rId149">
        <w:r>
          <w:rPr>
            <w:rStyle w:val="Hyperlink"/>
          </w:rPr>
          <w:t xml:space="preserve">https://www.wnba.com/news/wnba-delivers-record-setting-2024-season</w:t>
        </w:r>
      </w:hyperlink>
      <w:r>
        <w:t xml:space="preserve">.</w:t>
      </w:r>
    </w:p>
    <w:bookmarkEnd w:id="150"/>
    <w:bookmarkStart w:id="151"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51"/>
    <w:bookmarkEnd w:id="152"/>
    <w:bookmarkEnd w:id="153"/>
    <w:bookmarkStart w:id="207" w:name="appendix"/>
    <w:p>
      <w:pPr>
        <w:pStyle w:val="Heading2"/>
      </w:pPr>
      <w:r>
        <w:t xml:space="preserve">6 Appendix</w:t>
      </w:r>
    </w:p>
    <w:bookmarkStart w:id="156"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54" w:name="tbl-anova"/>
          <w:p>
            <w:pPr>
              <w:jc w:val="center"/>
            </w:pPr>
            <w:pPr>
              <w:jc w:val="left"/>
              <w:spacing w:before="200"/>
              <w:pStyle w:val="ImageCaption"/>
            </w:pPr>
            <w:r>
              <w:t xml:space="preserve">Table 7: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15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15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6"/>
    <w:bookmarkStart w:id="206" w:name="sec-resid-attend"/>
    <w:p>
      <w:pPr>
        <w:pStyle w:val="Heading3"/>
      </w:pPr>
      <w:r>
        <w:t xml:space="preserve">6.2 Residual analysis of attendance models</w:t>
      </w:r>
    </w:p>
    <w:bookmarkStart w:id="205"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60" w:name="fig-resids-1"/>
                <w:p>
                  <w:pPr>
                    <w:pStyle w:val="Compact"/>
                    <w:jc w:val="center"/>
                    <w:jc w:val="left"/>
                  </w:pPr>
                  <w:r>
                    <w:drawing>
                      <wp:inline>
                        <wp:extent cx="4620126" cy="3696101"/>
                        <wp:effectExtent b="0" l="0" r="0" t="0"/>
                        <wp:docPr descr="" title="" id="158" name="Picture"/>
                        <a:graphic>
                          <a:graphicData uri="http://schemas.openxmlformats.org/drawingml/2006/picture">
                            <pic:pic>
                              <pic:nvPicPr>
                                <pic:cNvPr descr="index_files/figure-docx/fig-resid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6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4" w:name="fig-resids-2"/>
                <w:p>
                  <w:pPr>
                    <w:pStyle w:val="Compact"/>
                    <w:jc w:val="center"/>
                    <w:jc w:val="left"/>
                  </w:pPr>
                  <w:r>
                    <w:drawing>
                      <wp:inline>
                        <wp:extent cx="4620126" cy="3696101"/>
                        <wp:effectExtent b="0" l="0" r="0" t="0"/>
                        <wp:docPr descr="" title="" id="162" name="Picture"/>
                        <a:graphic>
                          <a:graphicData uri="http://schemas.openxmlformats.org/drawingml/2006/picture">
                            <pic:pic>
                              <pic:nvPicPr>
                                <pic:cNvPr descr="index_files/figure-docx/fig-resids-2.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64"/>
              </w:tc>
            </w:tr>
          </w:tbl>
          <w:p/>
        </w:tc>
        <w:tc>
          <w:tcPr/>
          <w:tbl>
            <w:tblPr>
              <w:tblStyle w:val="Table"/>
              <w:tblW w:type="pct" w:w="5000"/>
              <w:tblLayout w:type="fixed"/>
              <w:tblLook w:firstRow="0" w:lastRow="0" w:firstColumn="0" w:lastColumn="0" w:noHBand="0" w:noVBand="0" w:val="0000"/>
            </w:tblPr>
            <w:tblGrid>
              <w:gridCol w:w="7920"/>
            </w:tblGrid>
            <w:tr>
              <w:tc>
                <w:tcPr/>
                <w:bookmarkStart w:id="168" w:name="fig-resids-3"/>
                <w:p>
                  <w:pPr>
                    <w:pStyle w:val="Compact"/>
                    <w:jc w:val="center"/>
                    <w:jc w:val="left"/>
                  </w:pPr>
                  <w:r>
                    <w:drawing>
                      <wp:inline>
                        <wp:extent cx="4620126" cy="3696101"/>
                        <wp:effectExtent b="0" l="0" r="0" t="0"/>
                        <wp:docPr descr="" title="" id="166" name="Picture"/>
                        <a:graphic>
                          <a:graphicData uri="http://schemas.openxmlformats.org/drawingml/2006/picture">
                            <pic:pic>
                              <pic:nvPicPr>
                                <pic:cNvPr descr="index_files/figure-docx/fig-resids-3.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8"/>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2" w:name="fig-resids-4"/>
                <w:p>
                  <w:pPr>
                    <w:pStyle w:val="Compact"/>
                    <w:jc w:val="center"/>
                    <w:jc w:val="left"/>
                  </w:pPr>
                  <w:r>
                    <w:drawing>
                      <wp:inline>
                        <wp:extent cx="4620126" cy="3696101"/>
                        <wp:effectExtent b="0" l="0" r="0" t="0"/>
                        <wp:docPr descr="" title="" id="170" name="Picture"/>
                        <a:graphic>
                          <a:graphicData uri="http://schemas.openxmlformats.org/drawingml/2006/picture">
                            <pic:pic>
                              <pic:nvPicPr>
                                <pic:cNvPr descr="index_files/figure-docx/fig-resids-4.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72"/>
              </w:tc>
            </w:tr>
          </w:tbl>
          <w:p/>
        </w:tc>
        <w:tc>
          <w:tcPr/>
          <w:tbl>
            <w:tblPr>
              <w:tblStyle w:val="Table"/>
              <w:tblW w:type="pct" w:w="5000"/>
              <w:tblLayout w:type="fixed"/>
              <w:tblLook w:firstRow="0" w:lastRow="0" w:firstColumn="0" w:lastColumn="0" w:noHBand="0" w:noVBand="0" w:val="0000"/>
            </w:tblPr>
            <w:tblGrid>
              <w:gridCol w:w="7920"/>
            </w:tblGrid>
            <w:tr>
              <w:tc>
                <w:tcPr/>
                <w:bookmarkStart w:id="176" w:name="fig-resids-5"/>
                <w:p>
                  <w:pPr>
                    <w:pStyle w:val="Compact"/>
                    <w:jc w:val="center"/>
                    <w:jc w:val="left"/>
                  </w:pPr>
                  <w:r>
                    <w:drawing>
                      <wp:inline>
                        <wp:extent cx="4620126" cy="3696101"/>
                        <wp:effectExtent b="0" l="0" r="0" t="0"/>
                        <wp:docPr descr="" title="" id="174" name="Picture"/>
                        <a:graphic>
                          <a:graphicData uri="http://schemas.openxmlformats.org/drawingml/2006/picture">
                            <pic:pic>
                              <pic:nvPicPr>
                                <pic:cNvPr descr="index_files/figure-docx/fig-resids-5.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6"/>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0" w:name="fig-resids-6"/>
                <w:p>
                  <w:pPr>
                    <w:pStyle w:val="Compact"/>
                    <w:jc w:val="center"/>
                    <w:jc w:val="left"/>
                  </w:pPr>
                  <w:r>
                    <w:drawing>
                      <wp:inline>
                        <wp:extent cx="4620126" cy="3696101"/>
                        <wp:effectExtent b="0" l="0" r="0" t="0"/>
                        <wp:docPr descr="" title="" id="178" name="Picture"/>
                        <a:graphic>
                          <a:graphicData uri="http://schemas.openxmlformats.org/drawingml/2006/picture">
                            <pic:pic>
                              <pic:nvPicPr>
                                <pic:cNvPr descr="index_files/figure-docx/fig-resids-6.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80"/>
              </w:tc>
            </w:tr>
          </w:tbl>
          <w:p/>
        </w:tc>
        <w:tc>
          <w:tcPr/>
          <w:tbl>
            <w:tblPr>
              <w:tblStyle w:val="Table"/>
              <w:tblW w:type="pct" w:w="5000"/>
              <w:tblLayout w:type="fixed"/>
              <w:tblLook w:firstRow="0" w:lastRow="0" w:firstColumn="0" w:lastColumn="0" w:noHBand="0" w:noVBand="0" w:val="0000"/>
            </w:tblPr>
            <w:tblGrid>
              <w:gridCol w:w="7920"/>
            </w:tblGrid>
            <w:tr>
              <w:tc>
                <w:tcPr/>
                <w:bookmarkStart w:id="184" w:name="fig-resids-7"/>
                <w:p>
                  <w:pPr>
                    <w:pStyle w:val="Compact"/>
                    <w:jc w:val="center"/>
                    <w:jc w:val="left"/>
                  </w:pPr>
                  <w:r>
                    <w:drawing>
                      <wp:inline>
                        <wp:extent cx="4620126" cy="3696101"/>
                        <wp:effectExtent b="0" l="0" r="0" t="0"/>
                        <wp:docPr descr="" title="" id="182" name="Picture"/>
                        <a:graphic>
                          <a:graphicData uri="http://schemas.openxmlformats.org/drawingml/2006/picture">
                            <pic:pic>
                              <pic:nvPicPr>
                                <pic:cNvPr descr="index_files/figure-docx/fig-resids-7.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8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8" w:name="fig-resids-8"/>
                <w:p>
                  <w:pPr>
                    <w:pStyle w:val="Compact"/>
                    <w:jc w:val="center"/>
                    <w:jc w:val="left"/>
                  </w:pPr>
                  <w:r>
                    <w:drawing>
                      <wp:inline>
                        <wp:extent cx="4620126" cy="3696101"/>
                        <wp:effectExtent b="0" l="0" r="0" t="0"/>
                        <wp:docPr descr="" title="" id="186" name="Picture"/>
                        <a:graphic>
                          <a:graphicData uri="http://schemas.openxmlformats.org/drawingml/2006/picture">
                            <pic:pic>
                              <pic:nvPicPr>
                                <pic:cNvPr descr="index_files/figure-docx/fig-resids-8.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8"/>
              </w:tc>
            </w:tr>
          </w:tbl>
          <w:p/>
        </w:tc>
        <w:tc>
          <w:tcPr/>
          <w:tbl>
            <w:tblPr>
              <w:tblStyle w:val="Table"/>
              <w:tblW w:type="pct" w:w="5000"/>
              <w:tblLayout w:type="fixed"/>
              <w:tblLook w:firstRow="0" w:lastRow="0" w:firstColumn="0" w:lastColumn="0" w:noHBand="0" w:noVBand="0" w:val="0000"/>
            </w:tblPr>
            <w:tblGrid>
              <w:gridCol w:w="7920"/>
            </w:tblGrid>
            <w:tr>
              <w:tc>
                <w:tcPr/>
                <w:bookmarkStart w:id="192" w:name="fig-resids-9"/>
                <w:p>
                  <w:pPr>
                    <w:pStyle w:val="Compact"/>
                    <w:jc w:val="center"/>
                    <w:jc w:val="left"/>
                  </w:pPr>
                  <w:r>
                    <w:drawing>
                      <wp:inline>
                        <wp:extent cx="4620126" cy="3696101"/>
                        <wp:effectExtent b="0" l="0" r="0" t="0"/>
                        <wp:docPr descr="" title="" id="190" name="Picture"/>
                        <a:graphic>
                          <a:graphicData uri="http://schemas.openxmlformats.org/drawingml/2006/picture">
                            <pic:pic>
                              <pic:nvPicPr>
                                <pic:cNvPr descr="index_files/figure-docx/fig-resids-9.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 Residual plots for models.</w:t>
                  </w:r>
                </w:p>
                <w:bookmarkEnd w:id="192"/>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6" w:name="fig-resids-10"/>
                <w:p>
                  <w:pPr>
                    <w:pStyle w:val="Compact"/>
                    <w:jc w:val="center"/>
                    <w:jc w:val="left"/>
                  </w:pPr>
                  <w:r>
                    <w:drawing>
                      <wp:inline>
                        <wp:extent cx="4620126" cy="3696101"/>
                        <wp:effectExtent b="0" l="0" r="0" t="0"/>
                        <wp:docPr descr="" title="" id="194" name="Picture"/>
                        <a:graphic>
                          <a:graphicData uri="http://schemas.openxmlformats.org/drawingml/2006/picture">
                            <pic:pic>
                              <pic:nvPicPr>
                                <pic:cNvPr descr="index_files/figure-docx/fig-resids-10.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22: Residual plots for models.</w:t>
                  </w:r>
                </w:p>
                <w:bookmarkEnd w:id="196"/>
              </w:tc>
            </w:tr>
          </w:tbl>
          <w:p/>
        </w:tc>
        <w:tc>
          <w:tcPr/>
          <w:tbl>
            <w:tblPr>
              <w:tblStyle w:val="Table"/>
              <w:tblW w:type="pct" w:w="5000"/>
              <w:tblLayout w:type="fixed"/>
              <w:tblLook w:firstRow="0" w:lastRow="0" w:firstColumn="0" w:lastColumn="0" w:noHBand="0" w:noVBand="0" w:val="0000"/>
            </w:tblPr>
            <w:tblGrid>
              <w:gridCol w:w="7920"/>
            </w:tblGrid>
            <w:tr>
              <w:tc>
                <w:tcPr/>
                <w:bookmarkStart w:id="200" w:name="fig-resids-11"/>
                <w:p>
                  <w:pPr>
                    <w:pStyle w:val="Compact"/>
                    <w:jc w:val="center"/>
                    <w:jc w:val="left"/>
                  </w:pPr>
                  <w:r>
                    <w:drawing>
                      <wp:inline>
                        <wp:extent cx="4620126" cy="3696101"/>
                        <wp:effectExtent b="0" l="0" r="0" t="0"/>
                        <wp:docPr descr="" title="" id="198" name="Picture"/>
                        <a:graphic>
                          <a:graphicData uri="http://schemas.openxmlformats.org/drawingml/2006/picture">
                            <pic:pic>
                              <pic:nvPicPr>
                                <pic:cNvPr descr="index_files/figure-docx/fig-resids-1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23: Residual plots for models.</w:t>
                  </w:r>
                </w:p>
                <w:bookmarkEnd w:id="20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204" w:name="fig-resids-12"/>
                <w:p>
                  <w:pPr>
                    <w:pStyle w:val="Compact"/>
                    <w:jc w:val="center"/>
                    <w:jc w:val="left"/>
                  </w:pPr>
                  <w:r>
                    <w:drawing>
                      <wp:inline>
                        <wp:extent cx="4620126" cy="3696101"/>
                        <wp:effectExtent b="0" l="0" r="0" t="0"/>
                        <wp:docPr descr="" title="" id="202" name="Picture"/>
                        <a:graphic>
                          <a:graphicData uri="http://schemas.openxmlformats.org/drawingml/2006/picture">
                            <pic:pic>
                              <pic:nvPicPr>
                                <pic:cNvPr descr="index_files/figure-docx/fig-resids-12.png" id="203" name="Picture"/>
                                <pic:cNvPicPr>
                                  <a:picLocks noChangeArrowheads="1" noChangeAspect="1"/>
                                </pic:cNvPicPr>
                              </pic:nvPicPr>
                              <pic:blipFill>
                                <a:blip r:embed="rId20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24: Residual plots for models.</w:t>
                  </w:r>
                </w:p>
                <w:bookmarkEnd w:id="204"/>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205"/>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13">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62">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57" Target="media/rId157.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hyperlink" Id="rId147" Target="https://accessecon.com/pubs/eb/2003/volume1/eb-03a10003a.pdf" TargetMode="External" /><Relationship Type="http://schemas.openxmlformats.org/officeDocument/2006/relationships/hyperlink" Id="rId137" Target="https://doi.org/10.1002/(SICI)1099-1255(199611)11:6&lt;619::AID-JAE418&gt;3.0.CO;2-1" TargetMode="External" /><Relationship Type="http://schemas.openxmlformats.org/officeDocument/2006/relationships/hyperlink" Id="rId124" Target="https://doi.org/10.1002/mde.1308" TargetMode="External" /><Relationship Type="http://schemas.openxmlformats.org/officeDocument/2006/relationships/hyperlink" Id="rId132" Target="https://doi.org/10.1016/0304-4076(85)90158-7" TargetMode="External" /><Relationship Type="http://schemas.openxmlformats.org/officeDocument/2006/relationships/hyperlink" Id="rId143" Target="https://doi.org/10.1080/00031305.2016.1154108" TargetMode="External" /><Relationship Type="http://schemas.openxmlformats.org/officeDocument/2006/relationships/hyperlink" Id="rId145" Target="https://doi.org/10.1080/00031305.2019.1583913" TargetMode="External" /><Relationship Type="http://schemas.openxmlformats.org/officeDocument/2006/relationships/hyperlink" Id="rId130" Target="https://doi.org/10.1080/14660970.2022.2037218" TargetMode="External" /><Relationship Type="http://schemas.openxmlformats.org/officeDocument/2006/relationships/hyperlink" Id="rId120" Target="https://doi.org/10.1080/17430437.2017.1346620" TargetMode="External" /><Relationship Type="http://schemas.openxmlformats.org/officeDocument/2006/relationships/hyperlink" Id="rId105" Target="https://doi.org/10.1111/ecin.12061" TargetMode="External" /><Relationship Type="http://schemas.openxmlformats.org/officeDocument/2006/relationships/hyperlink" Id="rId113" Target="https://doi.org/10.1123/jsm.16.4.311" TargetMode="External" /><Relationship Type="http://schemas.openxmlformats.org/officeDocument/2006/relationships/hyperlink" Id="rId111" Target="https://doi.org/10.1123/jsm.2019-0404" TargetMode="External" /><Relationship Type="http://schemas.openxmlformats.org/officeDocument/2006/relationships/hyperlink" Id="rId101" Target="https://doi.org/10.1177/019372359001400102" TargetMode="External" /><Relationship Type="http://schemas.openxmlformats.org/officeDocument/2006/relationships/hyperlink" Id="rId122" Target="https://doi.org/10.1177/152700250200300204" TargetMode="External" /><Relationship Type="http://schemas.openxmlformats.org/officeDocument/2006/relationships/hyperlink" Id="rId103" Target="https://doi.org/10.1177/1527002504265957" TargetMode="External" /><Relationship Type="http://schemas.openxmlformats.org/officeDocument/2006/relationships/hyperlink" Id="rId109" Target="https://doi.org/10.1177/1527002508327387" TargetMode="External" /><Relationship Type="http://schemas.openxmlformats.org/officeDocument/2006/relationships/hyperlink" Id="rId128" Target="https://doi.org/10.1177/1527002509337212" TargetMode="External" /><Relationship Type="http://schemas.openxmlformats.org/officeDocument/2006/relationships/hyperlink" Id="rId107" Target="https://doi.org/10.1177/155862350800300105" TargetMode="External" /><Relationship Type="http://schemas.openxmlformats.org/officeDocument/2006/relationships/hyperlink" Id="rId118" Target="https://doi.org/10.32614/cran.package.wehoop" TargetMode="External" /><Relationship Type="http://schemas.openxmlformats.org/officeDocument/2006/relationships/hyperlink" Id="rId139" Target="https://doi.org/10.3390/ijfs7010012" TargetMode="External" /><Relationship Type="http://schemas.openxmlformats.org/officeDocument/2006/relationships/hyperlink" Id="rId126"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16" Target="https://polecom.org/index.php/polecom/article/view/119" TargetMode="External" /><Relationship Type="http://schemas.openxmlformats.org/officeDocument/2006/relationships/hyperlink" Id="rId99" Target="https://www.acrossthetimeline.com/wnba/attendance.html" TargetMode="External" /><Relationship Type="http://schemas.openxmlformats.org/officeDocument/2006/relationships/hyperlink" Id="rId134" Target="https://www.jstor.org/stable/1924766" TargetMode="External" /><Relationship Type="http://schemas.openxmlformats.org/officeDocument/2006/relationships/hyperlink" Id="rId149"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47" Target="https://accessecon.com/pubs/eb/2003/volume1/eb-03a10003a.pdf" TargetMode="External" /><Relationship Type="http://schemas.openxmlformats.org/officeDocument/2006/relationships/hyperlink" Id="rId137" Target="https://doi.org/10.1002/(SICI)1099-1255(199611)11:6&lt;619::AID-JAE418&gt;3.0.CO;2-1" TargetMode="External" /><Relationship Type="http://schemas.openxmlformats.org/officeDocument/2006/relationships/hyperlink" Id="rId124" Target="https://doi.org/10.1002/mde.1308" TargetMode="External" /><Relationship Type="http://schemas.openxmlformats.org/officeDocument/2006/relationships/hyperlink" Id="rId132" Target="https://doi.org/10.1016/0304-4076(85)90158-7" TargetMode="External" /><Relationship Type="http://schemas.openxmlformats.org/officeDocument/2006/relationships/hyperlink" Id="rId143" Target="https://doi.org/10.1080/00031305.2016.1154108" TargetMode="External" /><Relationship Type="http://schemas.openxmlformats.org/officeDocument/2006/relationships/hyperlink" Id="rId145" Target="https://doi.org/10.1080/00031305.2019.1583913" TargetMode="External" /><Relationship Type="http://schemas.openxmlformats.org/officeDocument/2006/relationships/hyperlink" Id="rId130" Target="https://doi.org/10.1080/14660970.2022.2037218" TargetMode="External" /><Relationship Type="http://schemas.openxmlformats.org/officeDocument/2006/relationships/hyperlink" Id="rId120" Target="https://doi.org/10.1080/17430437.2017.1346620" TargetMode="External" /><Relationship Type="http://schemas.openxmlformats.org/officeDocument/2006/relationships/hyperlink" Id="rId105" Target="https://doi.org/10.1111/ecin.12061" TargetMode="External" /><Relationship Type="http://schemas.openxmlformats.org/officeDocument/2006/relationships/hyperlink" Id="rId113" Target="https://doi.org/10.1123/jsm.16.4.311" TargetMode="External" /><Relationship Type="http://schemas.openxmlformats.org/officeDocument/2006/relationships/hyperlink" Id="rId111" Target="https://doi.org/10.1123/jsm.2019-0404" TargetMode="External" /><Relationship Type="http://schemas.openxmlformats.org/officeDocument/2006/relationships/hyperlink" Id="rId101" Target="https://doi.org/10.1177/019372359001400102" TargetMode="External" /><Relationship Type="http://schemas.openxmlformats.org/officeDocument/2006/relationships/hyperlink" Id="rId122" Target="https://doi.org/10.1177/152700250200300204" TargetMode="External" /><Relationship Type="http://schemas.openxmlformats.org/officeDocument/2006/relationships/hyperlink" Id="rId103" Target="https://doi.org/10.1177/1527002504265957" TargetMode="External" /><Relationship Type="http://schemas.openxmlformats.org/officeDocument/2006/relationships/hyperlink" Id="rId109" Target="https://doi.org/10.1177/1527002508327387" TargetMode="External" /><Relationship Type="http://schemas.openxmlformats.org/officeDocument/2006/relationships/hyperlink" Id="rId128" Target="https://doi.org/10.1177/1527002509337212" TargetMode="External" /><Relationship Type="http://schemas.openxmlformats.org/officeDocument/2006/relationships/hyperlink" Id="rId107" Target="https://doi.org/10.1177/155862350800300105" TargetMode="External" /><Relationship Type="http://schemas.openxmlformats.org/officeDocument/2006/relationships/hyperlink" Id="rId118" Target="https://doi.org/10.32614/cran.package.wehoop" TargetMode="External" /><Relationship Type="http://schemas.openxmlformats.org/officeDocument/2006/relationships/hyperlink" Id="rId139" Target="https://doi.org/10.3390/ijfs7010012" TargetMode="External" /><Relationship Type="http://schemas.openxmlformats.org/officeDocument/2006/relationships/hyperlink" Id="rId126"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16" Target="https://polecom.org/index.php/polecom/article/view/119" TargetMode="External" /><Relationship Type="http://schemas.openxmlformats.org/officeDocument/2006/relationships/hyperlink" Id="rId99" Target="https://www.acrossthetimeline.com/wnba/attendance.html" TargetMode="External" /><Relationship Type="http://schemas.openxmlformats.org/officeDocument/2006/relationships/hyperlink" Id="rId134" Target="https://www.jstor.org/stable/1924766" TargetMode="External" /><Relationship Type="http://schemas.openxmlformats.org/officeDocument/2006/relationships/hyperlink" Id="rId149"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2026-06-08T16:59:33Z</dcterms:created>
  <dcterms:modified xsi:type="dcterms:W3CDTF">2026-06-08T16:59:33Z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