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5.png" ContentType="image/png"/>
  <Override PartName="/word/media/rId35.png" ContentType="image/png"/>
  <Override PartName="/word/media/rId21.png" ContentType="image/png"/>
  <Override PartName="/word/media/rId134.png" ContentType="image/png"/>
  <Override PartName="/word/media/rId170.png" ContentType="image/png"/>
  <Override PartName="/word/media/rId174.png" ContentType="image/png"/>
  <Override PartName="/word/media/rId178.png" ContentType="image/png"/>
  <Override PartName="/word/media/rId13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51.png" ContentType="image/png"/>
  <Override PartName="/word/media/rId65.png" ContentType="image/png"/>
  <Override PartName="/word/media/rId5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2026-06-05</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2"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w:t>
      </w:r>
    </w:p>
    <w:p>
      <w:pPr>
        <w:pStyle w:val="BodyText"/>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p>
      <w:pPr>
        <w:pStyle w:val="BodyText"/>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0"/>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Start w:id="11" w:name="still-to-be-incorporated-in-intro"/>
    <w:p>
      <w:pPr>
        <w:pStyle w:val="Heading3"/>
      </w:pPr>
      <w:r>
        <w:t xml:space="preserve">1.1 still to be incorporated in intro:</w:t>
      </w:r>
    </w:p>
    <w:p>
      <w:pPr>
        <w:pStyle w:val="FirstParagraph"/>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1"/>
    <w:bookmarkEnd w:id="12"/>
    <w:bookmarkStart w:id="29" w:name="sec-data"/>
    <w:p>
      <w:pPr>
        <w:pStyle w:val="Heading2"/>
      </w:pPr>
      <w:r>
        <w:t xml:space="preserve">2 Data</w:t>
      </w:r>
    </w:p>
    <w:bookmarkStart w:id="20"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w:t>
      </w:r>
      <w:r>
        <w:t xml:space="preserve"> </w:t>
      </w:r>
      <w:r>
        <w:t xml:space="preserve">We supplemented these data with arena capacities that we collected manually</w:t>
      </w:r>
      <w:r>
        <w:rPr>
          <w:rStyle w:val="FootnoteReference"/>
        </w:rPr>
        <w:footnoteReference w:id="13"/>
      </w:r>
      <w:r>
        <w:t xml:space="preserve">.</w:t>
      </w:r>
      <w:r>
        <w:t xml:space="preserve"> </w:t>
      </w:r>
      <w:r>
        <w:t xml:space="preserve">Attendance data was unavailable for only 152 games, while (due to the COVID-19 pandemic) 2 games (accurately) recorded attendance of 0.</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2015-06-19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Freeman Coliseum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2001-06-16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Conseco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2007-08-07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2010-08-08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 Airways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1998-06-15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 Airways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2002-07-08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2003-08-12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BOK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Verizon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End w:id="20"/>
    <w:bookmarkStart w:id="26"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r>
            <m:t>I</m:t>
          </m:r>
          <m:r>
            <m:rPr>
              <m:sty m:val="p"/>
            </m:rPr>
            <m:t>(</m:t>
          </m:r>
          <m:r>
            <m:t>i</m:t>
          </m:r>
          <m:r>
            <m:rPr>
              <m:nor/>
              <m:sty m:val="p"/>
            </m:rPr>
            <m:t> beats </m:t>
          </m:r>
          <m:r>
            <m:t>j</m:t>
          </m:r>
          <m:r>
            <m:rPr>
              <m:sty m:val="p"/>
            </m:rPr>
            <m:t>)</m:t>
          </m:r>
          <m:r>
            <m:t> </m:t>
          </m:r>
          <m:r>
            <m:rPr>
              <m:sty m:val="p"/>
            </m:rPr>
            <m:t>,</m:t>
          </m:r>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5" w:name="cell-fig-elo"/>
    <w:tbl>
      <w:tblPr>
        <w:tblStyle w:val="Table"/>
        <w:tblW w:type="pct" w:w="5000"/>
        <w:tblLayout w:type="fixed"/>
        <w:tblLook w:firstRow="0" w:lastRow="0" w:firstColumn="0" w:lastColumn="0" w:noHBand="0" w:noVBand="0" w:val="0000"/>
      </w:tblPr>
      <w:tblGrid>
        <w:gridCol w:w="7920"/>
      </w:tblGrid>
      <w:tr>
        <w:tc>
          <w:tcPr/>
          <w:bookmarkStart w:id="24" w:name="fig-elo"/>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elo-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28" w:name="estimating-home-win-probability"/>
    <w:p>
      <w:pPr>
        <w:pStyle w:val="Heading3"/>
      </w:pPr>
      <w:r>
        <w:t xml:space="preserve">2.3 Estimating home win probability</w:t>
      </w:r>
    </w:p>
    <w:p>
      <w:pPr>
        <w:pStyle w:val="FirstParagraph"/>
      </w:pPr>
      <w:r>
        <w:t xml:space="preserve">The Elo ratings estimated above can then be plugged back into the win probability formula to estimate the home teams’s chances of winning.</w:t>
      </w:r>
      <w:r>
        <w:t xml:space="preserve"> </w:t>
      </w:r>
      <w:r>
        <w:t xml:space="preserve">We also added a 12-point home court advantage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12</m:t>
                          </m:r>
                        </m:e>
                      </m:d>
                    </m:num>
                    <m:den>
                      <m:r>
                        <m:t>400</m:t>
                      </m:r>
                    </m:den>
                  </m:f>
                </m:sup>
              </m:sSup>
            </m:den>
          </m:f>
          <m:r>
            <m:t> </m:t>
          </m:r>
          <m:r>
            <m:rPr>
              <m:sty m:val="p"/>
            </m:rPr>
            <m:t>.</m:t>
          </m:r>
        </m:oMath>
      </m:oMathPara>
    </w:p>
    <w:p>
      <w:pPr>
        <w:pStyle w:val="FirstParagraph"/>
      </w:pPr>
      <w:r>
        <w:t xml:space="preserve">We arrived at 12 points by manually calibrating the win probabilities to match the observed frequencies.</w:t>
      </w:r>
      <w:r>
        <w:t xml:space="preserve"> </w:t>
      </w:r>
      <w:r>
        <w:t xml:space="preserve">While the model was less accurate at the extremes (it was consistently reluctant to predict nearly certain home wins and losses),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(0.153,0.233]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(0.311,0.39]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(0.468,0.547]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(0.547,0.625]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(0.625,0.704]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(0.782,0.861]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r>
          </w:tbl>
          <w:bookmarkEnd w:id="2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47"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bookmarkStart w:id="40"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4" w:name="cell-fig-attendance-year"/>
    <w:tbl>
      <w:tblPr>
        <w:tblStyle w:val="Table"/>
        <w:tblW w:type="pct" w:w="5000"/>
        <w:tblLayout w:type="fixed"/>
        <w:tblLook w:firstRow="0" w:lastRow="0" w:firstColumn="0" w:lastColumn="0" w:noHBand="0" w:noVBand="0" w:val="0000"/>
      </w:tblPr>
      <w:tblGrid>
        <w:gridCol w:w="7920"/>
      </w:tblGrid>
      <w:tr>
        <w:tc>
          <w:tcPr/>
          <w:bookmarkStart w:id="33" w:name="fig-attendance-year"/>
          <w:p>
            <w:pPr>
              <w:pStyle w:val="Compact"/>
              <w:jc w:val="center"/>
            </w:pPr>
            <w:r>
              <w:drawing>
                <wp:inline>
                  <wp:extent cx="4620126" cy="3696101"/>
                  <wp:effectExtent b="0" l="0" r="0" t="0"/>
                  <wp:docPr descr="" title="" id="31" name="Picture"/>
                  <a:graphic>
                    <a:graphicData uri="http://schemas.openxmlformats.org/drawingml/2006/picture">
                      <pic:pic>
                        <pic:nvPicPr>
                          <pic:cNvPr descr="index_files/figure-docx/fig-attendance-year-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39" w:name="cell-fig-capacity-year"/>
    <w:tbl>
      <w:tblPr>
        <w:tblStyle w:val="Table"/>
        <w:tblW w:type="pct" w:w="5000"/>
        <w:tblLayout w:type="fixed"/>
        <w:tblLook w:firstRow="0" w:lastRow="0" w:firstColumn="0" w:lastColumn="0" w:noHBand="0" w:noVBand="0" w:val="0000"/>
      </w:tblPr>
      <w:tblGrid>
        <w:gridCol w:w="7920"/>
      </w:tblGrid>
      <w:tr>
        <w:tc>
          <w:tcPr/>
          <w:bookmarkStart w:id="38" w:name="fig-capacity-year"/>
          <w:p>
            <w:pPr>
              <w:pStyle w:val="Compact"/>
              <w:jc w:val="center"/>
            </w:pPr>
            <w:r>
              <w:drawing>
                <wp:inline>
                  <wp:extent cx="4620126" cy="3696101"/>
                  <wp:effectExtent b="0" l="0" r="0" t="0"/>
                  <wp:docPr descr="" title="" id="36" name="Picture"/>
                  <a:graphic>
                    <a:graphicData uri="http://schemas.openxmlformats.org/drawingml/2006/picture">
                      <pic:pic>
                        <pic:nvPicPr>
                          <pic:cNvPr descr="index_files/figure-docx/fig-capacity-year-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9"/>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0"/>
    <w:bookmarkStart w:id="41"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unclear. We model this as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bookmarkEnd w:id="41"/>
    <w:bookmarkStart w:id="43"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42"/>
      </w:r>
      <w:r>
        <w:t xml:space="preserve">.</w:t>
      </w:r>
      <w:r>
        <w:t xml:space="preserve"> </w:t>
      </w:r>
      <w:r>
        <w:t xml:space="preserve">Finally, we include an indicator based on whether Caitlin Clark played more than 0 minutes in the game (</w:t>
      </w:r>
      <m:oMath>
        <m:r>
          <m:t>χ</m:t>
        </m:r>
      </m:oMath>
      <w:r>
        <w:t xml:space="preserve">).</w:t>
      </w:r>
    </w:p>
    <w:bookmarkEnd w:id="43"/>
    <w:bookmarkStart w:id="44"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44"/>
    <w:bookmarkStart w:id="45"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p>
    <w:p>
      <w:pPr>
        <w:pStyle w:val="BodyText"/>
      </w:pPr>
      <m:oMathPara>
        <m:oMathParaPr>
          <m:jc m:val="center"/>
        </m:oMathParaPr>
        <m:oMath>
          <m:r>
            <m:rPr>
              <m:sty m:val="p"/>
            </m:rPr>
            <m:t>ln</m:t>
          </m:r>
          <m:r>
            <m:t>y</m:t>
          </m:r>
          <m:r>
            <m:rPr>
              <m:sty m:val="p"/>
            </m:rPr>
            <m:t>=</m:t>
          </m:r>
          <m:sSubSup>
            <m:e>
              <m:r>
                <m:t>β</m:t>
              </m:r>
            </m:e>
            <m:sub>
              <m:r>
                <m:t>0</m:t>
              </m:r>
            </m:sub>
            <m:sup>
              <m:r>
                <m:rPr>
                  <m:sty m:val="p"/>
                </m:rPr>
                <m:t>(</m:t>
              </m:r>
              <m:r>
                <m:t>k</m:t>
              </m:r>
              <m:r>
                <m:rPr>
                  <m:sty m:val="p"/>
                </m:rPr>
                <m:t>)</m:t>
              </m:r>
            </m:sup>
          </m:sSubSup>
          <m:r>
            <m:rPr>
              <m:sty m:val="p"/>
            </m:rPr>
            <m:t>+</m:t>
          </m:r>
          <m:sSubSup>
            <m:e>
              <m:r>
                <m:t>β</m:t>
              </m:r>
            </m:e>
            <m:sub>
              <m:r>
                <m:t>1</m:t>
              </m:r>
            </m:sub>
            <m:sup>
              <m:r>
                <m:rPr>
                  <m:sty m:val="p"/>
                </m:rPr>
                <m:t>(</m:t>
              </m:r>
              <m:r>
                <m:t>k</m:t>
              </m:r>
              <m:r>
                <m:rPr>
                  <m:sty m:val="p"/>
                </m:rPr>
                <m:t>)</m:t>
              </m:r>
            </m:sup>
          </m:sSubSup>
          <m:sSub>
            <m:e>
              <m:r>
                <m:t>f</m:t>
              </m:r>
            </m:e>
            <m:sub>
              <m:r>
                <m:t>k</m:t>
              </m:r>
            </m:sub>
          </m:sSub>
          <m:r>
            <m:rPr>
              <m:sty m:val="p"/>
            </m:rPr>
            <m:t>+</m:t>
          </m:r>
          <m:limLow>
            <m:e>
              <m:limLow>
                <m:e>
                  <m:sSubSup>
                    <m:e>
                      <m:r>
                        <m:t>β</m:t>
                      </m:r>
                    </m:e>
                    <m:sub>
                      <m:r>
                        <m:t>2</m:t>
                      </m:r>
                    </m:sub>
                    <m:sup>
                      <m:r>
                        <m:rPr>
                          <m:sty m:val="p"/>
                        </m:rPr>
                        <m:t>(</m:t>
                      </m:r>
                      <m:r>
                        <m:t>k</m:t>
                      </m:r>
                      <m:r>
                        <m:rPr>
                          <m:sty m:val="p"/>
                        </m:rPr>
                        <m:t>)</m:t>
                      </m:r>
                    </m:sup>
                  </m:sSubSup>
                  <m:sSub>
                    <m:e>
                      <m:r>
                        <m:t>τ</m:t>
                      </m:r>
                    </m:e>
                    <m:sub>
                      <m:r>
                        <m:t>1</m:t>
                      </m:r>
                    </m:sub>
                  </m:sSub>
                  <m:r>
                    <m:rPr>
                      <m:sty m:val="p"/>
                    </m:rPr>
                    <m:t>+</m:t>
                  </m:r>
                  <m:sSubSup>
                    <m:e>
                      <m:r>
                        <m:t>β</m:t>
                      </m:r>
                    </m:e>
                    <m:sub>
                      <m:r>
                        <m:t>3</m:t>
                      </m:r>
                    </m:sub>
                    <m:sup>
                      <m:r>
                        <m:rPr>
                          <m:sty m:val="p"/>
                        </m:rPr>
                        <m:t>(</m:t>
                      </m:r>
                      <m:r>
                        <m:t>k</m:t>
                      </m:r>
                      <m:r>
                        <m:rPr>
                          <m:sty m:val="p"/>
                        </m:rPr>
                        <m:t>)</m:t>
                      </m:r>
                    </m:sup>
                  </m:sSubSup>
                  <m:sSub>
                    <m:e>
                      <m:r>
                        <m:t>τ</m:t>
                      </m:r>
                    </m:e>
                    <m:sub>
                      <m:r>
                        <m:t>2</m:t>
                      </m:r>
                    </m:sub>
                  </m:sSub>
                  <m:r>
                    <m:rPr>
                      <m:sty m:val="p"/>
                    </m:rPr>
                    <m:t>+</m:t>
                  </m:r>
                  <m:sSubSup>
                    <m:e>
                      <m:r>
                        <m:t>β</m:t>
                      </m:r>
                    </m:e>
                    <m:sub>
                      <m:r>
                        <m:t>4</m:t>
                      </m:r>
                    </m:sub>
                    <m:sup>
                      <m:r>
                        <m:rPr>
                          <m:sty m:val="p"/>
                        </m:rPr>
                        <m:t>(</m:t>
                      </m:r>
                      <m:r>
                        <m:t>k</m:t>
                      </m:r>
                      <m:r>
                        <m:rPr>
                          <m:sty m:val="p"/>
                        </m:rPr>
                        <m:t>)</m:t>
                      </m:r>
                    </m:sup>
                  </m:sSubSup>
                  <m:sSub>
                    <m:e>
                      <m:r>
                        <m:t>τ</m:t>
                      </m:r>
                    </m:e>
                    <m:sub>
                      <m:r>
                        <m:t>3</m:t>
                      </m:r>
                    </m:sub>
                  </m:sSub>
                </m:e>
                <m:lim>
                  <m:r>
                    <m:rPr>
                      <m:sty m:val="p"/>
                    </m:rPr>
                    <m:t>⏟</m:t>
                  </m:r>
                </m:lim>
              </m:limLow>
            </m:e>
            <m:lim>
              <m:r>
                <m:rPr>
                  <m:nor/>
                  <m:sty m:val="p"/>
                </m:rPr>
                <m:t>time-related</m:t>
              </m:r>
            </m:lim>
          </m:limLow>
          <m:r>
            <m:rPr>
              <m:sty m:val="p"/>
            </m:rPr>
            <m:t>+</m:t>
          </m:r>
          <m:limLow>
            <m:e>
              <m:limLow>
                <m:e>
                  <m:sSubSup>
                    <m:e>
                      <m:r>
                        <m:t>β</m:t>
                      </m:r>
                    </m:e>
                    <m:sub>
                      <m:r>
                        <m:t>5</m:t>
                      </m:r>
                    </m:sub>
                    <m:sup>
                      <m:r>
                        <m:rPr>
                          <m:sty m:val="p"/>
                        </m:rPr>
                        <m:t>(</m:t>
                      </m:r>
                      <m:r>
                        <m:t>k</m:t>
                      </m:r>
                      <m:r>
                        <m:rPr>
                          <m:sty m:val="p"/>
                        </m:rPr>
                        <m:t>)</m:t>
                      </m:r>
                    </m:sup>
                  </m:sSubSup>
                  <m:sSub>
                    <m:e>
                      <m:r>
                        <m:t>ϕ</m:t>
                      </m:r>
                    </m:e>
                    <m:sub>
                      <m:r>
                        <m:t>1</m:t>
                      </m:r>
                    </m:sub>
                  </m:sSub>
                  <m:r>
                    <m:rPr>
                      <m:sty m:val="p"/>
                    </m:rPr>
                    <m:t>+</m:t>
                  </m:r>
                  <m:sSubSup>
                    <m:e>
                      <m:r>
                        <m:t>β</m:t>
                      </m:r>
                    </m:e>
                    <m:sub>
                      <m:r>
                        <m:t>6</m:t>
                      </m:r>
                    </m:sub>
                    <m:sup>
                      <m:r>
                        <m:rPr>
                          <m:sty m:val="p"/>
                        </m:rPr>
                        <m:t>(</m:t>
                      </m:r>
                      <m:r>
                        <m:t>k</m:t>
                      </m:r>
                      <m:r>
                        <m:rPr>
                          <m:sty m:val="p"/>
                        </m:rPr>
                        <m:t>)</m:t>
                      </m:r>
                    </m:sup>
                  </m:sSubSup>
                  <m:sSub>
                    <m:e>
                      <m:r>
                        <m:t>ϕ</m:t>
                      </m:r>
                    </m:e>
                    <m:sub>
                      <m:r>
                        <m:t>2</m:t>
                      </m:r>
                    </m:sub>
                  </m:sSub>
                  <m:r>
                    <m:rPr>
                      <m:sty m:val="p"/>
                    </m:rPr>
                    <m:t>+</m:t>
                  </m:r>
                  <m:sSubSup>
                    <m:e>
                      <m:r>
                        <m:t>β</m:t>
                      </m:r>
                    </m:e>
                    <m:sub>
                      <m:r>
                        <m:t>7</m:t>
                      </m:r>
                    </m:sub>
                    <m:sup>
                      <m:r>
                        <m:rPr>
                          <m:sty m:val="p"/>
                        </m:rPr>
                        <m:t>(</m:t>
                      </m:r>
                      <m:r>
                        <m:t>k</m:t>
                      </m:r>
                      <m:r>
                        <m:rPr>
                          <m:sty m:val="p"/>
                        </m:rPr>
                        <m:t>)</m:t>
                      </m:r>
                    </m:sup>
                  </m:sSubSup>
                  <m:sSub>
                    <m:e>
                      <m:r>
                        <m:t>ϕ</m:t>
                      </m:r>
                    </m:e>
                    <m:sub>
                      <m:r>
                        <m:t>3</m:t>
                      </m:r>
                    </m:sub>
                  </m:sSub>
                </m:e>
                <m:lim>
                  <m:r>
                    <m:rPr>
                      <m:sty m:val="p"/>
                    </m:rPr>
                    <m:t>⏟</m:t>
                  </m:r>
                </m:lim>
              </m:limLow>
            </m:e>
            <m:lim>
              <m:r>
                <m:rPr>
                  <m:nor/>
                  <m:sty m:val="p"/>
                </m:rPr>
                <m:t> city-related </m:t>
              </m:r>
            </m:lim>
          </m:limLow>
          <m:r>
            <m:rPr>
              <m:sty m:val="p"/>
            </m:rPr>
            <m:t>+</m:t>
          </m:r>
          <m:sSubSup>
            <m:e>
              <m:r>
                <m:t>β</m:t>
              </m:r>
            </m:e>
            <m:sub>
              <m:r>
                <m:t>8</m:t>
              </m:r>
            </m:sub>
            <m:sup>
              <m:r>
                <m:rPr>
                  <m:sty m:val="p"/>
                </m:rPr>
                <m:t>(</m:t>
              </m:r>
              <m:r>
                <m:t>k</m:t>
              </m:r>
              <m:r>
                <m:rPr>
                  <m:sty m:val="p"/>
                </m:rPr>
                <m:t>)</m:t>
              </m:r>
            </m:sup>
          </m:sSubSup>
          <m:r>
            <m:t>χ</m:t>
          </m:r>
          <m:r>
            <m:rPr>
              <m:sty m:val="p"/>
            </m:rPr>
            <m:t>+</m:t>
          </m:r>
          <m:limLow>
            <m:e>
              <m:limLow>
                <m:e>
                  <m:sSubSup>
                    <m:e>
                      <m:r>
                        <m:t>β</m:t>
                      </m:r>
                    </m:e>
                    <m:sub>
                      <m:r>
                        <m:t>9</m:t>
                      </m:r>
                    </m:sub>
                    <m:sup>
                      <m:r>
                        <m:rPr>
                          <m:sty m:val="p"/>
                        </m:rPr>
                        <m:t>(</m:t>
                      </m:r>
                      <m:r>
                        <m:t>k</m:t>
                      </m:r>
                      <m:r>
                        <m:rPr>
                          <m:sty m:val="p"/>
                        </m:rPr>
                        <m:t>)</m:t>
                      </m:r>
                    </m:sup>
                  </m:sSubSup>
                  <m:sSub>
                    <m:e>
                      <m:r>
                        <m:t>f</m:t>
                      </m:r>
                    </m:e>
                    <m:sub>
                      <m:r>
                        <m:t>k</m:t>
                      </m:r>
                    </m:sub>
                  </m:sSub>
                  <m:sSub>
                    <m:e>
                      <m:r>
                        <m:t>τ</m:t>
                      </m:r>
                    </m:e>
                    <m:sub>
                      <m:r>
                        <m:t>1</m:t>
                      </m:r>
                    </m:sub>
                  </m:sSub>
                </m:e>
                <m:lim>
                  <m:r>
                    <m:rPr>
                      <m:sty m:val="p"/>
                    </m:rPr>
                    <m:t>⏟</m:t>
                  </m:r>
                </m:lim>
              </m:limLow>
            </m:e>
            <m:lim>
              <m:r>
                <m:rPr>
                  <m:nor/>
                  <m:sty m:val="p"/>
                </m:rPr>
                <m:t>interaction</m:t>
              </m:r>
            </m:lim>
          </m:limLow>
          <m:r>
            <m:rPr>
              <m:sty m:val="p"/>
            </m:rPr>
            <m:t>+</m:t>
          </m:r>
          <m:r>
            <m:t>ϵ</m:t>
          </m:r>
          <m:r>
            <m:t> </m:t>
          </m:r>
          <m:r>
            <m:rPr>
              <m:sty m:val="p"/>
            </m:rPr>
            <m:t>,</m:t>
          </m:r>
        </m:oMath>
      </m:oMathPara>
    </w:p>
    <w:p>
      <w:pPr>
        <w:pStyle w:val="FirstParagraph"/>
      </w:pP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45"/>
    <w:bookmarkStart w:id="46"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the in Tobit framework.</w:t>
      </w:r>
    </w:p>
    <w:bookmarkEnd w:id="46"/>
    <w:bookmarkEnd w:id="47"/>
    <w:bookmarkStart w:id="76"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1"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4</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coefs"/>
          <w:p>
            <w:pPr>
              <w:jc w:val="center"/>
            </w:pPr>
            <w:pPr>
              <w:jc w:val="left"/>
              <w:spacing w:before="200"/>
              <w:pStyle w:val="ImageCaption"/>
            </w:pPr>
            <w:r>
              <w:t xml:space="preserve">Table 3: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709"/>
              <w:gridCol w:w="2837"/>
              <w:gridCol w:w="1063"/>
              <w:gridCol w:w="1182"/>
              <w:gridCol w:w="1182"/>
              <w:gridCol w:w="94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9.027</w:t>
                  </w:r>
                </w:p>
              </w:tc>
              <w:tc>
                <w:tcPr/>
                <w:p>
                  <w:pPr>
                    <w:pStyle w:val="Compact"/>
                    <w:jc w:val="right"/>
                    <w:jc w:val="center"/>
                  </w:pPr>
                  <w:r>
                    <w:t xml:space="preserve">0.129</w:t>
                  </w:r>
                </w:p>
              </w:tc>
              <w:tc>
                <w:tcPr/>
                <w:p>
                  <w:pPr>
                    <w:pStyle w:val="Compact"/>
                    <w:jc w:val="right"/>
                    <w:jc w:val="center"/>
                  </w:pPr>
                  <w:r>
                    <w:t xml:space="preserve">69.908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8.968</w:t>
                  </w:r>
                </w:p>
              </w:tc>
              <w:tc>
                <w:tcPr/>
                <w:p>
                  <w:pPr>
                    <w:pStyle w:val="Compact"/>
                    <w:jc w:val="right"/>
                    <w:jc w:val="center"/>
                  </w:pPr>
                  <w:r>
                    <w:t xml:space="preserve">0.155</w:t>
                  </w:r>
                </w:p>
              </w:tc>
              <w:tc>
                <w:tcPr/>
                <w:p>
                  <w:pPr>
                    <w:pStyle w:val="Compact"/>
                    <w:jc w:val="right"/>
                    <w:jc w:val="center"/>
                  </w:pPr>
                  <w:r>
                    <w:t xml:space="preserve">58.003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9.078</w:t>
                  </w:r>
                </w:p>
              </w:tc>
              <w:tc>
                <w:tcPr/>
                <w:p>
                  <w:pPr>
                    <w:pStyle w:val="Compact"/>
                    <w:jc w:val="right"/>
                    <w:jc w:val="center"/>
                  </w:pPr>
                  <w:r>
                    <w:t xml:space="preserve">0.132</w:t>
                  </w:r>
                </w:p>
              </w:tc>
              <w:tc>
                <w:tcPr/>
                <w:p>
                  <w:pPr>
                    <w:pStyle w:val="Compact"/>
                    <w:jc w:val="right"/>
                    <w:jc w:val="center"/>
                  </w:pPr>
                  <w:r>
                    <w:t xml:space="preserve">68.750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0.524</w:t>
                  </w:r>
                </w:p>
              </w:tc>
              <w:tc>
                <w:tcPr/>
                <w:p>
                  <w:pPr>
                    <w:pStyle w:val="Compact"/>
                    <w:jc w:val="right"/>
                    <w:jc w:val="center"/>
                  </w:pPr>
                  <w:r>
                    <w:t xml:space="preserve">0.600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3.320</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0.422</w:t>
                  </w:r>
                </w:p>
              </w:tc>
              <w:tc>
                <w:tcPr/>
                <w:p>
                  <w:pPr>
                    <w:pStyle w:val="Compact"/>
                    <w:jc w:val="right"/>
                    <w:jc w:val="center"/>
                  </w:pPr>
                  <w:r>
                    <w:t xml:space="preserve">0.402</w:t>
                  </w:r>
                </w:p>
              </w:tc>
              <w:tc>
                <w:tcPr/>
                <w:p>
                  <w:pPr>
                    <w:pStyle w:val="Compact"/>
                    <w:jc w:val="right"/>
                    <w:jc w:val="center"/>
                  </w:pPr>
                  <w:r>
                    <w:t xml:space="preserve">1.050</w:t>
                  </w:r>
                </w:p>
              </w:tc>
              <w:tc>
                <w:tcPr/>
                <w:p>
                  <w:pPr>
                    <w:pStyle w:val="Compact"/>
                    <w:jc w:val="right"/>
                    <w:jc w:val="center"/>
                  </w:pPr>
                  <w:r>
                    <w:t xml:space="preserve">0.294</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0.705</w:t>
                  </w:r>
                </w:p>
              </w:tc>
              <w:tc>
                <w:tcPr/>
                <w:p>
                  <w:pPr>
                    <w:pStyle w:val="Compact"/>
                    <w:jc w:val="right"/>
                    <w:jc w:val="center"/>
                  </w:pPr>
                  <w:r>
                    <w:t xml:space="preserve">0.049</w:t>
                  </w:r>
                </w:p>
              </w:tc>
              <w:tc>
                <w:tcPr/>
                <w:p>
                  <w:pPr>
                    <w:pStyle w:val="Compact"/>
                    <w:jc w:val="right"/>
                    <w:jc w:val="center"/>
                  </w:pPr>
                  <w:r>
                    <w:t xml:space="preserve">14.514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0.699</w:t>
                  </w:r>
                </w:p>
              </w:tc>
              <w:tc>
                <w:tcPr/>
                <w:p>
                  <w:pPr>
                    <w:pStyle w:val="Compact"/>
                    <w:jc w:val="right"/>
                    <w:jc w:val="center"/>
                  </w:pPr>
                  <w:r>
                    <w:t xml:space="preserve">0.050</w:t>
                  </w:r>
                </w:p>
              </w:tc>
              <w:tc>
                <w:tcPr/>
                <w:p>
                  <w:pPr>
                    <w:pStyle w:val="Compact"/>
                    <w:jc w:val="right"/>
                    <w:jc w:val="center"/>
                  </w:pPr>
                  <w:r>
                    <w:t xml:space="preserve">14.089</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0.653</w:t>
                  </w:r>
                </w:p>
              </w:tc>
              <w:tc>
                <w:tcPr/>
                <w:p>
                  <w:pPr>
                    <w:pStyle w:val="Compact"/>
                    <w:jc w:val="right"/>
                    <w:jc w:val="center"/>
                  </w:pPr>
                  <w:r>
                    <w:t xml:space="preserve">0.048</w:t>
                  </w:r>
                </w:p>
              </w:tc>
              <w:tc>
                <w:tcPr/>
                <w:p>
                  <w:pPr>
                    <w:pStyle w:val="Compact"/>
                    <w:jc w:val="right"/>
                    <w:jc w:val="center"/>
                  </w:pPr>
                  <w:r>
                    <w:t xml:space="preserve">13.627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-3.144</w:t>
                  </w:r>
                </w:p>
              </w:tc>
              <w:tc>
                <w:tcPr/>
                <w:p>
                  <w:pPr>
                    <w:pStyle w:val="Compact"/>
                    <w:jc w:val="right"/>
                    <w:jc w:val="center"/>
                  </w:pPr>
                  <w:r>
                    <w:t xml:space="preserve">0.002</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0.021</w:t>
                  </w:r>
                </w:p>
              </w:tc>
              <w:tc>
                <w:tcPr/>
                <w:p>
                  <w:pPr>
                    <w:pStyle w:val="Compact"/>
                    <w:jc w:val="right"/>
                    <w:jc w:val="center"/>
                  </w:pPr>
                  <w:r>
                    <w:t xml:space="preserve">0.007</w:t>
                  </w:r>
                </w:p>
              </w:tc>
              <w:tc>
                <w:tcPr/>
                <w:p>
                  <w:pPr>
                    <w:pStyle w:val="Compact"/>
                    <w:jc w:val="right"/>
                    <w:jc w:val="center"/>
                  </w:pPr>
                  <w:r>
                    <w:t xml:space="preserve">2.967</w:t>
                  </w:r>
                </w:p>
              </w:tc>
              <w:tc>
                <w:tcPr/>
                <w:p>
                  <w:pPr>
                    <w:pStyle w:val="Compact"/>
                    <w:jc w:val="right"/>
                    <w:jc w:val="center"/>
                  </w:pPr>
                  <w:r>
                    <w:t xml:space="preserve">0.003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0.014</w:t>
                  </w:r>
                </w:p>
              </w:tc>
              <w:tc>
                <w:tcPr/>
                <w:p>
                  <w:pPr>
                    <w:pStyle w:val="Compact"/>
                    <w:jc w:val="right"/>
                    <w:jc w:val="center"/>
                  </w:pPr>
                  <w:r>
                    <w:t xml:space="preserve">0.007</w:t>
                  </w:r>
                </w:p>
              </w:tc>
              <w:tc>
                <w:tcPr/>
                <w:p>
                  <w:pPr>
                    <w:pStyle w:val="Compact"/>
                    <w:jc w:val="right"/>
                    <w:jc w:val="center"/>
                  </w:pPr>
                  <w:r>
                    <w:t xml:space="preserve">1.888</w:t>
                  </w:r>
                </w:p>
              </w:tc>
              <w:tc>
                <w:tcPr/>
                <w:p>
                  <w:pPr>
                    <w:pStyle w:val="Compact"/>
                    <w:jc w:val="right"/>
                    <w:jc w:val="center"/>
                  </w:pPr>
                  <w:r>
                    <w:t xml:space="preserve">0.059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0.017</w:t>
                  </w:r>
                </w:p>
              </w:tc>
              <w:tc>
                <w:tcPr/>
                <w:p>
                  <w:pPr>
                    <w:pStyle w:val="Compact"/>
                    <w:jc w:val="right"/>
                    <w:jc w:val="center"/>
                  </w:pPr>
                  <w:r>
                    <w:t xml:space="preserve">0.007</w:t>
                  </w:r>
                </w:p>
              </w:tc>
              <w:tc>
                <w:tcPr/>
                <w:p>
                  <w:pPr>
                    <w:pStyle w:val="Compact"/>
                    <w:jc w:val="right"/>
                    <w:jc w:val="center"/>
                  </w:pPr>
                  <w:r>
                    <w:t xml:space="preserve">2.382</w:t>
                  </w:r>
                </w:p>
              </w:tc>
              <w:tc>
                <w:tcPr/>
                <w:p>
                  <w:pPr>
                    <w:pStyle w:val="Compact"/>
                    <w:jc w:val="right"/>
                    <w:jc w:val="center"/>
                  </w:pPr>
                  <w:r>
                    <w:t xml:space="preserve">0.017</w:t>
                  </w:r>
                </w:p>
              </w:tc>
            </w:tr>
          </w:tbl>
          <w:bookmarkEnd w:id="4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1.92)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and uncertainty of outcome hypotheses is weak, with those coefficients barely moving the needle.</w:t>
      </w:r>
      <w:r>
        <w:t xml:space="preserve"> </w:t>
      </w:r>
      <w:r>
        <w:t xml:space="preserve">A 10 percentage point increase in the probability of the home team winning is associated with a modest 4.31% increase in the expected attendance, after controlling for our other factors.</w:t>
      </w:r>
    </w:p>
    <w:tbl>
      <w:tblPr>
        <w:tblStyle w:val="Table"/>
        <w:tblW w:type="pct" w:w="5000"/>
        <w:tblLayout w:type="fixed"/>
        <w:tblLook w:firstRow="0" w:lastRow="0" w:firstColumn="0" w:lastColumn="0" w:noHBand="0" w:noVBand="0" w:val="0000"/>
      </w:tblPr>
      <w:tblGrid>
        <w:gridCol w:w="7920"/>
      </w:tblGrid>
      <w:tr>
        <w:tc>
          <w:tcPr/>
          <w:bookmarkStart w:id="49" w:name="tbl-anova"/>
          <w:p>
            <w:pPr>
              <w:jc w:val="center"/>
            </w:pPr>
            <w:pPr>
              <w:jc w:val="left"/>
              <w:spacing w:before="200"/>
              <w:pStyle w:val="ImageCaption"/>
            </w:pPr>
            <w:r>
              <w:t xml:space="preserve">Table 4: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65"/>
              <w:gridCol w:w="3960"/>
              <w:gridCol w:w="282"/>
              <w:gridCol w:w="754"/>
              <w:gridCol w:w="660"/>
              <w:gridCol w:w="942"/>
              <w:gridCol w:w="75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10.851</w:t>
                  </w:r>
                </w:p>
              </w:tc>
              <w:tc>
                <w:tcPr/>
                <w:p>
                  <w:pPr>
                    <w:pStyle w:val="Compact"/>
                    <w:jc w:val="right"/>
                    <w:jc w:val="center"/>
                  </w:pPr>
                  <w:r>
                    <w:t xml:space="preserve">10.851</w:t>
                  </w:r>
                </w:p>
              </w:tc>
              <w:tc>
                <w:tcPr/>
                <w:p>
                  <w:pPr>
                    <w:pStyle w:val="Compact"/>
                    <w:jc w:val="right"/>
                    <w:jc w:val="center"/>
                  </w:pPr>
                  <w:r>
                    <w:t xml:space="preserve">99.987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40.473</w:t>
                  </w:r>
                </w:p>
              </w:tc>
              <w:tc>
                <w:tcPr/>
                <w:p>
                  <w:pPr>
                    <w:pStyle w:val="Compact"/>
                    <w:jc w:val="right"/>
                    <w:jc w:val="center"/>
                  </w:pPr>
                  <w:r>
                    <w:t xml:space="preserve">40.473</w:t>
                  </w:r>
                </w:p>
              </w:tc>
              <w:tc>
                <w:tcPr/>
                <w:p>
                  <w:pPr>
                    <w:pStyle w:val="Compact"/>
                    <w:jc w:val="right"/>
                    <w:jc w:val="center"/>
                  </w:pPr>
                  <w:r>
                    <w:t xml:space="preserve">401.255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39.923</w:t>
                  </w:r>
                </w:p>
              </w:tc>
              <w:tc>
                <w:tcPr/>
                <w:p>
                  <w:pPr>
                    <w:pStyle w:val="Compact"/>
                    <w:jc w:val="right"/>
                    <w:jc w:val="center"/>
                  </w:pPr>
                  <w:r>
                    <w:t xml:space="preserve">39.923</w:t>
                  </w:r>
                </w:p>
              </w:tc>
              <w:tc>
                <w:tcPr/>
                <w:p>
                  <w:pPr>
                    <w:pStyle w:val="Compact"/>
                    <w:jc w:val="right"/>
                    <w:jc w:val="center"/>
                  </w:pPr>
                  <w:r>
                    <w:t xml:space="preserve">395.845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22.763</w:t>
                  </w:r>
                </w:p>
              </w:tc>
              <w:tc>
                <w:tcPr/>
                <w:p>
                  <w:pPr>
                    <w:pStyle w:val="Compact"/>
                    <w:jc w:val="right"/>
                    <w:jc w:val="center"/>
                  </w:pPr>
                  <w:r>
                    <w:t xml:space="preserve">22.763</w:t>
                  </w:r>
                </w:p>
              </w:tc>
              <w:tc>
                <w:tcPr/>
                <w:p>
                  <w:pPr>
                    <w:pStyle w:val="Compact"/>
                    <w:jc w:val="right"/>
                    <w:jc w:val="center"/>
                  </w:pPr>
                  <w:r>
                    <w:t xml:space="preserve">225.675</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21.472</w:t>
                  </w:r>
                </w:p>
              </w:tc>
              <w:tc>
                <w:tcPr/>
                <w:p>
                  <w:pPr>
                    <w:pStyle w:val="Compact"/>
                    <w:jc w:val="right"/>
                    <w:jc w:val="center"/>
                  </w:pPr>
                  <w:r>
                    <w:t xml:space="preserve">21.472</w:t>
                  </w:r>
                </w:p>
              </w:tc>
              <w:tc>
                <w:tcPr/>
                <w:p>
                  <w:pPr>
                    <w:pStyle w:val="Compact"/>
                    <w:jc w:val="right"/>
                    <w:jc w:val="center"/>
                  </w:pPr>
                  <w:r>
                    <w:t xml:space="preserve">197.854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19.936</w:t>
                  </w:r>
                </w:p>
              </w:tc>
              <w:tc>
                <w:tcPr/>
                <w:p>
                  <w:pPr>
                    <w:pStyle w:val="Compact"/>
                    <w:jc w:val="right"/>
                    <w:jc w:val="center"/>
                  </w:pPr>
                  <w:r>
                    <w:t xml:space="preserve">19.936</w:t>
                  </w:r>
                </w:p>
              </w:tc>
              <w:tc>
                <w:tcPr/>
                <w:p>
                  <w:pPr>
                    <w:pStyle w:val="Compact"/>
                    <w:jc w:val="right"/>
                    <w:jc w:val="center"/>
                  </w:pPr>
                  <w:r>
                    <w:t xml:space="preserve">197.668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1.502</w:t>
                  </w:r>
                </w:p>
              </w:tc>
              <w:tc>
                <w:tcPr/>
                <w:p>
                  <w:pPr>
                    <w:pStyle w:val="Compact"/>
                    <w:jc w:val="right"/>
                    <w:jc w:val="center"/>
                  </w:pPr>
                  <w:r>
                    <w:t xml:space="preserve">1.502</w:t>
                  </w:r>
                </w:p>
              </w:tc>
              <w:tc>
                <w:tcPr/>
                <w:p>
                  <w:pPr>
                    <w:pStyle w:val="Compact"/>
                    <w:jc w:val="right"/>
                    <w:jc w:val="center"/>
                  </w:pPr>
                  <w:r>
                    <w:t xml:space="preserve">14.890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1.307</w:t>
                  </w:r>
                </w:p>
              </w:tc>
              <w:tc>
                <w:tcPr/>
                <w:p>
                  <w:pPr>
                    <w:pStyle w:val="Compact"/>
                    <w:jc w:val="right"/>
                    <w:jc w:val="center"/>
                  </w:pPr>
                  <w:r>
                    <w:t xml:space="preserve">1.307</w:t>
                  </w:r>
                </w:p>
              </w:tc>
              <w:tc>
                <w:tcPr/>
                <w:p>
                  <w:pPr>
                    <w:pStyle w:val="Compact"/>
                    <w:jc w:val="right"/>
                    <w:jc w:val="center"/>
                  </w:pPr>
                  <w:r>
                    <w:t xml:space="preserve">12.039</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1.629</w:t>
                  </w:r>
                </w:p>
              </w:tc>
              <w:tc>
                <w:tcPr/>
                <w:p>
                  <w:pPr>
                    <w:pStyle w:val="Compact"/>
                    <w:jc w:val="right"/>
                    <w:jc w:val="center"/>
                  </w:pPr>
                  <w:r>
                    <w:t xml:space="preserve">1.629</w:t>
                  </w:r>
                </w:p>
              </w:tc>
              <w:tc>
                <w:tcPr/>
                <w:p>
                  <w:pPr>
                    <w:pStyle w:val="Compact"/>
                    <w:jc w:val="right"/>
                    <w:jc w:val="center"/>
                  </w:pPr>
                  <w:r>
                    <w:t xml:space="preserve">16.153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0.278</w:t>
                  </w:r>
                </w:p>
              </w:tc>
              <w:tc>
                <w:tcPr/>
                <w:p>
                  <w:pPr>
                    <w:pStyle w:val="Compact"/>
                    <w:jc w:val="right"/>
                    <w:jc w:val="center"/>
                  </w:pPr>
                  <w:r>
                    <w:t xml:space="preserve">0.278</w:t>
                  </w:r>
                </w:p>
              </w:tc>
              <w:tc>
                <w:tcPr/>
                <w:p>
                  <w:pPr>
                    <w:pStyle w:val="Compact"/>
                    <w:jc w:val="right"/>
                    <w:jc w:val="center"/>
                  </w:pPr>
                  <w:r>
                    <w:t xml:space="preserve">2.759</w:t>
                  </w:r>
                </w:p>
              </w:tc>
              <w:tc>
                <w:tcPr/>
                <w:p>
                  <w:pPr>
                    <w:pStyle w:val="Compact"/>
                    <w:jc w:val="right"/>
                    <w:jc w:val="center"/>
                  </w:pPr>
                  <w:r>
                    <w:t xml:space="preserve">0.097</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0.322</w:t>
                  </w:r>
                </w:p>
              </w:tc>
              <w:tc>
                <w:tcPr/>
                <w:p>
                  <w:pPr>
                    <w:pStyle w:val="Compact"/>
                    <w:jc w:val="right"/>
                    <w:jc w:val="center"/>
                  </w:pPr>
                  <w:r>
                    <w:t xml:space="preserve">2.964</w:t>
                  </w:r>
                </w:p>
              </w:tc>
              <w:tc>
                <w:tcPr/>
                <w:p>
                  <w:pPr>
                    <w:pStyle w:val="Compact"/>
                    <w:jc w:val="right"/>
                    <w:jc w:val="center"/>
                  </w:pPr>
                  <w:r>
                    <w:t xml:space="preserve">0.085</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0.154</w:t>
                  </w:r>
                </w:p>
              </w:tc>
              <w:tc>
                <w:tcPr/>
                <w:p>
                  <w:pPr>
                    <w:pStyle w:val="Compact"/>
                    <w:jc w:val="right"/>
                    <w:jc w:val="center"/>
                  </w:pPr>
                  <w:r>
                    <w:t xml:space="preserve">0.154</w:t>
                  </w:r>
                </w:p>
              </w:tc>
              <w:tc>
                <w:tcPr/>
                <w:p>
                  <w:pPr>
                    <w:pStyle w:val="Compact"/>
                    <w:jc w:val="right"/>
                    <w:jc w:val="center"/>
                  </w:pPr>
                  <w:r>
                    <w:t xml:space="preserve">1.528</w:t>
                  </w:r>
                </w:p>
              </w:tc>
              <w:tc>
                <w:tcPr/>
                <w:p>
                  <w:pPr>
                    <w:pStyle w:val="Compact"/>
                    <w:jc w:val="right"/>
                    <w:jc w:val="center"/>
                  </w:pPr>
                  <w:r>
                    <w:t xml:space="preserve">0.216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12.644</w:t>
                  </w:r>
                </w:p>
              </w:tc>
              <w:tc>
                <w:tcPr/>
                <w:p>
                  <w:pPr>
                    <w:pStyle w:val="Compact"/>
                    <w:jc w:val="right"/>
                    <w:jc w:val="center"/>
                  </w:pPr>
                  <w:r>
                    <w:t xml:space="preserve">3.161</w:t>
                  </w:r>
                </w:p>
              </w:tc>
              <w:tc>
                <w:tcPr/>
                <w:p>
                  <w:pPr>
                    <w:pStyle w:val="Compact"/>
                    <w:jc w:val="right"/>
                    <w:jc w:val="center"/>
                  </w:pPr>
                  <w:r>
                    <w:t xml:space="preserve">31.339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12.434</w:t>
                  </w:r>
                </w:p>
              </w:tc>
              <w:tc>
                <w:tcPr/>
                <w:p>
                  <w:pPr>
                    <w:pStyle w:val="Compact"/>
                    <w:jc w:val="right"/>
                    <w:jc w:val="center"/>
                  </w:pPr>
                  <w:r>
                    <w:t xml:space="preserve">3.109</w:t>
                  </w:r>
                </w:p>
              </w:tc>
              <w:tc>
                <w:tcPr/>
                <w:p>
                  <w:pPr>
                    <w:pStyle w:val="Compact"/>
                    <w:jc w:val="right"/>
                    <w:jc w:val="center"/>
                  </w:pPr>
                  <w:r>
                    <w:t xml:space="preserve">28.645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11.842</w:t>
                  </w:r>
                </w:p>
              </w:tc>
              <w:tc>
                <w:tcPr/>
                <w:p>
                  <w:pPr>
                    <w:pStyle w:val="Compact"/>
                    <w:jc w:val="right"/>
                    <w:jc w:val="center"/>
                  </w:pPr>
                  <w:r>
                    <w:t xml:space="preserve">2.960</w:t>
                  </w:r>
                </w:p>
              </w:tc>
              <w:tc>
                <w:tcPr/>
                <w:p>
                  <w:pPr>
                    <w:pStyle w:val="Compact"/>
                    <w:jc w:val="right"/>
                    <w:jc w:val="center"/>
                  </w:pPr>
                  <w:r>
                    <w:t xml:space="preserve">29.354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14.323</w:t>
                  </w:r>
                </w:p>
              </w:tc>
              <w:tc>
                <w:tcPr/>
                <w:p>
                  <w:pPr>
                    <w:pStyle w:val="Compact"/>
                    <w:jc w:val="right"/>
                    <w:jc w:val="center"/>
                  </w:pPr>
                  <w:r>
                    <w:t xml:space="preserve">2.387</w:t>
                  </w:r>
                </w:p>
              </w:tc>
              <w:tc>
                <w:tcPr/>
                <w:p>
                  <w:pPr>
                    <w:pStyle w:val="Compact"/>
                    <w:jc w:val="right"/>
                    <w:jc w:val="center"/>
                  </w:pPr>
                  <w:r>
                    <w:t xml:space="preserve">23.667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15.293</w:t>
                  </w:r>
                </w:p>
              </w:tc>
              <w:tc>
                <w:tcPr/>
                <w:p>
                  <w:pPr>
                    <w:pStyle w:val="Compact"/>
                    <w:jc w:val="right"/>
                    <w:jc w:val="center"/>
                  </w:pPr>
                  <w:r>
                    <w:t xml:space="preserve">2.549</w:t>
                  </w:r>
                </w:p>
              </w:tc>
              <w:tc>
                <w:tcPr/>
                <w:p>
                  <w:pPr>
                    <w:pStyle w:val="Compact"/>
                    <w:jc w:val="right"/>
                    <w:jc w:val="center"/>
                  </w:pPr>
                  <w:r>
                    <w:t xml:space="preserve">23.487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14.704</w:t>
                  </w:r>
                </w:p>
              </w:tc>
              <w:tc>
                <w:tcPr/>
                <w:p>
                  <w:pPr>
                    <w:pStyle w:val="Compact"/>
                    <w:jc w:val="right"/>
                    <w:jc w:val="center"/>
                  </w:pPr>
                  <w:r>
                    <w:t xml:space="preserve">2.451</w:t>
                  </w:r>
                </w:p>
              </w:tc>
              <w:tc>
                <w:tcPr/>
                <w:p>
                  <w:pPr>
                    <w:pStyle w:val="Compact"/>
                    <w:jc w:val="right"/>
                    <w:jc w:val="center"/>
                  </w:pPr>
                  <w:r>
                    <w:t xml:space="preserve">24.300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117.498</w:t>
                  </w:r>
                </w:p>
              </w:tc>
              <w:tc>
                <w:tcPr/>
                <w:p>
                  <w:pPr>
                    <w:pStyle w:val="Compact"/>
                    <w:jc w:val="right"/>
                    <w:jc w:val="center"/>
                  </w:pPr>
                  <w:r>
                    <w:t xml:space="preserve">9.791</w:t>
                  </w:r>
                </w:p>
              </w:tc>
              <w:tc>
                <w:tcPr/>
                <w:p>
                  <w:pPr>
                    <w:pStyle w:val="Compact"/>
                    <w:jc w:val="right"/>
                    <w:jc w:val="center"/>
                  </w:pPr>
                  <w:r>
                    <w:t xml:space="preserve">97.074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132.317</w:t>
                  </w:r>
                </w:p>
              </w:tc>
              <w:tc>
                <w:tcPr/>
                <w:p>
                  <w:pPr>
                    <w:pStyle w:val="Compact"/>
                    <w:jc w:val="right"/>
                    <w:jc w:val="center"/>
                  </w:pPr>
                  <w:r>
                    <w:t xml:space="preserve">11.026</w:t>
                  </w:r>
                </w:p>
              </w:tc>
              <w:tc>
                <w:tcPr/>
                <w:p>
                  <w:pPr>
                    <w:pStyle w:val="Compact"/>
                    <w:jc w:val="right"/>
                    <w:jc w:val="center"/>
                  </w:pPr>
                  <w:r>
                    <w:t xml:space="preserve">101.605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122.443</w:t>
                  </w:r>
                </w:p>
              </w:tc>
              <w:tc>
                <w:tcPr/>
                <w:p>
                  <w:pPr>
                    <w:pStyle w:val="Compact"/>
                    <w:jc w:val="right"/>
                    <w:jc w:val="center"/>
                  </w:pPr>
                  <w:r>
                    <w:t xml:space="preserve">10.204</w:t>
                  </w:r>
                </w:p>
              </w:tc>
              <w:tc>
                <w:tcPr/>
                <w:p>
                  <w:pPr>
                    <w:pStyle w:val="Compact"/>
                    <w:jc w:val="right"/>
                    <w:jc w:val="center"/>
                  </w:pPr>
                  <w:r>
                    <w:t xml:space="preserve">101.171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6.526</w:t>
                  </w:r>
                </w:p>
              </w:tc>
              <w:tc>
                <w:tcPr/>
                <w:p>
                  <w:pPr>
                    <w:pStyle w:val="Compact"/>
                    <w:jc w:val="right"/>
                    <w:jc w:val="center"/>
                  </w:pPr>
                  <w:r>
                    <w:t xml:space="preserve">0.251</w:t>
                  </w:r>
                </w:p>
              </w:tc>
              <w:tc>
                <w:tcPr/>
                <w:p>
                  <w:pPr>
                    <w:pStyle w:val="Compact"/>
                    <w:jc w:val="right"/>
                    <w:jc w:val="center"/>
                  </w:pPr>
                  <w:r>
                    <w:t xml:space="preserve">2.313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27.457</w:t>
                  </w:r>
                </w:p>
              </w:tc>
              <w:tc>
                <w:tcPr/>
                <w:p>
                  <w:pPr>
                    <w:pStyle w:val="Compact"/>
                    <w:jc w:val="right"/>
                    <w:jc w:val="center"/>
                  </w:pPr>
                  <w:r>
                    <w:t xml:space="preserve">1.056</w:t>
                  </w:r>
                </w:p>
              </w:tc>
              <w:tc>
                <w:tcPr/>
                <w:p>
                  <w:pPr>
                    <w:pStyle w:val="Compact"/>
                    <w:jc w:val="right"/>
                    <w:jc w:val="center"/>
                  </w:pPr>
                  <w:r>
                    <w:t xml:space="preserve">10.470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31.440</w:t>
                  </w:r>
                </w:p>
              </w:tc>
              <w:tc>
                <w:tcPr/>
                <w:p>
                  <w:pPr>
                    <w:pStyle w:val="Compact"/>
                    <w:jc w:val="right"/>
                    <w:jc w:val="center"/>
                  </w:pPr>
                  <w:r>
                    <w:t xml:space="preserve">1.209</w:t>
                  </w:r>
                </w:p>
              </w:tc>
              <w:tc>
                <w:tcPr/>
                <w:p>
                  <w:pPr>
                    <w:pStyle w:val="Compact"/>
                    <w:jc w:val="right"/>
                    <w:jc w:val="center"/>
                  </w:pPr>
                  <w:r>
                    <w:t xml:space="preserve">11.990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152.181</w:t>
                  </w:r>
                </w:p>
              </w:tc>
              <w:tc>
                <w:tcPr/>
                <w:p>
                  <w:pPr>
                    <w:pStyle w:val="Compact"/>
                    <w:jc w:val="right"/>
                    <w:jc w:val="center"/>
                  </w:pPr>
                  <w:r>
                    <w:t xml:space="preserve">5.853</w:t>
                  </w:r>
                </w:p>
              </w:tc>
              <w:tc>
                <w:tcPr/>
                <w:p>
                  <w:pPr>
                    <w:pStyle w:val="Compact"/>
                    <w:jc w:val="right"/>
                    <w:jc w:val="center"/>
                  </w:pPr>
                  <w:r>
                    <w:t xml:space="preserve">58.029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150.433</w:t>
                  </w:r>
                </w:p>
              </w:tc>
              <w:tc>
                <w:tcPr/>
                <w:p>
                  <w:pPr>
                    <w:pStyle w:val="Compact"/>
                    <w:jc w:val="right"/>
                    <w:jc w:val="center"/>
                  </w:pPr>
                  <w:r>
                    <w:t xml:space="preserve">5.786</w:t>
                  </w:r>
                </w:p>
              </w:tc>
              <w:tc>
                <w:tcPr/>
                <w:p>
                  <w:pPr>
                    <w:pStyle w:val="Compact"/>
                    <w:jc w:val="right"/>
                    <w:jc w:val="center"/>
                  </w:pPr>
                  <w:r>
                    <w:t xml:space="preserve">53.315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147.101</w:t>
                  </w:r>
                </w:p>
              </w:tc>
              <w:tc>
                <w:tcPr/>
                <w:p>
                  <w:pPr>
                    <w:pStyle w:val="Compact"/>
                    <w:jc w:val="right"/>
                    <w:jc w:val="center"/>
                  </w:pPr>
                  <w:r>
                    <w:t xml:space="preserve">5.658</w:t>
                  </w:r>
                </w:p>
              </w:tc>
              <w:tc>
                <w:tcPr/>
                <w:p>
                  <w:pPr>
                    <w:pStyle w:val="Compact"/>
                    <w:jc w:val="right"/>
                    <w:jc w:val="center"/>
                  </w:pPr>
                  <w:r>
                    <w:t xml:space="preserve">56.098</w:t>
                  </w:r>
                </w:p>
              </w:tc>
              <w:tc>
                <w:tcPr/>
                <w:p>
                  <w:pPr>
                    <w:pStyle w:val="Compact"/>
                    <w:jc w:val="right"/>
                    <w:jc w:val="center"/>
                  </w:pPr>
                  <w:r>
                    <w:t xml:space="preserve">0.000</w:t>
                  </w:r>
                </w:p>
              </w:tc>
            </w:tr>
          </w:tbl>
          <w:bookmarkEnd w:id="4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50"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0.436</w:t>
                  </w:r>
                </w:p>
              </w:tc>
              <w:tc>
                <w:tcPr/>
                <w:p>
                  <w:pPr>
                    <w:pStyle w:val="Compact"/>
                    <w:jc w:val="right"/>
                    <w:jc w:val="center"/>
                  </w:pPr>
                  <w:r>
                    <w:t xml:space="preserve">0.427</w:t>
                  </w:r>
                </w:p>
              </w:tc>
              <w:tc>
                <w:tcPr/>
                <w:p>
                  <w:pPr>
                    <w:pStyle w:val="Compact"/>
                    <w:jc w:val="right"/>
                    <w:jc w:val="center"/>
                  </w:pPr>
                  <w:r>
                    <w:t xml:space="preserve">0.318</w:t>
                  </w:r>
                </w:p>
              </w:tc>
              <w:tc>
                <w:tcPr/>
                <w:p>
                  <w:pPr>
                    <w:pStyle w:val="Compact"/>
                    <w:jc w:val="right"/>
                    <w:jc w:val="center"/>
                  </w:pPr>
                  <w:r>
                    <w:t xml:space="preserve">49.459</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-1337.102</w:t>
                  </w:r>
                </w:p>
              </w:tc>
              <w:tc>
                <w:tcPr/>
                <w:p>
                  <w:pPr>
                    <w:pStyle w:val="Compact"/>
                    <w:jc w:val="right"/>
                    <w:jc w:val="center"/>
                  </w:pPr>
                  <w:r>
                    <w:t xml:space="preserve">2834.204</w:t>
                  </w:r>
                </w:p>
              </w:tc>
              <w:tc>
                <w:tcPr/>
                <w:p>
                  <w:pPr>
                    <w:pStyle w:val="Compact"/>
                    <w:jc w:val="right"/>
                    <w:jc w:val="center"/>
                  </w:pPr>
                  <w:r>
                    <w:t xml:space="preserve">3356.582</w:t>
                  </w:r>
                </w:p>
              </w:tc>
              <w:tc>
                <w:tcPr/>
                <w:p>
                  <w:pPr>
                    <w:pStyle w:val="Compact"/>
                    <w:jc w:val="right"/>
                    <w:jc w:val="center"/>
                  </w:pPr>
                  <w:r>
                    <w:t xml:space="preserve">502.715</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0.394</w:t>
                  </w:r>
                </w:p>
              </w:tc>
              <w:tc>
                <w:tcPr/>
                <w:p>
                  <w:pPr>
                    <w:pStyle w:val="Compact"/>
                    <w:jc w:val="right"/>
                    <w:jc w:val="center"/>
                  </w:pPr>
                  <w:r>
                    <w:t xml:space="preserve">0.384</w:t>
                  </w:r>
                </w:p>
              </w:tc>
              <w:tc>
                <w:tcPr/>
                <w:p>
                  <w:pPr>
                    <w:pStyle w:val="Compact"/>
                    <w:jc w:val="right"/>
                    <w:jc w:val="center"/>
                  </w:pPr>
                  <w:r>
                    <w:t xml:space="preserve">0.329</w:t>
                  </w:r>
                </w:p>
              </w:tc>
              <w:tc>
                <w:tcPr/>
                <w:p>
                  <w:pPr>
                    <w:pStyle w:val="Compact"/>
                    <w:jc w:val="right"/>
                    <w:jc w:val="center"/>
                  </w:pPr>
                  <w:r>
                    <w:t xml:space="preserve">41.460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-1522.340</w:t>
                  </w:r>
                </w:p>
              </w:tc>
              <w:tc>
                <w:tcPr/>
                <w:p>
                  <w:pPr>
                    <w:pStyle w:val="Compact"/>
                    <w:jc w:val="right"/>
                    <w:jc w:val="center"/>
                  </w:pPr>
                  <w:r>
                    <w:t xml:space="preserve">3204.680</w:t>
                  </w:r>
                </w:p>
              </w:tc>
              <w:tc>
                <w:tcPr/>
                <w:p>
                  <w:pPr>
                    <w:pStyle w:val="Compact"/>
                    <w:jc w:val="right"/>
                    <w:jc w:val="center"/>
                  </w:pPr>
                  <w:r>
                    <w:t xml:space="preserve">3727.057</w:t>
                  </w:r>
                </w:p>
              </w:tc>
              <w:tc>
                <w:tcPr/>
                <w:p>
                  <w:pPr>
                    <w:pStyle w:val="Compact"/>
                    <w:jc w:val="right"/>
                    <w:jc w:val="center"/>
                  </w:pPr>
                  <w:r>
                    <w:t xml:space="preserve">540.879</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0.436</w:t>
                  </w:r>
                </w:p>
              </w:tc>
              <w:tc>
                <w:tcPr/>
                <w:p>
                  <w:pPr>
                    <w:pStyle w:val="Compact"/>
                    <w:jc w:val="right"/>
                    <w:jc w:val="center"/>
                  </w:pPr>
                  <w:r>
                    <w:t xml:space="preserve">0.428</w:t>
                  </w:r>
                </w:p>
              </w:tc>
              <w:tc>
                <w:tcPr/>
                <w:p>
                  <w:pPr>
                    <w:pStyle w:val="Compact"/>
                    <w:jc w:val="right"/>
                    <w:jc w:val="center"/>
                  </w:pPr>
                  <w:r>
                    <w:t xml:space="preserve">0.318</w:t>
                  </w:r>
                </w:p>
              </w:tc>
              <w:tc>
                <w:tcPr/>
                <w:p>
                  <w:pPr>
                    <w:pStyle w:val="Compact"/>
                    <w:jc w:val="right"/>
                    <w:jc w:val="center"/>
                  </w:pPr>
                  <w:r>
                    <w:t xml:space="preserve">49.471</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-1336.828</w:t>
                  </w:r>
                </w:p>
              </w:tc>
              <w:tc>
                <w:tcPr/>
                <w:p>
                  <w:pPr>
                    <w:pStyle w:val="Compact"/>
                    <w:jc w:val="right"/>
                    <w:jc w:val="center"/>
                  </w:pPr>
                  <w:r>
                    <w:t xml:space="preserve">2833.656</w:t>
                  </w:r>
                </w:p>
              </w:tc>
              <w:tc>
                <w:tcPr/>
                <w:p>
                  <w:pPr>
                    <w:pStyle w:val="Compact"/>
                    <w:jc w:val="right"/>
                    <w:jc w:val="center"/>
                  </w:pPr>
                  <w:r>
                    <w:t xml:space="preserve">3356.033</w:t>
                  </w:r>
                </w:p>
              </w:tc>
              <w:tc>
                <w:tcPr/>
                <w:p>
                  <w:pPr>
                    <w:pStyle w:val="Compact"/>
                    <w:jc w:val="right"/>
                    <w:jc w:val="center"/>
                  </w:pPr>
                  <w:r>
                    <w:t xml:space="preserve">502.660</w:t>
                  </w:r>
                </w:p>
              </w:tc>
              <w:tc>
                <w:tcPr/>
                <w:p>
                  <w:pPr>
                    <w:pStyle w:val="Compact"/>
                    <w:jc w:val="right"/>
                    <w:jc w:val="center"/>
                  </w:pPr>
                  <w:r>
                    <w:t xml:space="preserve">4984</w:t>
                  </w:r>
                </w:p>
              </w:tc>
              <w:tc>
                <w:tcPr/>
                <w:p>
                  <w:pPr>
                    <w:pStyle w:val="Compact"/>
                    <w:jc w:val="right"/>
                    <w:jc w:val="center"/>
                  </w:pPr>
                  <w:r>
                    <w:t xml:space="preserve">5063</w:t>
                  </w:r>
                </w:p>
              </w:tc>
            </w:tr>
          </w:tbl>
          <w:bookmarkEnd w:id="5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5</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55" w:name="cell-fig-season-coefs"/>
    <w:tbl>
      <w:tblPr>
        <w:tblStyle w:val="Table"/>
        <w:tblW w:type="pct" w:w="5000"/>
        <w:tblLayout w:type="fixed"/>
        <w:tblLook w:firstRow="0" w:lastRow="0" w:firstColumn="0" w:lastColumn="0" w:noHBand="0" w:noVBand="0" w:val="0000"/>
      </w:tblPr>
      <w:tblGrid>
        <w:gridCol w:w="7920"/>
      </w:tblGrid>
      <w:tr>
        <w:tc>
          <w:tcPr/>
          <w:bookmarkStart w:id="54" w:name="fig-season-coefs"/>
          <w:p>
            <w:pPr>
              <w:pStyle w:val="Compact"/>
              <w:jc w:val="center"/>
            </w:pPr>
            <w:r>
              <w:drawing>
                <wp:inline>
                  <wp:extent cx="4620126" cy="3696101"/>
                  <wp:effectExtent b="0" l="0" r="0" t="0"/>
                  <wp:docPr descr="" title="" id="52" name="Picture"/>
                  <a:graphic>
                    <a:graphicData uri="http://schemas.openxmlformats.org/drawingml/2006/picture">
                      <pic:pic>
                        <pic:nvPicPr>
                          <pic:cNvPr descr="index_files/figure-docx/fig-season-coef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season-level fixed effects for natural logarithm of attendance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p>
      <w:pPr>
        <w:pStyle w:val="BodyText"/>
      </w:pPr>
      <w:hyperlink w:anchor="fig-season-slopes">
        <w:r>
          <w:rPr>
            <w:rStyle w:val="Hyperlink"/>
          </w:rPr>
          <w:t xml:space="preserve">Figure 6</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60" w:name="cell-fig-season-slopes"/>
    <w:tbl>
      <w:tblPr>
        <w:tblStyle w:val="Table"/>
        <w:tblW w:type="pct" w:w="5000"/>
        <w:tblLayout w:type="fixed"/>
        <w:tblLook w:firstRow="0" w:lastRow="0" w:firstColumn="0" w:lastColumn="0" w:noHBand="0" w:noVBand="0" w:val="0000"/>
      </w:tblPr>
      <w:tblGrid>
        <w:gridCol w:w="7920"/>
      </w:tblGrid>
      <w:tr>
        <w:tc>
          <w:tcPr/>
          <w:bookmarkStart w:id="59" w:name="fig-season-slopes"/>
          <w:p>
            <w:pPr>
              <w:pStyle w:val="Compact"/>
              <w:jc w:val="center"/>
            </w:pPr>
            <w:r>
              <w:drawing>
                <wp:inline>
                  <wp:extent cx="4620126" cy="3696101"/>
                  <wp:effectExtent b="0" l="0" r="0" t="0"/>
                  <wp:docPr descr="" title="" id="57" name="Picture"/>
                  <a:graphic>
                    <a:graphicData uri="http://schemas.openxmlformats.org/drawingml/2006/picture">
                      <pic:pic>
                        <pic:nvPicPr>
                          <pic:cNvPr descr="index_files/figure-docx/fig-season-slopes-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Estimated season-level changes in slopes for natural logarithm of attendance models.</w:t>
            </w:r>
          </w:p>
          <w:bookmarkEnd w:id="5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End w:id="61"/>
    <w:bookmarkStart w:id="75"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2"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660"/>
              <w:gridCol w:w="2640"/>
              <w:gridCol w:w="1210"/>
              <w:gridCol w:w="1100"/>
              <w:gridCol w:w="1210"/>
              <w:gridCol w:w="110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0.0420351</w:t>
                  </w:r>
                </w:p>
              </w:tc>
              <w:tc>
                <w:tcPr/>
                <w:p>
                  <w:pPr>
                    <w:pStyle w:val="Compact"/>
                    <w:jc w:val="right"/>
                    <w:jc w:val="center"/>
                  </w:pPr>
                  <w:r>
                    <w:t xml:space="preserve">0.3060837</w:t>
                  </w:r>
                </w:p>
              </w:tc>
              <w:tc>
                <w:tcPr/>
                <w:p>
                  <w:pPr>
                    <w:pStyle w:val="Compact"/>
                    <w:jc w:val="right"/>
                    <w:jc w:val="center"/>
                  </w:pPr>
                  <w:r>
                    <w:t xml:space="preserve">0.1373320</w:t>
                  </w:r>
                </w:p>
              </w:tc>
              <w:tc>
                <w:tcPr/>
                <w:p>
                  <w:pPr>
                    <w:pStyle w:val="Compact"/>
                    <w:jc w:val="right"/>
                    <w:jc w:val="center"/>
                  </w:pPr>
                  <w:r>
                    <w:t xml:space="preserve">0.8907684</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0.0053038</w:t>
                  </w:r>
                </w:p>
              </w:tc>
              <w:tc>
                <w:tcPr/>
                <w:p>
                  <w:pPr>
                    <w:pStyle w:val="Compact"/>
                    <w:jc w:val="right"/>
                    <w:jc w:val="center"/>
                  </w:pPr>
                  <w:r>
                    <w:t xml:space="preserve">0.0012483</w:t>
                  </w:r>
                </w:p>
              </w:tc>
              <w:tc>
                <w:tcPr/>
                <w:p>
                  <w:pPr>
                    <w:pStyle w:val="Compact"/>
                    <w:jc w:val="right"/>
                    <w:jc w:val="center"/>
                  </w:pPr>
                  <w:r>
                    <w:t xml:space="preserve">4.2489239</w:t>
                  </w:r>
                </w:p>
              </w:tc>
              <w:tc>
                <w:tcPr/>
                <w:p>
                  <w:pPr>
                    <w:pStyle w:val="Compact"/>
                    <w:jc w:val="right"/>
                    <w:jc w:val="center"/>
                  </w:pPr>
                  <w:r>
                    <w:t xml:space="preserve">0.0000215</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0.0192855</w:t>
                  </w:r>
                </w:p>
              </w:tc>
              <w:tc>
                <w:tcPr/>
                <w:p>
                  <w:pPr>
                    <w:pStyle w:val="Compact"/>
                    <w:jc w:val="right"/>
                    <w:jc w:val="center"/>
                  </w:pPr>
                  <w:r>
                    <w:t xml:space="preserve">0.0046684</w:t>
                  </w:r>
                </w:p>
              </w:tc>
              <w:tc>
                <w:tcPr/>
                <w:p>
                  <w:pPr>
                    <w:pStyle w:val="Compact"/>
                    <w:jc w:val="right"/>
                    <w:jc w:val="center"/>
                  </w:pPr>
                  <w:r>
                    <w:t xml:space="preserve">4.1310605</w:t>
                  </w:r>
                </w:p>
              </w:tc>
              <w:tc>
                <w:tcPr/>
                <w:p>
                  <w:pPr>
                    <w:pStyle w:val="Compact"/>
                    <w:jc w:val="right"/>
                    <w:jc w:val="center"/>
                  </w:pPr>
                  <w:r>
                    <w:t xml:space="preserve">0.0000361</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-0.0975090</w:t>
                  </w:r>
                </w:p>
              </w:tc>
              <w:tc>
                <w:tcPr/>
                <w:p>
                  <w:pPr>
                    <w:pStyle w:val="Compact"/>
                    <w:jc w:val="right"/>
                    <w:jc w:val="center"/>
                  </w:pPr>
                  <w:r>
                    <w:t xml:space="preserve">0.0147117</w:t>
                  </w:r>
                </w:p>
              </w:tc>
              <w:tc>
                <w:tcPr/>
                <w:p>
                  <w:pPr>
                    <w:pStyle w:val="Compact"/>
                    <w:jc w:val="right"/>
                    <w:jc w:val="center"/>
                  </w:pPr>
                  <w:r>
                    <w:t xml:space="preserve">-6.6279729</w:t>
                  </w:r>
                </w:p>
              </w:tc>
              <w:tc>
                <w:tcPr/>
                <w:p>
                  <w:pPr>
                    <w:pStyle w:val="Compact"/>
                    <w:jc w:val="right"/>
                    <w:jc w:val="center"/>
                  </w:pPr>
                  <w:r>
                    <w:t xml:space="preserve">0.0000000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2.8268291</w:t>
                  </w:r>
                </w:p>
              </w:tc>
              <w:tc>
                <w:tcPr/>
                <w:p>
                  <w:pPr>
                    <w:pStyle w:val="Compact"/>
                    <w:jc w:val="right"/>
                    <w:jc w:val="center"/>
                  </w:pPr>
                  <w:r>
                    <w:t xml:space="preserve">0.2623045</w:t>
                  </w:r>
                </w:p>
              </w:tc>
              <w:tc>
                <w:tcPr/>
                <w:p>
                  <w:pPr>
                    <w:pStyle w:val="Compact"/>
                    <w:jc w:val="right"/>
                    <w:jc w:val="center"/>
                  </w:pPr>
                  <w:r>
                    <w:t xml:space="preserve">10.7768979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0.3066991</w:t>
                  </w:r>
                </w:p>
              </w:tc>
              <w:tc>
                <w:tcPr/>
                <w:p>
                  <w:pPr>
                    <w:pStyle w:val="Compact"/>
                    <w:jc w:val="right"/>
                    <w:jc w:val="center"/>
                  </w:pPr>
                  <w:r>
                    <w:t xml:space="preserve">0.3737256</w:t>
                  </w:r>
                </w:p>
              </w:tc>
              <w:tc>
                <w:tcPr/>
                <w:p>
                  <w:pPr>
                    <w:pStyle w:val="Compact"/>
                    <w:jc w:val="right"/>
                    <w:jc w:val="center"/>
                  </w:pPr>
                  <w:r>
                    <w:t xml:space="preserve">0.8206531</w:t>
                  </w:r>
                </w:p>
              </w:tc>
              <w:tc>
                <w:tcPr/>
                <w:p>
                  <w:pPr>
                    <w:pStyle w:val="Compact"/>
                    <w:jc w:val="right"/>
                    <w:jc w:val="center"/>
                  </w:pPr>
                  <w:r>
                    <w:t xml:space="preserve">0.4118439</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-0.0012487</w:t>
                  </w:r>
                </w:p>
              </w:tc>
              <w:tc>
                <w:tcPr/>
                <w:p>
                  <w:pPr>
                    <w:pStyle w:val="Compact"/>
                    <w:jc w:val="right"/>
                    <w:jc w:val="center"/>
                  </w:pPr>
                  <w:r>
                    <w:t xml:space="preserve">0.0029263</w:t>
                  </w:r>
                </w:p>
              </w:tc>
              <w:tc>
                <w:tcPr/>
                <w:p>
                  <w:pPr>
                    <w:pStyle w:val="Compact"/>
                    <w:jc w:val="right"/>
                    <w:jc w:val="center"/>
                  </w:pPr>
                  <w:r>
                    <w:t xml:space="preserve">-0.4267265</w:t>
                  </w:r>
                </w:p>
              </w:tc>
              <w:tc>
                <w:tcPr/>
                <w:p>
                  <w:pPr>
                    <w:pStyle w:val="Compact"/>
                    <w:jc w:val="right"/>
                    <w:jc w:val="center"/>
                  </w:pPr>
                  <w:r>
                    <w:t xml:space="preserve">0.6695786</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0.0164644</w:t>
                  </w:r>
                </w:p>
              </w:tc>
              <w:tc>
                <w:tcPr/>
                <w:p>
                  <w:pPr>
                    <w:pStyle w:val="Compact"/>
                    <w:jc w:val="right"/>
                    <w:jc w:val="center"/>
                  </w:pPr>
                  <w:r>
                    <w:t xml:space="preserve">0.0046623</w:t>
                  </w:r>
                </w:p>
              </w:tc>
              <w:tc>
                <w:tcPr/>
                <w:p>
                  <w:pPr>
                    <w:pStyle w:val="Compact"/>
                    <w:jc w:val="right"/>
                    <w:jc w:val="center"/>
                  </w:pPr>
                  <w:r>
                    <w:t xml:space="preserve">3.5314191</w:t>
                  </w:r>
                </w:p>
              </w:tc>
              <w:tc>
                <w:tcPr/>
                <w:p>
                  <w:pPr>
                    <w:pStyle w:val="Compact"/>
                    <w:jc w:val="right"/>
                    <w:jc w:val="center"/>
                  </w:pPr>
                  <w:r>
                    <w:t xml:space="preserve">0.0004133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-0.0948250</w:t>
                  </w:r>
                </w:p>
              </w:tc>
              <w:tc>
                <w:tcPr/>
                <w:p>
                  <w:pPr>
                    <w:pStyle w:val="Compact"/>
                    <w:jc w:val="right"/>
                    <w:jc w:val="center"/>
                  </w:pPr>
                  <w:r>
                    <w:t xml:space="preserve">0.0144747</w:t>
                  </w:r>
                </w:p>
              </w:tc>
              <w:tc>
                <w:tcPr/>
                <w:p>
                  <w:pPr>
                    <w:pStyle w:val="Compact"/>
                    <w:jc w:val="right"/>
                    <w:jc w:val="center"/>
                  </w:pPr>
                  <w:r>
                    <w:t xml:space="preserve">-6.5511069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2.9022797</w:t>
                  </w:r>
                </w:p>
              </w:tc>
              <w:tc>
                <w:tcPr/>
                <w:p>
                  <w:pPr>
                    <w:pStyle w:val="Compact"/>
                    <w:jc w:val="right"/>
                    <w:jc w:val="center"/>
                  </w:pPr>
                  <w:r>
                    <w:t xml:space="preserve">0.2595776</w:t>
                  </w:r>
                </w:p>
              </w:tc>
              <w:tc>
                <w:tcPr/>
                <w:p>
                  <w:pPr>
                    <w:pStyle w:val="Compact"/>
                    <w:jc w:val="right"/>
                    <w:jc w:val="center"/>
                  </w:pPr>
                  <w:r>
                    <w:t xml:space="preserve">11.1807804</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0.0502670</w:t>
                  </w:r>
                </w:p>
              </w:tc>
              <w:tc>
                <w:tcPr/>
                <w:p>
                  <w:pPr>
                    <w:pStyle w:val="Compact"/>
                    <w:jc w:val="right"/>
                    <w:jc w:val="center"/>
                  </w:pPr>
                  <w:r>
                    <w:t xml:space="preserve">0.3202932</w:t>
                  </w:r>
                </w:p>
              </w:tc>
              <w:tc>
                <w:tcPr/>
                <w:p>
                  <w:pPr>
                    <w:pStyle w:val="Compact"/>
                    <w:jc w:val="right"/>
                    <w:jc w:val="center"/>
                  </w:pPr>
                  <w:r>
                    <w:t xml:space="preserve">0.1569407</w:t>
                  </w:r>
                </w:p>
              </w:tc>
              <w:tc>
                <w:tcPr/>
                <w:p>
                  <w:pPr>
                    <w:pStyle w:val="Compact"/>
                    <w:jc w:val="right"/>
                    <w:jc w:val="center"/>
                  </w:pPr>
                  <w:r>
                    <w:t xml:space="preserve">0.8752916</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2.3584200</w:t>
                  </w:r>
                </w:p>
              </w:tc>
              <w:tc>
                <w:tcPr/>
                <w:p>
                  <w:pPr>
                    <w:pStyle w:val="Compact"/>
                    <w:jc w:val="right"/>
                    <w:jc w:val="center"/>
                  </w:pPr>
                  <w:r>
                    <w:t xml:space="preserve">0.8986874</w:t>
                  </w:r>
                </w:p>
              </w:tc>
              <w:tc>
                <w:tcPr/>
                <w:p>
                  <w:pPr>
                    <w:pStyle w:val="Compact"/>
                    <w:jc w:val="right"/>
                    <w:jc w:val="center"/>
                  </w:pPr>
                  <w:r>
                    <w:t xml:space="preserve">2.6242941</w:t>
                  </w:r>
                </w:p>
              </w:tc>
              <w:tc>
                <w:tcPr/>
                <w:p>
                  <w:pPr>
                    <w:pStyle w:val="Compact"/>
                    <w:jc w:val="right"/>
                    <w:jc w:val="center"/>
                  </w:pPr>
                  <w:r>
                    <w:t xml:space="preserve">0.0086829</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0.0179402</w:t>
                  </w:r>
                </w:p>
              </w:tc>
              <w:tc>
                <w:tcPr/>
                <w:p>
                  <w:pPr>
                    <w:pStyle w:val="Compact"/>
                    <w:jc w:val="right"/>
                    <w:jc w:val="center"/>
                  </w:pPr>
                  <w:r>
                    <w:t xml:space="preserve">0.0047330</w:t>
                  </w:r>
                </w:p>
              </w:tc>
              <w:tc>
                <w:tcPr/>
                <w:p>
                  <w:pPr>
                    <w:pStyle w:val="Compact"/>
                    <w:jc w:val="right"/>
                    <w:jc w:val="center"/>
                  </w:pPr>
                  <w:r>
                    <w:t xml:space="preserve">3.7904230</w:t>
                  </w:r>
                </w:p>
              </w:tc>
              <w:tc>
                <w:tcPr/>
                <w:p>
                  <w:pPr>
                    <w:pStyle w:val="Compact"/>
                    <w:jc w:val="right"/>
                    <w:jc w:val="center"/>
                  </w:pPr>
                  <w:r>
                    <w:t xml:space="preserve">0.0001504</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-0.1017634</w:t>
                  </w:r>
                </w:p>
              </w:tc>
              <w:tc>
                <w:tcPr/>
                <w:p>
                  <w:pPr>
                    <w:pStyle w:val="Compact"/>
                    <w:jc w:val="right"/>
                    <w:jc w:val="center"/>
                  </w:pPr>
                  <w:r>
                    <w:t xml:space="preserve">0.0149716</w:t>
                  </w:r>
                </w:p>
              </w:tc>
              <w:tc>
                <w:tcPr/>
                <w:p>
                  <w:pPr>
                    <w:pStyle w:val="Compact"/>
                    <w:jc w:val="right"/>
                    <w:jc w:val="center"/>
                  </w:pPr>
                  <w:r>
                    <w:t xml:space="preserve">-6.7970886</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2.8717453</w:t>
                  </w:r>
                </w:p>
              </w:tc>
              <w:tc>
                <w:tcPr/>
                <w:p>
                  <w:pPr>
                    <w:pStyle w:val="Compact"/>
                    <w:jc w:val="right"/>
                    <w:jc w:val="center"/>
                  </w:pPr>
                  <w:r>
                    <w:t xml:space="preserve">0.2611669</w:t>
                  </w:r>
                </w:p>
              </w:tc>
              <w:tc>
                <w:tcPr/>
                <w:p>
                  <w:pPr>
                    <w:pStyle w:val="Compact"/>
                    <w:jc w:val="right"/>
                    <w:jc w:val="center"/>
                  </w:pPr>
                  <w:r>
                    <w:t xml:space="preserve">10.9958230</w:t>
                  </w:r>
                </w:p>
              </w:tc>
              <w:tc>
                <w:tcPr/>
                <w:p>
                  <w:pPr>
                    <w:pStyle w:val="Compact"/>
                    <w:jc w:val="right"/>
                    <w:jc w:val="center"/>
                  </w:pPr>
                  <w:r>
                    <w:t xml:space="preserve">0.0000000</w:t>
                  </w:r>
                </w:p>
              </w:tc>
            </w:tr>
          </w:tbl>
          <w:bookmarkEnd w:id="6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3"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-2973.023</w:t>
                  </w:r>
                </w:p>
              </w:tc>
              <w:tc>
                <w:tcPr/>
                <w:p>
                  <w:pPr>
                    <w:pStyle w:val="Compact"/>
                    <w:jc w:val="right"/>
                    <w:jc w:val="center"/>
                  </w:pPr>
                  <w:r>
                    <w:t xml:space="preserve">6104.046</w:t>
                  </w:r>
                </w:p>
              </w:tc>
              <w:tc>
                <w:tcPr/>
                <w:p>
                  <w:pPr>
                    <w:pStyle w:val="Compact"/>
                    <w:jc w:val="right"/>
                    <w:jc w:val="center"/>
                  </w:pPr>
                  <w:r>
                    <w:t xml:space="preserve">6619.894</w:t>
                  </w:r>
                </w:p>
              </w:tc>
              <w:tc>
                <w:tcPr/>
                <w:p>
                  <w:pPr>
                    <w:pStyle w:val="Compact"/>
                    <w:jc w:val="right"/>
                    <w:jc w:val="center"/>
                  </w:pPr>
                  <w:r>
                    <w:t xml:space="preserve">559.5177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-2999.275</w:t>
                  </w:r>
                </w:p>
              </w:tc>
              <w:tc>
                <w:tcPr/>
                <w:p>
                  <w:pPr>
                    <w:pStyle w:val="Compact"/>
                    <w:jc w:val="right"/>
                    <w:jc w:val="center"/>
                  </w:pPr>
                  <w:r>
                    <w:t xml:space="preserve">6156.550</w:t>
                  </w:r>
                </w:p>
              </w:tc>
              <w:tc>
                <w:tcPr/>
                <w:p>
                  <w:pPr>
                    <w:pStyle w:val="Compact"/>
                    <w:jc w:val="right"/>
                    <w:jc w:val="center"/>
                  </w:pPr>
                  <w:r>
                    <w:t xml:space="preserve">6672.398</w:t>
                  </w:r>
                </w:p>
              </w:tc>
              <w:tc>
                <w:tcPr/>
                <w:p>
                  <w:pPr>
                    <w:pStyle w:val="Compact"/>
                    <w:jc w:val="right"/>
                    <w:jc w:val="center"/>
                  </w:pPr>
                  <w:r>
                    <w:t xml:space="preserve">574.1421</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-2986.255</w:t>
                  </w:r>
                </w:p>
              </w:tc>
              <w:tc>
                <w:tcPr/>
                <w:p>
                  <w:pPr>
                    <w:pStyle w:val="Compact"/>
                    <w:jc w:val="right"/>
                    <w:jc w:val="center"/>
                  </w:pPr>
                  <w:r>
                    <w:t xml:space="preserve">6130.510</w:t>
                  </w:r>
                </w:p>
              </w:tc>
              <w:tc>
                <w:tcPr/>
                <w:p>
                  <w:pPr>
                    <w:pStyle w:val="Compact"/>
                    <w:jc w:val="right"/>
                    <w:jc w:val="center"/>
                  </w:pPr>
                  <w:r>
                    <w:t xml:space="preserve">6646.358</w:t>
                  </w:r>
                </w:p>
              </w:tc>
              <w:tc>
                <w:tcPr/>
                <w:p>
                  <w:pPr>
                    <w:pStyle w:val="Compact"/>
                    <w:jc w:val="right"/>
                    <w:jc w:val="center"/>
                  </w:pPr>
                  <w:r>
                    <w:t xml:space="preserve">564.3610</w:t>
                  </w:r>
                </w:p>
              </w:tc>
              <w:tc>
                <w:tcPr/>
                <w:p>
                  <w:pPr>
                    <w:pStyle w:val="Compact"/>
                    <w:jc w:val="right"/>
                    <w:jc w:val="center"/>
                  </w:pPr>
                  <w:r>
                    <w:t xml:space="preserve">4984</w:t>
                  </w:r>
                </w:p>
              </w:tc>
              <w:tc>
                <w:tcPr/>
                <w:p>
                  <w:pPr>
                    <w:pStyle w:val="Compact"/>
                    <w:jc w:val="right"/>
                    <w:jc w:val="center"/>
                  </w:pPr>
                  <w:r>
                    <w:t xml:space="preserve">5063</w:t>
                  </w:r>
                </w:p>
              </w:tc>
            </w:tr>
          </w:tbl>
          <w:bookmarkEnd w:id="6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4"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484"/>
              <w:gridCol w:w="3394"/>
              <w:gridCol w:w="242"/>
              <w:gridCol w:w="727"/>
              <w:gridCol w:w="969"/>
              <w:gridCol w:w="1454"/>
              <w:gridCol w:w="64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0.032</w:t>
                  </w:r>
                </w:p>
              </w:tc>
              <w:tc>
                <w:tcPr/>
                <w:p>
                  <w:pPr>
                    <w:pStyle w:val="Compact"/>
                    <w:jc w:val="right"/>
                    <w:jc w:val="center"/>
                  </w:pPr>
                  <w:r>
                    <w:t xml:space="preserve">5061</w:t>
                  </w:r>
                </w:p>
              </w:tc>
              <w:tc>
                <w:tcPr/>
                <w:p>
                  <w:pPr>
                    <w:pStyle w:val="Compact"/>
                    <w:jc w:val="right"/>
                    <w:jc w:val="center"/>
                  </w:pPr>
                  <w:r>
                    <w:t xml:space="preserve">916.634</w:t>
                  </w:r>
                </w:p>
              </w:tc>
              <w:tc>
                <w:tcPr/>
                <w:p>
                  <w:pPr>
                    <w:pStyle w:val="Compact"/>
                    <w:jc w:val="right"/>
                    <w:jc w:val="center"/>
                  </w:pPr>
                  <w:r>
                    <w:t xml:space="preserve">0.858</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8.035</w:t>
                  </w:r>
                </w:p>
              </w:tc>
              <w:tc>
                <w:tcPr/>
                <w:p>
                  <w:pPr>
                    <w:pStyle w:val="Compact"/>
                    <w:jc w:val="right"/>
                    <w:jc w:val="center"/>
                  </w:pPr>
                  <w:r>
                    <w:t xml:space="preserve">5061</w:t>
                  </w:r>
                </w:p>
              </w:tc>
              <w:tc>
                <w:tcPr/>
                <w:p>
                  <w:pPr>
                    <w:pStyle w:val="Compact"/>
                    <w:jc w:val="right"/>
                    <w:jc w:val="center"/>
                  </w:pPr>
                  <w:r>
                    <w:t xml:space="preserve">908.631</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0.906</w:t>
                  </w:r>
                </w:p>
              </w:tc>
              <w:tc>
                <w:tcPr/>
                <w:p>
                  <w:pPr>
                    <w:pStyle w:val="Compact"/>
                    <w:jc w:val="right"/>
                    <w:jc w:val="center"/>
                  </w:pPr>
                  <w:r>
                    <w:t xml:space="preserve">5061</w:t>
                  </w:r>
                </w:p>
              </w:tc>
              <w:tc>
                <w:tcPr/>
                <w:p>
                  <w:pPr>
                    <w:pStyle w:val="Compact"/>
                    <w:jc w:val="right"/>
                    <w:jc w:val="center"/>
                  </w:pPr>
                  <w:r>
                    <w:t xml:space="preserve">915.760</w:t>
                  </w:r>
                </w:p>
              </w:tc>
              <w:tc>
                <w:tcPr/>
                <w:p>
                  <w:pPr>
                    <w:pStyle w:val="Compact"/>
                    <w:jc w:val="right"/>
                    <w:jc w:val="center"/>
                  </w:pPr>
                  <w:r>
                    <w:t xml:space="preserve">0.341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24.002</w:t>
                  </w:r>
                </w:p>
              </w:tc>
              <w:tc>
                <w:tcPr/>
                <w:p>
                  <w:pPr>
                    <w:pStyle w:val="Compact"/>
                    <w:jc w:val="right"/>
                    <w:jc w:val="center"/>
                  </w:pPr>
                  <w:r>
                    <w:t xml:space="preserve">5010</w:t>
                  </w:r>
                </w:p>
              </w:tc>
              <w:tc>
                <w:tcPr/>
                <w:p>
                  <w:pPr>
                    <w:pStyle w:val="Compact"/>
                    <w:jc w:val="right"/>
                    <w:jc w:val="center"/>
                  </w:pPr>
                  <w:r>
                    <w:t xml:space="preserve">573.411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23.389</w:t>
                  </w:r>
                </w:p>
              </w:tc>
              <w:tc>
                <w:tcPr/>
                <w:p>
                  <w:pPr>
                    <w:pStyle w:val="Compact"/>
                    <w:jc w:val="right"/>
                    <w:jc w:val="center"/>
                  </w:pPr>
                  <w:r>
                    <w:t xml:space="preserve">5010</w:t>
                  </w:r>
                </w:p>
              </w:tc>
              <w:tc>
                <w:tcPr/>
                <w:p>
                  <w:pPr>
                    <w:pStyle w:val="Compact"/>
                    <w:jc w:val="right"/>
                    <w:jc w:val="center"/>
                  </w:pPr>
                  <w:r>
                    <w:t xml:space="preserve">581.441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22.520</w:t>
                  </w:r>
                </w:p>
              </w:tc>
              <w:tc>
                <w:tcPr/>
                <w:p>
                  <w:pPr>
                    <w:pStyle w:val="Compact"/>
                    <w:jc w:val="right"/>
                    <w:jc w:val="center"/>
                  </w:pPr>
                  <w:r>
                    <w:t xml:space="preserve">5010</w:t>
                  </w:r>
                </w:p>
              </w:tc>
              <w:tc>
                <w:tcPr/>
                <w:p>
                  <w:pPr>
                    <w:pStyle w:val="Compact"/>
                    <w:jc w:val="right"/>
                    <w:jc w:val="center"/>
                  </w:pPr>
                  <w:r>
                    <w:t xml:space="preserve">579.403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0.977</w:t>
                  </w:r>
                </w:p>
              </w:tc>
              <w:tc>
                <w:tcPr/>
                <w:p>
                  <w:pPr>
                    <w:pStyle w:val="Compact"/>
                    <w:jc w:val="right"/>
                    <w:jc w:val="center"/>
                  </w:pPr>
                  <w:r>
                    <w:t xml:space="preserve">5012</w:t>
                  </w:r>
                </w:p>
              </w:tc>
              <w:tc>
                <w:tcPr/>
                <w:p>
                  <w:pPr>
                    <w:pStyle w:val="Compact"/>
                    <w:jc w:val="right"/>
                    <w:jc w:val="center"/>
                  </w:pPr>
                  <w:r>
                    <w:t xml:space="preserve">601.451</w:t>
                  </w:r>
                </w:p>
              </w:tc>
              <w:tc>
                <w:tcPr/>
                <w:p>
                  <w:pPr>
                    <w:pStyle w:val="Compact"/>
                    <w:jc w:val="right"/>
                    <w:jc w:val="center"/>
                  </w:pPr>
                  <w:r>
                    <w:t xml:space="preserve">0.323</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1.038</w:t>
                  </w:r>
                </w:p>
              </w:tc>
              <w:tc>
                <w:tcPr/>
                <w:p>
                  <w:pPr>
                    <w:pStyle w:val="Compact"/>
                    <w:jc w:val="right"/>
                    <w:jc w:val="center"/>
                  </w:pPr>
                  <w:r>
                    <w:t xml:space="preserve">5012</w:t>
                  </w:r>
                </w:p>
              </w:tc>
              <w:tc>
                <w:tcPr/>
                <w:p>
                  <w:pPr>
                    <w:pStyle w:val="Compact"/>
                    <w:jc w:val="right"/>
                    <w:jc w:val="center"/>
                  </w:pPr>
                  <w:r>
                    <w:t xml:space="preserve">608.706</w:t>
                  </w:r>
                </w:p>
              </w:tc>
              <w:tc>
                <w:tcPr/>
                <w:p>
                  <w:pPr>
                    <w:pStyle w:val="Compact"/>
                    <w:jc w:val="right"/>
                    <w:jc w:val="center"/>
                  </w:pPr>
                  <w:r>
                    <w:t xml:space="preserve">0.308</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0.972</w:t>
                  </w:r>
                </w:p>
              </w:tc>
              <w:tc>
                <w:tcPr/>
                <w:p>
                  <w:pPr>
                    <w:pStyle w:val="Compact"/>
                    <w:jc w:val="right"/>
                    <w:jc w:val="center"/>
                  </w:pPr>
                  <w:r>
                    <w:t xml:space="preserve">5012</w:t>
                  </w:r>
                </w:p>
              </w:tc>
              <w:tc>
                <w:tcPr/>
                <w:p>
                  <w:pPr>
                    <w:pStyle w:val="Compact"/>
                    <w:jc w:val="right"/>
                    <w:jc w:val="center"/>
                  </w:pPr>
                  <w:r>
                    <w:t xml:space="preserve">606.342</w:t>
                  </w:r>
                </w:p>
              </w:tc>
              <w:tc>
                <w:tcPr/>
                <w:p>
                  <w:pPr>
                    <w:pStyle w:val="Compact"/>
                    <w:jc w:val="right"/>
                    <w:jc w:val="center"/>
                  </w:pPr>
                  <w:r>
                    <w:t xml:space="preserve">0.324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4.038</w:t>
                  </w:r>
                </w:p>
              </w:tc>
              <w:tc>
                <w:tcPr/>
                <w:p>
                  <w:pPr>
                    <w:pStyle w:val="Compact"/>
                    <w:jc w:val="right"/>
                    <w:jc w:val="center"/>
                  </w:pPr>
                  <w:r>
                    <w:t xml:space="preserve">5011</w:t>
                  </w:r>
                </w:p>
              </w:tc>
              <w:tc>
                <w:tcPr/>
                <w:p>
                  <w:pPr>
                    <w:pStyle w:val="Compact"/>
                    <w:jc w:val="right"/>
                    <w:jc w:val="center"/>
                  </w:pPr>
                  <w:r>
                    <w:t xml:space="preserve">597.414</w:t>
                  </w:r>
                </w:p>
              </w:tc>
              <w:tc>
                <w:tcPr/>
                <w:p>
                  <w:pPr>
                    <w:pStyle w:val="Compact"/>
                    <w:jc w:val="right"/>
                    <w:jc w:val="center"/>
                  </w:pPr>
                  <w:r>
                    <w:t xml:space="preserve">0.044</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3.876</w:t>
                  </w:r>
                </w:p>
              </w:tc>
              <w:tc>
                <w:tcPr/>
                <w:p>
                  <w:pPr>
                    <w:pStyle w:val="Compact"/>
                    <w:jc w:val="right"/>
                    <w:jc w:val="center"/>
                  </w:pPr>
                  <w:r>
                    <w:t xml:space="preserve">5011</w:t>
                  </w:r>
                </w:p>
              </w:tc>
              <w:tc>
                <w:tcPr/>
                <w:p>
                  <w:pPr>
                    <w:pStyle w:val="Compact"/>
                    <w:jc w:val="right"/>
                    <w:jc w:val="center"/>
                  </w:pPr>
                  <w:r>
                    <w:t xml:space="preserve">604.830</w:t>
                  </w:r>
                </w:p>
              </w:tc>
              <w:tc>
                <w:tcPr/>
                <w:p>
                  <w:pPr>
                    <w:pStyle w:val="Compact"/>
                    <w:jc w:val="right"/>
                    <w:jc w:val="center"/>
                  </w:pPr>
                  <w:r>
                    <w:t xml:space="preserve">0.049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4.419</w:t>
                  </w:r>
                </w:p>
              </w:tc>
              <w:tc>
                <w:tcPr/>
                <w:p>
                  <w:pPr>
                    <w:pStyle w:val="Compact"/>
                    <w:jc w:val="right"/>
                    <w:jc w:val="center"/>
                  </w:pPr>
                  <w:r>
                    <w:t xml:space="preserve">5011</w:t>
                  </w:r>
                </w:p>
              </w:tc>
              <w:tc>
                <w:tcPr/>
                <w:p>
                  <w:pPr>
                    <w:pStyle w:val="Compact"/>
                    <w:jc w:val="right"/>
                    <w:jc w:val="center"/>
                  </w:pPr>
                  <w:r>
                    <w:t xml:space="preserve">601.923</w:t>
                  </w:r>
                </w:p>
              </w:tc>
              <w:tc>
                <w:tcPr/>
                <w:p>
                  <w:pPr>
                    <w:pStyle w:val="Compact"/>
                    <w:jc w:val="right"/>
                    <w:jc w:val="center"/>
                  </w:pPr>
                  <w:r>
                    <w:t xml:space="preserve">0.036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13.370</w:t>
                  </w:r>
                </w:p>
              </w:tc>
              <w:tc>
                <w:tcPr/>
                <w:p>
                  <w:pPr>
                    <w:pStyle w:val="Compact"/>
                    <w:jc w:val="right"/>
                    <w:jc w:val="center"/>
                  </w:pPr>
                  <w:r>
                    <w:t xml:space="preserve">5025</w:t>
                  </w:r>
                </w:p>
              </w:tc>
              <w:tc>
                <w:tcPr/>
                <w:p>
                  <w:pPr>
                    <w:pStyle w:val="Compact"/>
                    <w:jc w:val="right"/>
                    <w:jc w:val="center"/>
                  </w:pPr>
                  <w:r>
                    <w:t xml:space="preserve">696.118</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13.218</w:t>
                  </w:r>
                </w:p>
              </w:tc>
              <w:tc>
                <w:tcPr/>
                <w:p>
                  <w:pPr>
                    <w:pStyle w:val="Compact"/>
                    <w:jc w:val="right"/>
                    <w:jc w:val="center"/>
                  </w:pPr>
                  <w:r>
                    <w:t xml:space="preserve">5025</w:t>
                  </w:r>
                </w:p>
              </w:tc>
              <w:tc>
                <w:tcPr/>
                <w:p>
                  <w:pPr>
                    <w:pStyle w:val="Compact"/>
                    <w:jc w:val="right"/>
                    <w:jc w:val="center"/>
                  </w:pPr>
                  <w:r>
                    <w:t xml:space="preserve">706.988</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12.953</w:t>
                  </w:r>
                </w:p>
              </w:tc>
              <w:tc>
                <w:tcPr/>
                <w:p>
                  <w:pPr>
                    <w:pStyle w:val="Compact"/>
                    <w:jc w:val="right"/>
                    <w:jc w:val="center"/>
                  </w:pPr>
                  <w:r>
                    <w:t xml:space="preserve">5025</w:t>
                  </w:r>
                </w:p>
              </w:tc>
              <w:tc>
                <w:tcPr/>
                <w:p>
                  <w:pPr>
                    <w:pStyle w:val="Compact"/>
                    <w:jc w:val="right"/>
                    <w:jc w:val="center"/>
                  </w:pPr>
                  <w:r>
                    <w:t xml:space="preserve">701.429</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18.624</w:t>
                  </w:r>
                </w:p>
              </w:tc>
              <w:tc>
                <w:tcPr/>
                <w:p>
                  <w:pPr>
                    <w:pStyle w:val="Compact"/>
                    <w:jc w:val="right"/>
                    <w:jc w:val="center"/>
                  </w:pPr>
                  <w:r>
                    <w:t xml:space="preserve">5029</w:t>
                  </w:r>
                </w:p>
              </w:tc>
              <w:tc>
                <w:tcPr/>
                <w:p>
                  <w:pPr>
                    <w:pStyle w:val="Compact"/>
                    <w:jc w:val="right"/>
                    <w:jc w:val="center"/>
                  </w:pPr>
                  <w:r>
                    <w:t xml:space="preserve">709.487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18.719</w:t>
                  </w:r>
                </w:p>
              </w:tc>
              <w:tc>
                <w:tcPr/>
                <w:p>
                  <w:pPr>
                    <w:pStyle w:val="Compact"/>
                    <w:jc w:val="right"/>
                    <w:jc w:val="center"/>
                  </w:pPr>
                  <w:r>
                    <w:t xml:space="preserve">5029</w:t>
                  </w:r>
                </w:p>
              </w:tc>
              <w:tc>
                <w:tcPr/>
                <w:p>
                  <w:pPr>
                    <w:pStyle w:val="Compact"/>
                    <w:jc w:val="right"/>
                    <w:jc w:val="center"/>
                  </w:pPr>
                  <w:r>
                    <w:t xml:space="preserve">720.205</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19.034</w:t>
                  </w:r>
                </w:p>
              </w:tc>
              <w:tc>
                <w:tcPr/>
                <w:p>
                  <w:pPr>
                    <w:pStyle w:val="Compact"/>
                    <w:jc w:val="right"/>
                    <w:jc w:val="center"/>
                  </w:pPr>
                  <w:r>
                    <w:t xml:space="preserve">5029</w:t>
                  </w:r>
                </w:p>
              </w:tc>
              <w:tc>
                <w:tcPr/>
                <w:p>
                  <w:pPr>
                    <w:pStyle w:val="Compact"/>
                    <w:jc w:val="right"/>
                    <w:jc w:val="center"/>
                  </w:pPr>
                  <w:r>
                    <w:t xml:space="preserve">714.381</w:t>
                  </w:r>
                </w:p>
              </w:tc>
              <w:tc>
                <w:tcPr/>
                <w:p>
                  <w:pPr>
                    <w:pStyle w:val="Compact"/>
                    <w:jc w:val="right"/>
                    <w:jc w:val="center"/>
                  </w:pPr>
                  <w:r>
                    <w:t xml:space="preserve">0.004</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93.689</w:t>
                  </w:r>
                </w:p>
              </w:tc>
              <w:tc>
                <w:tcPr/>
                <w:p>
                  <w:pPr>
                    <w:pStyle w:val="Compact"/>
                    <w:jc w:val="right"/>
                    <w:jc w:val="center"/>
                  </w:pPr>
                  <w:r>
                    <w:t xml:space="preserve">5013</w:t>
                  </w:r>
                </w:p>
              </w:tc>
              <w:tc>
                <w:tcPr/>
                <w:p>
                  <w:pPr>
                    <w:pStyle w:val="Compact"/>
                    <w:jc w:val="right"/>
                    <w:jc w:val="center"/>
                  </w:pPr>
                  <w:r>
                    <w:t xml:space="preserve">602.429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97.243</w:t>
                  </w:r>
                </w:p>
              </w:tc>
              <w:tc>
                <w:tcPr/>
                <w:p>
                  <w:pPr>
                    <w:pStyle w:val="Compact"/>
                    <w:jc w:val="right"/>
                    <w:jc w:val="center"/>
                  </w:pPr>
                  <w:r>
                    <w:t xml:space="preserve">5013</w:t>
                  </w:r>
                </w:p>
              </w:tc>
              <w:tc>
                <w:tcPr/>
                <w:p>
                  <w:pPr>
                    <w:pStyle w:val="Compact"/>
                    <w:jc w:val="right"/>
                    <w:jc w:val="center"/>
                  </w:pPr>
                  <w:r>
                    <w:t xml:space="preserve">609.745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94.115</w:t>
                  </w:r>
                </w:p>
              </w:tc>
              <w:tc>
                <w:tcPr/>
                <w:p>
                  <w:pPr>
                    <w:pStyle w:val="Compact"/>
                    <w:jc w:val="right"/>
                    <w:jc w:val="center"/>
                  </w:pPr>
                  <w:r>
                    <w:t xml:space="preserve">5013</w:t>
                  </w:r>
                </w:p>
              </w:tc>
              <w:tc>
                <w:tcPr/>
                <w:p>
                  <w:pPr>
                    <w:pStyle w:val="Compact"/>
                    <w:jc w:val="right"/>
                    <w:jc w:val="center"/>
                  </w:pPr>
                  <w:r>
                    <w:t xml:space="preserve">607.314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7.299</w:t>
                  </w:r>
                </w:p>
              </w:tc>
              <w:tc>
                <w:tcPr/>
                <w:p>
                  <w:pPr>
                    <w:pStyle w:val="Compact"/>
                    <w:jc w:val="right"/>
                    <w:jc w:val="center"/>
                  </w:pPr>
                  <w:r>
                    <w:t xml:space="preserve">4984</w:t>
                  </w:r>
                </w:p>
              </w:tc>
              <w:tc>
                <w:tcPr/>
                <w:p>
                  <w:pPr>
                    <w:pStyle w:val="Compact"/>
                    <w:jc w:val="right"/>
                    <w:jc w:val="center"/>
                  </w:pPr>
                  <w:r>
                    <w:t xml:space="preserve">574.142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13.894</w:t>
                  </w:r>
                </w:p>
              </w:tc>
              <w:tc>
                <w:tcPr/>
                <w:p>
                  <w:pPr>
                    <w:pStyle w:val="Compact"/>
                    <w:jc w:val="right"/>
                    <w:jc w:val="center"/>
                  </w:pPr>
                  <w:r>
                    <w:t xml:space="preserve">4984</w:t>
                  </w:r>
                </w:p>
              </w:tc>
              <w:tc>
                <w:tcPr/>
                <w:p>
                  <w:pPr>
                    <w:pStyle w:val="Compact"/>
                    <w:jc w:val="right"/>
                    <w:jc w:val="center"/>
                  </w:pPr>
                  <w:r>
                    <w:t xml:space="preserve">559.518</w:t>
                  </w:r>
                </w:p>
              </w:tc>
              <w:tc>
                <w:tcPr/>
                <w:p>
                  <w:pPr>
                    <w:pStyle w:val="Compact"/>
                    <w:jc w:val="right"/>
                    <w:jc w:val="center"/>
                  </w:pPr>
                  <w:r>
                    <w:t xml:space="preserve">0.974</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15.042</w:t>
                  </w:r>
                </w:p>
              </w:tc>
              <w:tc>
                <w:tcPr/>
                <w:p>
                  <w:pPr>
                    <w:pStyle w:val="Compact"/>
                    <w:jc w:val="right"/>
                    <w:jc w:val="center"/>
                  </w:pPr>
                  <w:r>
                    <w:t xml:space="preserve">4984</w:t>
                  </w:r>
                </w:p>
              </w:tc>
              <w:tc>
                <w:tcPr/>
                <w:p>
                  <w:pPr>
                    <w:pStyle w:val="Compact"/>
                    <w:jc w:val="right"/>
                    <w:jc w:val="center"/>
                  </w:pPr>
                  <w:r>
                    <w:t xml:space="preserve">564.361</w:t>
                  </w:r>
                </w:p>
              </w:tc>
              <w:tc>
                <w:tcPr/>
                <w:p>
                  <w:pPr>
                    <w:pStyle w:val="Compact"/>
                    <w:jc w:val="right"/>
                    <w:jc w:val="center"/>
                  </w:pPr>
                  <w:r>
                    <w:t xml:space="preserve">0.957</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180.519</w:t>
                  </w:r>
                </w:p>
              </w:tc>
              <w:tc>
                <w:tcPr/>
                <w:p>
                  <w:pPr>
                    <w:pStyle w:val="Compact"/>
                    <w:jc w:val="right"/>
                    <w:jc w:val="center"/>
                  </w:pPr>
                  <w:r>
                    <w:t xml:space="preserve">5035</w:t>
                  </w:r>
                </w:p>
              </w:tc>
              <w:tc>
                <w:tcPr/>
                <w:p>
                  <w:pPr>
                    <w:pStyle w:val="Compact"/>
                    <w:jc w:val="right"/>
                    <w:jc w:val="center"/>
                  </w:pPr>
                  <w:r>
                    <w:t xml:space="preserve">728.112</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177.710</w:t>
                  </w:r>
                </w:p>
              </w:tc>
              <w:tc>
                <w:tcPr/>
                <w:p>
                  <w:pPr>
                    <w:pStyle w:val="Compact"/>
                    <w:jc w:val="right"/>
                    <w:jc w:val="center"/>
                  </w:pPr>
                  <w:r>
                    <w:t xml:space="preserve">5035</w:t>
                  </w:r>
                </w:p>
              </w:tc>
              <w:tc>
                <w:tcPr/>
                <w:p>
                  <w:pPr>
                    <w:pStyle w:val="Compact"/>
                    <w:jc w:val="right"/>
                    <w:jc w:val="center"/>
                  </w:pPr>
                  <w:r>
                    <w:t xml:space="preserve">738.924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182.345</w:t>
                  </w:r>
                </w:p>
              </w:tc>
              <w:tc>
                <w:tcPr/>
                <w:p>
                  <w:pPr>
                    <w:pStyle w:val="Compact"/>
                    <w:jc w:val="right"/>
                    <w:jc w:val="center"/>
                  </w:pPr>
                  <w:r>
                    <w:t xml:space="preserve">5035</w:t>
                  </w:r>
                </w:p>
              </w:tc>
              <w:tc>
                <w:tcPr/>
                <w:p>
                  <w:pPr>
                    <w:pStyle w:val="Compact"/>
                    <w:jc w:val="right"/>
                    <w:jc w:val="center"/>
                  </w:pPr>
                  <w:r>
                    <w:t xml:space="preserve">733.416</w:t>
                  </w:r>
                </w:p>
              </w:tc>
              <w:tc>
                <w:tcPr/>
                <w:p>
                  <w:pPr>
                    <w:pStyle w:val="Compact"/>
                    <w:jc w:val="right"/>
                    <w:jc w:val="center"/>
                  </w:pPr>
                  <w:r>
                    <w:t xml:space="preserve">0.000</w:t>
                  </w:r>
                </w:p>
              </w:tc>
            </w:tr>
          </w:tbl>
          <w:bookmarkEnd w:id="6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2">
        <w:r>
          <w:rPr>
            <w:rStyle w:val="Hyperlink"/>
          </w:rPr>
          <w:t xml:space="preserve">Figure 7</w:t>
        </w:r>
      </w:hyperlink>
      <w:r>
        <w:t xml:space="preserve"> </w:t>
      </w:r>
      <w:r>
        <w:t xml:space="preserve">shows that…</w:t>
      </w:r>
    </w:p>
    <w:bookmarkStart w:id="69" w:name="cell-fig-season-coefs2"/>
    <w:tbl>
      <w:tblPr>
        <w:tblStyle w:val="Table"/>
        <w:tblW w:type="pct" w:w="5000"/>
        <w:tblLayout w:type="fixed"/>
        <w:tblLook w:firstRow="0" w:lastRow="0" w:firstColumn="0" w:lastColumn="0" w:noHBand="0" w:noVBand="0" w:val="0000"/>
      </w:tblPr>
      <w:tblGrid>
        <w:gridCol w:w="7920"/>
      </w:tblGrid>
      <w:tr>
        <w:tc>
          <w:tcPr/>
          <w:bookmarkStart w:id="68" w:name="fig-season-coefs2"/>
          <w:p>
            <w:pPr>
              <w:pStyle w:val="Compact"/>
              <w:jc w:val="center"/>
            </w:pPr>
            <w:r>
              <w:drawing>
                <wp:inline>
                  <wp:extent cx="4620126" cy="3696101"/>
                  <wp:effectExtent b="0" l="0" r="0" t="0"/>
                  <wp:docPr descr="" title="" id="66" name="Picture"/>
                  <a:graphic>
                    <a:graphicData uri="http://schemas.openxmlformats.org/drawingml/2006/picture">
                      <pic:pic>
                        <pic:nvPicPr>
                          <pic:cNvPr descr="index_files/figure-docx/fig-season-coefs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Estimated season-level fixed effects for percentage of arena capacity models.</w:t>
            </w:r>
          </w:p>
          <w:bookmarkEnd w:id="6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9"/>
    <w:p>
      <w:pPr>
        <w:pStyle w:val="BodyText"/>
      </w:pPr>
      <w:hyperlink w:anchor="fig-season-slopes2">
        <w:r>
          <w:rPr>
            <w:rStyle w:val="Hyperlink"/>
          </w:rPr>
          <w:t xml:space="preserve">Figure 8</w:t>
        </w:r>
      </w:hyperlink>
      <w:r>
        <w:t xml:space="preserve"> </w:t>
      </w:r>
      <w:r>
        <w:t xml:space="preserve">shows that…</w:t>
      </w:r>
    </w:p>
    <w:bookmarkStart w:id="74" w:name="cell-fig-season-slopes2"/>
    <w:tbl>
      <w:tblPr>
        <w:tblStyle w:val="Table"/>
        <w:tblW w:type="pct" w:w="5000"/>
        <w:tblLayout w:type="fixed"/>
        <w:tblLook w:firstRow="0" w:lastRow="0" w:firstColumn="0" w:lastColumn="0" w:noHBand="0" w:noVBand="0" w:val="0000"/>
      </w:tblPr>
      <w:tblGrid>
        <w:gridCol w:w="7920"/>
      </w:tblGrid>
      <w:tr>
        <w:tc>
          <w:tcPr/>
          <w:bookmarkStart w:id="73" w:name="fig-season-slopes2"/>
          <w:p>
            <w:pPr>
              <w:pStyle w:val="Compact"/>
              <w:jc w:val="center"/>
            </w:pPr>
            <w:r>
              <w:drawing>
                <wp:inline>
                  <wp:extent cx="4620126" cy="3696101"/>
                  <wp:effectExtent b="0" l="0" r="0" t="0"/>
                  <wp:docPr descr="" title="" id="71" name="Picture"/>
                  <a:graphic>
                    <a:graphicData uri="http://schemas.openxmlformats.org/drawingml/2006/picture">
                      <pic:pic>
                        <pic:nvPicPr>
                          <pic:cNvPr descr="index_files/figure-docx/fig-season-slopes2-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changes in slopes for percentage of arena capacity models.</w:t>
            </w:r>
          </w:p>
          <w:bookmarkEnd w:id="7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4"/>
    <w:bookmarkEnd w:id="75"/>
    <w:bookmarkEnd w:id="76"/>
    <w:bookmarkStart w:id="80" w:name="conclusion"/>
    <w:p>
      <w:pPr>
        <w:pStyle w:val="Heading2"/>
      </w:pPr>
      <w:r>
        <w:t xml:space="preserve">5 Conclusion</w:t>
      </w:r>
    </w:p>
    <w:bookmarkStart w:id="77"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77"/>
    <w:bookmarkStart w:id="78" w:name="future-work"/>
    <w:p>
      <w:pPr>
        <w:pStyle w:val="Heading3"/>
      </w:pPr>
      <w:r>
        <w:t xml:space="preserve">5.2 Future work</w:t>
      </w:r>
    </w:p>
    <w:bookmarkEnd w:id="78"/>
    <w:bookmarkStart w:id="79" w:name="discussion"/>
    <w:p>
      <w:pPr>
        <w:pStyle w:val="Heading3"/>
      </w:pPr>
      <w:r>
        <w:t xml:space="preserve">5.3 Discussion</w:t>
      </w:r>
    </w:p>
    <w:bookmarkEnd w:id="79"/>
    <w:bookmarkEnd w:id="80"/>
    <w:bookmarkStart w:id="133" w:name="references"/>
    <w:p>
      <w:pPr>
        <w:pStyle w:val="Heading2"/>
      </w:pPr>
      <w:r>
        <w:t xml:space="preserve">References</w:t>
      </w:r>
    </w:p>
    <w:bookmarkStart w:id="132" w:name="refs"/>
    <w:bookmarkStart w:id="82"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81">
        <w:r>
          <w:rPr>
            <w:rStyle w:val="Hyperlink"/>
          </w:rPr>
          <w:t xml:space="preserve">https://www.acrossthetimeline.com/wnba/attendance.html</w:t>
        </w:r>
      </w:hyperlink>
      <w:r>
        <w:t xml:space="preserve">.</w:t>
      </w:r>
      <w:r>
        <w:t xml:space="preserve"> </w:t>
      </w:r>
      <w:hyperlink r:id="rId81">
        <w:r>
          <w:rPr>
            <w:rStyle w:val="Hyperlink"/>
          </w:rPr>
          <w:t xml:space="preserve">https://www.acrossthetimeline.com/wnba/attendance.html</w:t>
        </w:r>
      </w:hyperlink>
      <w:r>
        <w:t xml:space="preserve">.</w:t>
      </w:r>
    </w:p>
    <w:bookmarkEnd w:id="82"/>
    <w:bookmarkStart w:id="84"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83">
        <w:r>
          <w:rPr>
            <w:rStyle w:val="Hyperlink"/>
          </w:rPr>
          <w:t xml:space="preserve">https://doi.org/10.1177/019372359001400102</w:t>
        </w:r>
      </w:hyperlink>
      <w:r>
        <w:t xml:space="preserve">.</w:t>
      </w:r>
    </w:p>
    <w:bookmarkEnd w:id="84"/>
    <w:bookmarkStart w:id="86"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85">
        <w:r>
          <w:rPr>
            <w:rStyle w:val="Hyperlink"/>
          </w:rPr>
          <w:t xml:space="preserve">https://doi.org/10.1177/1527002504265957</w:t>
        </w:r>
      </w:hyperlink>
      <w:r>
        <w:t xml:space="preserve">.</w:t>
      </w:r>
    </w:p>
    <w:bookmarkEnd w:id="86"/>
    <w:bookmarkStart w:id="88"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87">
        <w:r>
          <w:rPr>
            <w:rStyle w:val="Hyperlink"/>
          </w:rPr>
          <w:t xml:space="preserve">https://doi.org/10.1111/ecin.12061</w:t>
        </w:r>
      </w:hyperlink>
      <w:r>
        <w:t xml:space="preserve">.</w:t>
      </w:r>
    </w:p>
    <w:bookmarkEnd w:id="88"/>
    <w:bookmarkStart w:id="90"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89">
        <w:r>
          <w:rPr>
            <w:rStyle w:val="Hyperlink"/>
          </w:rPr>
          <w:t xml:space="preserve">https://doi.org/10.1177/155862350800300105</w:t>
        </w:r>
      </w:hyperlink>
      <w:r>
        <w:t xml:space="preserve">.</w:t>
      </w:r>
    </w:p>
    <w:bookmarkEnd w:id="90"/>
    <w:bookmarkStart w:id="92"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91">
        <w:r>
          <w:rPr>
            <w:rStyle w:val="Hyperlink"/>
          </w:rPr>
          <w:t xml:space="preserve">https://doi.org/10.1177/1527002508327387</w:t>
        </w:r>
      </w:hyperlink>
      <w:r>
        <w:t xml:space="preserve">.</w:t>
      </w:r>
    </w:p>
    <w:bookmarkEnd w:id="92"/>
    <w:bookmarkStart w:id="94"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93">
        <w:r>
          <w:rPr>
            <w:rStyle w:val="Hyperlink"/>
          </w:rPr>
          <w:t xml:space="preserve">https://doi.org/10.1123/jsm.2019-0404</w:t>
        </w:r>
      </w:hyperlink>
      <w:r>
        <w:t xml:space="preserve">.</w:t>
      </w:r>
    </w:p>
    <w:bookmarkEnd w:id="94"/>
    <w:bookmarkStart w:id="96"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95">
        <w:r>
          <w:rPr>
            <w:rStyle w:val="Hyperlink"/>
          </w:rPr>
          <w:t xml:space="preserve">https://doi.org/10.1123/jsm.16.4.311</w:t>
        </w:r>
      </w:hyperlink>
      <w:r>
        <w:t xml:space="preserve">.</w:t>
      </w:r>
    </w:p>
    <w:bookmarkEnd w:id="96"/>
    <w:bookmarkStart w:id="97"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97"/>
    <w:bookmarkStart w:id="99"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98">
        <w:r>
          <w:rPr>
            <w:rStyle w:val="Hyperlink"/>
          </w:rPr>
          <w:t xml:space="preserve">https://polecom.org/index.php/polecom/article/view/119</w:t>
        </w:r>
      </w:hyperlink>
      <w:r>
        <w:t xml:space="preserve">.</w:t>
      </w:r>
    </w:p>
    <w:bookmarkEnd w:id="99"/>
    <w:bookmarkStart w:id="101"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00">
        <w:r>
          <w:rPr>
            <w:rStyle w:val="Hyperlink"/>
          </w:rPr>
          <w:t xml:space="preserve">https://doi.org/10.32614/cran.package.wehoop</w:t>
        </w:r>
      </w:hyperlink>
      <w:r>
        <w:t xml:space="preserve">.</w:t>
      </w:r>
    </w:p>
    <w:bookmarkEnd w:id="101"/>
    <w:bookmarkStart w:id="103"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02">
        <w:r>
          <w:rPr>
            <w:rStyle w:val="Hyperlink"/>
          </w:rPr>
          <w:t xml:space="preserve">https://doi.org/10.1080/17430437.2017.1346620</w:t>
        </w:r>
      </w:hyperlink>
      <w:r>
        <w:t xml:space="preserve">.</w:t>
      </w:r>
    </w:p>
    <w:bookmarkEnd w:id="103"/>
    <w:bookmarkStart w:id="105"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04">
        <w:r>
          <w:rPr>
            <w:rStyle w:val="Hyperlink"/>
          </w:rPr>
          <w:t xml:space="preserve">https://doi.org/10.1177/152700250200300204</w:t>
        </w:r>
      </w:hyperlink>
      <w:r>
        <w:t xml:space="preserve">.</w:t>
      </w:r>
    </w:p>
    <w:bookmarkEnd w:id="105"/>
    <w:bookmarkStart w:id="107"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06">
        <w:r>
          <w:rPr>
            <w:rStyle w:val="Hyperlink"/>
          </w:rPr>
          <w:t xml:space="preserve">https://doi.org/10.1002/mde.1308</w:t>
        </w:r>
      </w:hyperlink>
      <w:r>
        <w:t xml:space="preserve">.</w:t>
      </w:r>
    </w:p>
    <w:bookmarkEnd w:id="107"/>
    <w:bookmarkStart w:id="109"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08">
        <w:r>
          <w:rPr>
            <w:rStyle w:val="Hyperlink"/>
          </w:rPr>
          <w:t xml:space="preserve">https://doi.org/10.53728/2765-6500.1616</w:t>
        </w:r>
      </w:hyperlink>
      <w:r>
        <w:t xml:space="preserve">.</w:t>
      </w:r>
    </w:p>
    <w:bookmarkEnd w:id="109"/>
    <w:bookmarkStart w:id="111"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10">
        <w:r>
          <w:rPr>
            <w:rStyle w:val="Hyperlink"/>
          </w:rPr>
          <w:t xml:space="preserve">https://doi.org/10.1177/1527002509337212</w:t>
        </w:r>
      </w:hyperlink>
      <w:r>
        <w:t xml:space="preserve">.</w:t>
      </w:r>
    </w:p>
    <w:bookmarkEnd w:id="111"/>
    <w:bookmarkStart w:id="113"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12">
        <w:r>
          <w:rPr>
            <w:rStyle w:val="Hyperlink"/>
          </w:rPr>
          <w:t xml:space="preserve">https://doi.org/10.1080/14660970.2022.2037218</w:t>
        </w:r>
      </w:hyperlink>
      <w:r>
        <w:t xml:space="preserve">.</w:t>
      </w:r>
    </w:p>
    <w:bookmarkEnd w:id="113"/>
    <w:bookmarkStart w:id="115"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14">
        <w:r>
          <w:rPr>
            <w:rStyle w:val="Hyperlink"/>
          </w:rPr>
          <w:t xml:space="preserve">https://www.jstor.org/stable/1924766</w:t>
        </w:r>
      </w:hyperlink>
      <w:r>
        <w:t xml:space="preserve">.</w:t>
      </w:r>
    </w:p>
    <w:bookmarkEnd w:id="115"/>
    <w:bookmarkStart w:id="116"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16"/>
    <w:bookmarkStart w:id="118"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17">
        <w:r>
          <w:rPr>
            <w:rStyle w:val="Hyperlink"/>
          </w:rPr>
          <w:t xml:space="preserve">https://doi.org/10.1002/(SICI)1099-1255(199611)11:6&lt;619::AID-JAE418&gt;3.0.CO;2-1</w:t>
        </w:r>
      </w:hyperlink>
      <w:r>
        <w:t xml:space="preserve">.</w:t>
      </w:r>
    </w:p>
    <w:bookmarkEnd w:id="118"/>
    <w:bookmarkStart w:id="120"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19">
        <w:r>
          <w:rPr>
            <w:rStyle w:val="Hyperlink"/>
          </w:rPr>
          <w:t xml:space="preserve">https://doi.org/10.3390/ijfs7010012</w:t>
        </w:r>
      </w:hyperlink>
      <w:r>
        <w:t xml:space="preserve">.</w:t>
      </w:r>
    </w:p>
    <w:bookmarkEnd w:id="120"/>
    <w:bookmarkStart w:id="121"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21"/>
    <w:bookmarkStart w:id="122"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22"/>
    <w:bookmarkStart w:id="124"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23">
        <w:r>
          <w:rPr>
            <w:rStyle w:val="Hyperlink"/>
          </w:rPr>
          <w:t xml:space="preserve">https://doi.org/10.1080/00031305.2016.1154108</w:t>
        </w:r>
      </w:hyperlink>
      <w:r>
        <w:t xml:space="preserve">.</w:t>
      </w:r>
    </w:p>
    <w:bookmarkEnd w:id="124"/>
    <w:bookmarkStart w:id="126"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25">
        <w:r>
          <w:rPr>
            <w:rStyle w:val="Hyperlink"/>
          </w:rPr>
          <w:t xml:space="preserve">https://doi.org/10.1080/00031305.2019.1583913</w:t>
        </w:r>
      </w:hyperlink>
      <w:r>
        <w:t xml:space="preserve">.</w:t>
      </w:r>
    </w:p>
    <w:bookmarkEnd w:id="126"/>
    <w:bookmarkStart w:id="128"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27">
        <w:r>
          <w:rPr>
            <w:rStyle w:val="Hyperlink"/>
          </w:rPr>
          <w:t xml:space="preserve">https://accessecon.com/pubs/eb/2003/volume1/eb-03a10003a.pdf</w:t>
        </w:r>
      </w:hyperlink>
      <w:r>
        <w:t xml:space="preserve">.</w:t>
      </w:r>
    </w:p>
    <w:bookmarkEnd w:id="128"/>
    <w:bookmarkStart w:id="130" w:name="ref-wnba2024recordseason"/>
    <w:p>
      <w:pPr>
        <w:pStyle w:val="Bibliography"/>
      </w:pPr>
      <w:r>
        <w:t xml:space="preserve">WNBA. 2024.</w:t>
      </w:r>
      <w:r>
        <w:t xml:space="preserve"> </w:t>
      </w:r>
      <w:r>
        <w:t xml:space="preserve">“WNBA Delivers Record‑setting 2024 Season.”</w:t>
      </w:r>
      <w:r>
        <w:t xml:space="preserve"> </w:t>
      </w:r>
      <w:hyperlink r:id="rId129">
        <w:r>
          <w:rPr>
            <w:rStyle w:val="Hyperlink"/>
          </w:rPr>
          <w:t xml:space="preserve">https://www.wnba.com/news/wnba-delivers-record-setting-2024-season</w:t>
        </w:r>
      </w:hyperlink>
      <w:r>
        <w:t xml:space="preserve">.</w:t>
      </w:r>
    </w:p>
    <w:bookmarkEnd w:id="130"/>
    <w:bookmarkStart w:id="131"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31"/>
    <w:bookmarkEnd w:id="132"/>
    <w:bookmarkEnd w:id="133"/>
    <w:bookmarkStart w:id="184" w:name="appendix"/>
    <w:p>
      <w:pPr>
        <w:pStyle w:val="Heading2"/>
      </w:pPr>
      <w:r>
        <w:t xml:space="preserve">6 Appendix</w:t>
      </w:r>
    </w:p>
    <w:bookmarkStart w:id="183" w:name="sec-resid-attend"/>
    <w:p>
      <w:pPr>
        <w:pStyle w:val="Heading3"/>
      </w:pPr>
      <w:r>
        <w:t xml:space="preserve">6.1 Residual analysis of attendance models</w:t>
      </w:r>
    </w:p>
    <w:bookmarkStart w:id="182"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37" w:name="fig-resids-1"/>
                <w:p>
                  <w:pPr>
                    <w:pStyle w:val="Compact"/>
                    <w:jc w:val="center"/>
                    <w:jc w:val="left"/>
                  </w:pPr>
                  <w:r>
                    <w:drawing>
                      <wp:inline>
                        <wp:extent cx="4620126" cy="3696101"/>
                        <wp:effectExtent b="0" l="0" r="0" t="0"/>
                        <wp:docPr descr="" title="" id="135" name="Picture"/>
                        <a:graphic>
                          <a:graphicData uri="http://schemas.openxmlformats.org/drawingml/2006/picture">
                            <pic:pic>
                              <pic:nvPicPr>
                                <pic:cNvPr descr="index_files/figure-docx/fig-resids-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Residual plots for models.</w:t>
                  </w:r>
                </w:p>
                <w:bookmarkEnd w:id="13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1" w:name="fig-resids-2"/>
                <w:p>
                  <w:pPr>
                    <w:pStyle w:val="Compact"/>
                    <w:jc w:val="center"/>
                    <w:jc w:val="left"/>
                  </w:pPr>
                  <w:r>
                    <w:drawing>
                      <wp:inline>
                        <wp:extent cx="4620126" cy="3696101"/>
                        <wp:effectExtent b="0" l="0" r="0" t="0"/>
                        <wp:docPr descr="" title="" id="139" name="Picture"/>
                        <a:graphic>
                          <a:graphicData uri="http://schemas.openxmlformats.org/drawingml/2006/picture">
                            <pic:pic>
                              <pic:nvPicPr>
                                <pic:cNvPr descr="index_files/figure-docx/fig-resids-2.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10: Residual plots for models.</w:t>
                  </w:r>
                </w:p>
                <w:bookmarkEnd w:id="141"/>
              </w:tc>
            </w:tr>
          </w:tbl>
          <w:p/>
        </w:tc>
        <w:tc>
          <w:tcPr/>
          <w:tbl>
            <w:tblPr>
              <w:tblStyle w:val="Table"/>
              <w:tblW w:type="pct" w:w="5000"/>
              <w:tblLayout w:type="fixed"/>
              <w:tblLook w:firstRow="0" w:lastRow="0" w:firstColumn="0" w:lastColumn="0" w:noHBand="0" w:noVBand="0" w:val="0000"/>
            </w:tblPr>
            <w:tblGrid>
              <w:gridCol w:w="7920"/>
            </w:tblGrid>
            <w:tr>
              <w:tc>
                <w:tcPr/>
                <w:bookmarkStart w:id="145" w:name="fig-resids-3"/>
                <w:p>
                  <w:pPr>
                    <w:pStyle w:val="Compact"/>
                    <w:jc w:val="center"/>
                    <w:jc w:val="left"/>
                  </w:pPr>
                  <w:r>
                    <w:drawing>
                      <wp:inline>
                        <wp:extent cx="4620126" cy="3696101"/>
                        <wp:effectExtent b="0" l="0" r="0" t="0"/>
                        <wp:docPr descr="" title="" id="143" name="Picture"/>
                        <a:graphic>
                          <a:graphicData uri="http://schemas.openxmlformats.org/drawingml/2006/picture">
                            <pic:pic>
                              <pic:nvPicPr>
                                <pic:cNvPr descr="index_files/figure-docx/fig-resids-3.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11: Residual plots for models.</w:t>
                  </w:r>
                </w:p>
                <w:bookmarkEnd w:id="145"/>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9" w:name="fig-resids-4"/>
                <w:p>
                  <w:pPr>
                    <w:pStyle w:val="Compact"/>
                    <w:jc w:val="center"/>
                    <w:jc w:val="left"/>
                  </w:pPr>
                  <w:r>
                    <w:drawing>
                      <wp:inline>
                        <wp:extent cx="4620126" cy="3696101"/>
                        <wp:effectExtent b="0" l="0" r="0" t="0"/>
                        <wp:docPr descr="" title="" id="147" name="Picture"/>
                        <a:graphic>
                          <a:graphicData uri="http://schemas.openxmlformats.org/drawingml/2006/picture">
                            <pic:pic>
                              <pic:nvPicPr>
                                <pic:cNvPr descr="index_files/figure-docx/fig-resids-4.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12: Residual plots for models.</w:t>
                  </w:r>
                </w:p>
                <w:bookmarkEnd w:id="149"/>
              </w:tc>
            </w:tr>
          </w:tbl>
          <w:p/>
        </w:tc>
        <w:tc>
          <w:tcPr/>
          <w:tbl>
            <w:tblPr>
              <w:tblStyle w:val="Table"/>
              <w:tblW w:type="pct" w:w="5000"/>
              <w:tblLayout w:type="fixed"/>
              <w:tblLook w:firstRow="0" w:lastRow="0" w:firstColumn="0" w:lastColumn="0" w:noHBand="0" w:noVBand="0" w:val="0000"/>
            </w:tblPr>
            <w:tblGrid>
              <w:gridCol w:w="7920"/>
            </w:tblGrid>
            <w:tr>
              <w:tc>
                <w:tcPr/>
                <w:bookmarkStart w:id="153" w:name="fig-resids-5"/>
                <w:p>
                  <w:pPr>
                    <w:pStyle w:val="Compact"/>
                    <w:jc w:val="center"/>
                    <w:jc w:val="left"/>
                  </w:pPr>
                  <w:r>
                    <w:drawing>
                      <wp:inline>
                        <wp:extent cx="4620126" cy="3696101"/>
                        <wp:effectExtent b="0" l="0" r="0" t="0"/>
                        <wp:docPr descr="" title="" id="151" name="Picture"/>
                        <a:graphic>
                          <a:graphicData uri="http://schemas.openxmlformats.org/drawingml/2006/picture">
                            <pic:pic>
                              <pic:nvPicPr>
                                <pic:cNvPr descr="index_files/figure-docx/fig-resids-5.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53"/>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7" w:name="fig-resids-6"/>
                <w:p>
                  <w:pPr>
                    <w:pStyle w:val="Compact"/>
                    <w:jc w:val="center"/>
                    <w:jc w:val="left"/>
                  </w:pPr>
                  <w:r>
                    <w:drawing>
                      <wp:inline>
                        <wp:extent cx="4620126" cy="3696101"/>
                        <wp:effectExtent b="0" l="0" r="0" t="0"/>
                        <wp:docPr descr="" title="" id="155" name="Picture"/>
                        <a:graphic>
                          <a:graphicData uri="http://schemas.openxmlformats.org/drawingml/2006/picture">
                            <pic:pic>
                              <pic:nvPicPr>
                                <pic:cNvPr descr="index_files/figure-docx/fig-resids-6.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57"/>
              </w:tc>
            </w:tr>
          </w:tbl>
          <w:p/>
        </w:tc>
        <w:tc>
          <w:tcPr/>
          <w:tbl>
            <w:tblPr>
              <w:tblStyle w:val="Table"/>
              <w:tblW w:type="pct" w:w="5000"/>
              <w:tblLayout w:type="fixed"/>
              <w:tblLook w:firstRow="0" w:lastRow="0" w:firstColumn="0" w:lastColumn="0" w:noHBand="0" w:noVBand="0" w:val="0000"/>
            </w:tblPr>
            <w:tblGrid>
              <w:gridCol w:w="7920"/>
            </w:tblGrid>
            <w:tr>
              <w:tc>
                <w:tcPr/>
                <w:bookmarkStart w:id="161" w:name="fig-resids-7"/>
                <w:p>
                  <w:pPr>
                    <w:pStyle w:val="Compact"/>
                    <w:jc w:val="center"/>
                    <w:jc w:val="left"/>
                  </w:pPr>
                  <w:r>
                    <w:drawing>
                      <wp:inline>
                        <wp:extent cx="4620126" cy="3696101"/>
                        <wp:effectExtent b="0" l="0" r="0" t="0"/>
                        <wp:docPr descr="" title="" id="159" name="Picture"/>
                        <a:graphic>
                          <a:graphicData uri="http://schemas.openxmlformats.org/drawingml/2006/picture">
                            <pic:pic>
                              <pic:nvPicPr>
                                <pic:cNvPr descr="index_files/figure-docx/fig-resids-7.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5" w:name="fig-resids-8"/>
                <w:p>
                  <w:pPr>
                    <w:pStyle w:val="Compact"/>
                    <w:jc w:val="center"/>
                    <w:jc w:val="left"/>
                  </w:pPr>
                  <w:r>
                    <w:drawing>
                      <wp:inline>
                        <wp:extent cx="4620126" cy="3696101"/>
                        <wp:effectExtent b="0" l="0" r="0" t="0"/>
                        <wp:docPr descr="" title="" id="163" name="Picture"/>
                        <a:graphic>
                          <a:graphicData uri="http://schemas.openxmlformats.org/drawingml/2006/picture">
                            <pic:pic>
                              <pic:nvPicPr>
                                <pic:cNvPr descr="index_files/figure-docx/fig-resids-8.png" id="164" name="Picture"/>
                                <pic:cNvPicPr>
                                  <a:picLocks noChangeArrowheads="1" noChangeAspect="1"/>
                                </pic:cNvPicPr>
                              </pic:nvPicPr>
                              <pic:blipFill>
                                <a:blip r:embed="rId16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65"/>
              </w:tc>
            </w:tr>
          </w:tbl>
          <w:p/>
        </w:tc>
        <w:tc>
          <w:tcPr/>
          <w:tbl>
            <w:tblPr>
              <w:tblStyle w:val="Table"/>
              <w:tblW w:type="pct" w:w="5000"/>
              <w:tblLayout w:type="fixed"/>
              <w:tblLook w:firstRow="0" w:lastRow="0" w:firstColumn="0" w:lastColumn="0" w:noHBand="0" w:noVBand="0" w:val="0000"/>
            </w:tblPr>
            <w:tblGrid>
              <w:gridCol w:w="7920"/>
            </w:tblGrid>
            <w:tr>
              <w:tc>
                <w:tcPr/>
                <w:bookmarkStart w:id="169" w:name="fig-resids-9"/>
                <w:p>
                  <w:pPr>
                    <w:pStyle w:val="Compact"/>
                    <w:jc w:val="center"/>
                    <w:jc w:val="left"/>
                  </w:pPr>
                  <w:r>
                    <w:drawing>
                      <wp:inline>
                        <wp:extent cx="4620126" cy="3696101"/>
                        <wp:effectExtent b="0" l="0" r="0" t="0"/>
                        <wp:docPr descr="" title="" id="167" name="Picture"/>
                        <a:graphic>
                          <a:graphicData uri="http://schemas.openxmlformats.org/drawingml/2006/picture">
                            <pic:pic>
                              <pic:nvPicPr>
                                <pic:cNvPr descr="index_files/figure-docx/fig-resids-9.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69"/>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3" w:name="fig-resids-10"/>
                <w:p>
                  <w:pPr>
                    <w:pStyle w:val="Compact"/>
                    <w:jc w:val="center"/>
                    <w:jc w:val="left"/>
                  </w:pPr>
                  <w:r>
                    <w:drawing>
                      <wp:inline>
                        <wp:extent cx="4620126" cy="3696101"/>
                        <wp:effectExtent b="0" l="0" r="0" t="0"/>
                        <wp:docPr descr="" title="" id="171" name="Picture"/>
                        <a:graphic>
                          <a:graphicData uri="http://schemas.openxmlformats.org/drawingml/2006/picture">
                            <pic:pic>
                              <pic:nvPicPr>
                                <pic:cNvPr descr="index_files/figure-docx/fig-resids-10.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73"/>
              </w:tc>
            </w:tr>
          </w:tbl>
          <w:p/>
        </w:tc>
        <w:tc>
          <w:tcPr/>
          <w:tbl>
            <w:tblPr>
              <w:tblStyle w:val="Table"/>
              <w:tblW w:type="pct" w:w="5000"/>
              <w:tblLayout w:type="fixed"/>
              <w:tblLook w:firstRow="0" w:lastRow="0" w:firstColumn="0" w:lastColumn="0" w:noHBand="0" w:noVBand="0" w:val="0000"/>
            </w:tblPr>
            <w:tblGrid>
              <w:gridCol w:w="7920"/>
            </w:tblGrid>
            <w:tr>
              <w:tc>
                <w:tcPr/>
                <w:bookmarkStart w:id="177" w:name="fig-resids-11"/>
                <w:p>
                  <w:pPr>
                    <w:pStyle w:val="Compact"/>
                    <w:jc w:val="center"/>
                    <w:jc w:val="left"/>
                  </w:pPr>
                  <w:r>
                    <w:drawing>
                      <wp:inline>
                        <wp:extent cx="4620126" cy="3696101"/>
                        <wp:effectExtent b="0" l="0" r="0" t="0"/>
                        <wp:docPr descr="" title="" id="175" name="Picture"/>
                        <a:graphic>
                          <a:graphicData uri="http://schemas.openxmlformats.org/drawingml/2006/picture">
                            <pic:pic>
                              <pic:nvPicPr>
                                <pic:cNvPr descr="index_files/figure-docx/fig-resids-1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7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1" w:name="fig-resids-12"/>
                <w:p>
                  <w:pPr>
                    <w:pStyle w:val="Compact"/>
                    <w:jc w:val="center"/>
                    <w:jc w:val="left"/>
                  </w:pPr>
                  <w:r>
                    <w:drawing>
                      <wp:inline>
                        <wp:extent cx="4620126" cy="3696101"/>
                        <wp:effectExtent b="0" l="0" r="0" t="0"/>
                        <wp:docPr descr="" title="" id="179" name="Picture"/>
                        <a:graphic>
                          <a:graphicData uri="http://schemas.openxmlformats.org/drawingml/2006/picture">
                            <pic:pic>
                              <pic:nvPicPr>
                                <pic:cNvPr descr="index_files/figure-docx/fig-resids-12.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1"/>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13">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42">
    <w:p>
      <w:pPr>
        <w:pStyle w:val="FootnoteText"/>
      </w:pPr>
      <w:r>
        <w:rPr>
          <w:rStyle w:val="FootnoteReference"/>
        </w:rPr>
        <w:footnoteRef/>
      </w:r>
      <w:r>
        <w:t xml:space="preserve"> </w:t>
      </w:r>
      <w:r>
        <w:t xml:space="preserve">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34" Target="media/rId134.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70" Target="media/rId70.png" /><Relationship Type="http://schemas.openxmlformats.org/officeDocument/2006/relationships/hyperlink" Id="rId127" Target="https://accessecon.com/pubs/eb/2003/volume1/eb-03a10003a.pdf" TargetMode="External" /><Relationship Type="http://schemas.openxmlformats.org/officeDocument/2006/relationships/hyperlink" Id="rId117" Target="https://doi.org/10.1002/(SICI)1099-1255(199611)11:6&lt;619::AID-JAE418&gt;3.0.CO;2-1" TargetMode="External" /><Relationship Type="http://schemas.openxmlformats.org/officeDocument/2006/relationships/hyperlink" Id="rId106" Target="https://doi.org/10.1002/mde.1308" TargetMode="External" /><Relationship Type="http://schemas.openxmlformats.org/officeDocument/2006/relationships/hyperlink" Id="rId123" Target="https://doi.org/10.1080/00031305.2016.1154108" TargetMode="External" /><Relationship Type="http://schemas.openxmlformats.org/officeDocument/2006/relationships/hyperlink" Id="rId125" Target="https://doi.org/10.1080/00031305.2019.1583913" TargetMode="External" /><Relationship Type="http://schemas.openxmlformats.org/officeDocument/2006/relationships/hyperlink" Id="rId112" Target="https://doi.org/10.1080/14660970.2022.2037218" TargetMode="External" /><Relationship Type="http://schemas.openxmlformats.org/officeDocument/2006/relationships/hyperlink" Id="rId102" Target="https://doi.org/10.1080/17430437.2017.1346620" TargetMode="External" /><Relationship Type="http://schemas.openxmlformats.org/officeDocument/2006/relationships/hyperlink" Id="rId87" Target="https://doi.org/10.1111/ecin.12061" TargetMode="External" /><Relationship Type="http://schemas.openxmlformats.org/officeDocument/2006/relationships/hyperlink" Id="rId95" Target="https://doi.org/10.1123/jsm.16.4.311" TargetMode="External" /><Relationship Type="http://schemas.openxmlformats.org/officeDocument/2006/relationships/hyperlink" Id="rId93" Target="https://doi.org/10.1123/jsm.2019-0404" TargetMode="External" /><Relationship Type="http://schemas.openxmlformats.org/officeDocument/2006/relationships/hyperlink" Id="rId83" Target="https://doi.org/10.1177/019372359001400102" TargetMode="External" /><Relationship Type="http://schemas.openxmlformats.org/officeDocument/2006/relationships/hyperlink" Id="rId104" Target="https://doi.org/10.1177/152700250200300204" TargetMode="External" /><Relationship Type="http://schemas.openxmlformats.org/officeDocument/2006/relationships/hyperlink" Id="rId85" Target="https://doi.org/10.1177/1527002504265957" TargetMode="External" /><Relationship Type="http://schemas.openxmlformats.org/officeDocument/2006/relationships/hyperlink" Id="rId91" Target="https://doi.org/10.1177/1527002508327387" TargetMode="External" /><Relationship Type="http://schemas.openxmlformats.org/officeDocument/2006/relationships/hyperlink" Id="rId110" Target="https://doi.org/10.1177/1527002509337212" TargetMode="External" /><Relationship Type="http://schemas.openxmlformats.org/officeDocument/2006/relationships/hyperlink" Id="rId89" Target="https://doi.org/10.1177/155862350800300105" TargetMode="External" /><Relationship Type="http://schemas.openxmlformats.org/officeDocument/2006/relationships/hyperlink" Id="rId100" Target="https://doi.org/10.32614/cran.package.wehoop" TargetMode="External" /><Relationship Type="http://schemas.openxmlformats.org/officeDocument/2006/relationships/hyperlink" Id="rId119" Target="https://doi.org/10.3390/ijfs7010012" TargetMode="External" /><Relationship Type="http://schemas.openxmlformats.org/officeDocument/2006/relationships/hyperlink" Id="rId108"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98" Target="https://polecom.org/index.php/polecom/article/view/119" TargetMode="External" /><Relationship Type="http://schemas.openxmlformats.org/officeDocument/2006/relationships/hyperlink" Id="rId81" Target="https://www.acrossthetimeline.com/wnba/attendance.html" TargetMode="External" /><Relationship Type="http://schemas.openxmlformats.org/officeDocument/2006/relationships/hyperlink" Id="rId114" Target="https://www.jstor.org/stable/1924766" TargetMode="External" /><Relationship Type="http://schemas.openxmlformats.org/officeDocument/2006/relationships/hyperlink" Id="rId129"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27" Target="https://accessecon.com/pubs/eb/2003/volume1/eb-03a10003a.pdf" TargetMode="External" /><Relationship Type="http://schemas.openxmlformats.org/officeDocument/2006/relationships/hyperlink" Id="rId117" Target="https://doi.org/10.1002/(SICI)1099-1255(199611)11:6&lt;619::AID-JAE418&gt;3.0.CO;2-1" TargetMode="External" /><Relationship Type="http://schemas.openxmlformats.org/officeDocument/2006/relationships/hyperlink" Id="rId106" Target="https://doi.org/10.1002/mde.1308" TargetMode="External" /><Relationship Type="http://schemas.openxmlformats.org/officeDocument/2006/relationships/hyperlink" Id="rId123" Target="https://doi.org/10.1080/00031305.2016.1154108" TargetMode="External" /><Relationship Type="http://schemas.openxmlformats.org/officeDocument/2006/relationships/hyperlink" Id="rId125" Target="https://doi.org/10.1080/00031305.2019.1583913" TargetMode="External" /><Relationship Type="http://schemas.openxmlformats.org/officeDocument/2006/relationships/hyperlink" Id="rId112" Target="https://doi.org/10.1080/14660970.2022.2037218" TargetMode="External" /><Relationship Type="http://schemas.openxmlformats.org/officeDocument/2006/relationships/hyperlink" Id="rId102" Target="https://doi.org/10.1080/17430437.2017.1346620" TargetMode="External" /><Relationship Type="http://schemas.openxmlformats.org/officeDocument/2006/relationships/hyperlink" Id="rId87" Target="https://doi.org/10.1111/ecin.12061" TargetMode="External" /><Relationship Type="http://schemas.openxmlformats.org/officeDocument/2006/relationships/hyperlink" Id="rId95" Target="https://doi.org/10.1123/jsm.16.4.311" TargetMode="External" /><Relationship Type="http://schemas.openxmlformats.org/officeDocument/2006/relationships/hyperlink" Id="rId93" Target="https://doi.org/10.1123/jsm.2019-0404" TargetMode="External" /><Relationship Type="http://schemas.openxmlformats.org/officeDocument/2006/relationships/hyperlink" Id="rId83" Target="https://doi.org/10.1177/019372359001400102" TargetMode="External" /><Relationship Type="http://schemas.openxmlformats.org/officeDocument/2006/relationships/hyperlink" Id="rId104" Target="https://doi.org/10.1177/152700250200300204" TargetMode="External" /><Relationship Type="http://schemas.openxmlformats.org/officeDocument/2006/relationships/hyperlink" Id="rId85" Target="https://doi.org/10.1177/1527002504265957" TargetMode="External" /><Relationship Type="http://schemas.openxmlformats.org/officeDocument/2006/relationships/hyperlink" Id="rId91" Target="https://doi.org/10.1177/1527002508327387" TargetMode="External" /><Relationship Type="http://schemas.openxmlformats.org/officeDocument/2006/relationships/hyperlink" Id="rId110" Target="https://doi.org/10.1177/1527002509337212" TargetMode="External" /><Relationship Type="http://schemas.openxmlformats.org/officeDocument/2006/relationships/hyperlink" Id="rId89" Target="https://doi.org/10.1177/155862350800300105" TargetMode="External" /><Relationship Type="http://schemas.openxmlformats.org/officeDocument/2006/relationships/hyperlink" Id="rId100" Target="https://doi.org/10.32614/cran.package.wehoop" TargetMode="External" /><Relationship Type="http://schemas.openxmlformats.org/officeDocument/2006/relationships/hyperlink" Id="rId119" Target="https://doi.org/10.3390/ijfs7010012" TargetMode="External" /><Relationship Type="http://schemas.openxmlformats.org/officeDocument/2006/relationships/hyperlink" Id="rId108"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98" Target="https://polecom.org/index.php/polecom/article/view/119" TargetMode="External" /><Relationship Type="http://schemas.openxmlformats.org/officeDocument/2006/relationships/hyperlink" Id="rId81" Target="https://www.acrossthetimeline.com/wnba/attendance.html" TargetMode="External" /><Relationship Type="http://schemas.openxmlformats.org/officeDocument/2006/relationships/hyperlink" Id="rId114" Target="https://www.jstor.org/stable/1924766" TargetMode="External" /><Relationship Type="http://schemas.openxmlformats.org/officeDocument/2006/relationships/hyperlink" Id="rId129"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2026-06-05T14:27:31Z</dcterms:created>
  <dcterms:modified xsi:type="dcterms:W3CDTF">2026-06-05T14:27:31Z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2026-06-05</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