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6.png" ContentType="image/png"/>
  <Override PartName="/word/media/rId30.png" ContentType="image/png"/>
  <Override PartName="/word/media/rId15.png" ContentType="image/png"/>
  <Override PartName="/word/media/rId51.png" ContentType="image/png"/>
  <Override PartName="/word/media/rId56.png" ContentType="image/png"/>
  <Override PartName="/word/media/rId35.png" ContentType="image/png"/>
  <Override PartName="/word/media/rId21.png" ContentType="image/png"/>
  <Override PartName="/word/media/rId157.png" ContentType="image/png"/>
  <Override PartName="/word/media/rId193.png" ContentType="image/png"/>
  <Override PartName="/word/media/rId197.png" ContentType="image/png"/>
  <Override PartName="/word/media/rId201.png" ContentType="image/png"/>
  <Override PartName="/word/media/rId161.png" ContentType="image/png"/>
  <Override PartName="/word/media/rId165.png" ContentType="image/png"/>
  <Override PartName="/word/media/rId169.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70.png" ContentType="image/png"/>
  <Override PartName="/word/media/rId83.png" ContentType="image/png"/>
  <Override PartName="/word/media/rId75.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2026-06-11</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2"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w:t>
      </w:r>
    </w:p>
    <w:p>
      <w:pPr>
        <w:pStyle w:val="BodyText"/>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wins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In these studies, a debate emerged about the direction of causality: did strong team performance engender higher attendance or vice versa</w:t>
      </w:r>
      <w:r>
        <w:t xml:space="preserve"> </w:t>
      </w:r>
      <w:r>
        <w:t xml:space="preserve">(Baade and Tiehen 1990; Clapp and Hakes 2005; Davis 2008, 2009; Horowitz 2007; Lemke et al. 2010)</w:t>
      </w:r>
      <w:r>
        <w:t xml:space="preserve">?</w:t>
      </w:r>
      <w:r>
        <w:t xml:space="preserve"> </w:t>
      </w:r>
      <w:r>
        <w:t xml:space="preserve">While no Granger causality tests were run, the predominant view has been causality running from team performance to attendance</w:t>
      </w:r>
      <w:r>
        <w:t xml:space="preserve"> </w:t>
      </w:r>
      <w:r>
        <w:t xml:space="preserve">(Hall et al. 2002)</w:t>
      </w:r>
      <w:r>
        <w:t xml:space="preserve">.</w:t>
      </w:r>
    </w:p>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p>
      <w:pPr>
        <w:pStyle w:val="BodyText"/>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 They also measure a team’s strength using the team’s winning percentage from the previous year which raises issues because fans are more likely to respond to the more recent performance of the team. Thus, while a team’s win percentage in 2016 might have an appreciable impact on the team’s attendance at the beginning of the 2017 season, as the season wears on, this impact should consistently diminish. For this reason, we chose to use a team’s ELO rating as the measure of team strength because the ELO rating updates with each game, thus more accurately reflecting the information that fans have access to in deciding to attend games.</w:t>
      </w:r>
    </w:p>
    <w:p>
      <w:pPr>
        <w:pStyle w:val="BodyText"/>
      </w:pPr>
      <w:r>
        <w:t xml:space="preserve">Despite the issues with Agha and Berri’s study, their observation that between 2004 and 2017 the relationship between team strength and attendance in the WNBA was weak is not incorrect. The disparity between raw attendance numbers and attendance driving factors in the NBA and WNBA cannot be attributed to the age of the leagues alone. Additional important factors include: the WNBA plays during the summer months in order to promote arena use outside of the NBA season; there is less money spent on promotion; reduced media coverage; historical prejudice; arena amenities and age; and ticket prices, among others. 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 Factors like the summer season, reduced media coverage, and the association of game attendance with feminist causes all contribute to the argument that the WNBA functions fundamentally differently to the NBA- at least in terms of attendance drivers. This conception of the WNBA as fundamentally different from the NBA is dangerous both to the league’s reputation and future growth, motivating our more thorough examination of game attendance in the context of the league’s history.</w:t>
      </w:r>
    </w:p>
    <w:p>
      <w:pPr>
        <w:pStyle w:val="BodyText"/>
      </w:pPr>
      <w:r>
        <w:t xml:space="preserve">It is reasonable to anticipate that as women’s sports mature and are perceived increasingly as a normal sports league, rather than a political concession or oddity, they will begin to assert similar fan demand characteristics. In particular, fan demand will become more responsive to team quality. Using game attendance</w:t>
      </w:r>
      <w:r>
        <w:rPr>
          <w:rStyle w:val="FootnoteReference"/>
        </w:rPr>
        <w:footnoteReference w:id="10"/>
      </w:r>
      <w:r>
        <w:t xml:space="preserve"> </w:t>
      </w:r>
      <w:r>
        <w:t xml:space="preserve">and team performance data from 1997 through 2025, we test these hypotheses. 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a game’s uncertainty, the strength of both teams, and the likelihood of a home team win, on game attendance has increased, paralleling documented trends in men’s leagues.</w:t>
      </w:r>
    </w:p>
    <w:bookmarkStart w:id="11" w:name="still-to-be-incorporated-in-intro"/>
    <w:p>
      <w:pPr>
        <w:pStyle w:val="Heading3"/>
      </w:pPr>
      <w:r>
        <w:t xml:space="preserve">1.1 still to be incorporated in intro:</w:t>
      </w:r>
    </w:p>
    <w:p>
      <w:pPr>
        <w:pStyle w:val="FirstParagraph"/>
      </w:pP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The present study controls for payroll and stadium capacity as both have been shown to affect attendance.</w:t>
      </w:r>
      <w:r>
        <w:t xml:space="preserve"> </w:t>
      </w:r>
      <w:r>
        <w:t xml:space="preserve">Wiseman and Chatterjee (2003)</w:t>
      </w:r>
      <w:r>
        <w:t xml:space="preserve"> </w:t>
      </w:r>
      <w:r>
        <w:t xml:space="preserve">found team payroll was positively correlated to team winning percentage (9).</w:t>
      </w:r>
      <w:r>
        <w:t xml:space="preserve"> </w:t>
      </w:r>
      <w:r>
        <w:t xml:space="preserve">Additionally, they found that this relationship has grown stronger since the late 1990’s.</w:t>
      </w:r>
      <w:r>
        <w:t xml:space="preserve"> </w:t>
      </w:r>
      <w:r>
        <w:t xml:space="preserve">Hall et al. (2002)</w:t>
      </w:r>
      <w:r>
        <w:t xml:space="preserve"> </w:t>
      </w:r>
      <w:r>
        <w:t xml:space="preserve">did not find causality evidence from payroll to team winning percentage in their entire dataset, but they did note an increased correlation in the 1990’s.</w:t>
      </w:r>
      <w:r>
        <w:t xml:space="preserve"> </w:t>
      </w:r>
      <w:r>
        <w:t xml:space="preserve">Additionally, they stated that an MLB team with a payroll of at least 150% of the league average could expect a winning percentage of at least .550.</w:t>
      </w:r>
      <w:r>
        <w:t xml:space="preserve"> </w:t>
      </w:r>
      <w:r>
        <w:t xml:space="preserve">This is an important finding, because</w:t>
      </w:r>
      <w:r>
        <w:t xml:space="preserve"> </w:t>
      </w:r>
      <w:r>
        <w:t xml:space="preserve">Vrooman (2012)</w:t>
      </w:r>
      <w:r>
        <w:t xml:space="preserve"> </w:t>
      </w:r>
      <w:r>
        <w:t xml:space="preserve">identified .550 as a benchmark winning percentage for qualifying as a playoff team.</w:t>
      </w:r>
    </w:p>
    <w:bookmarkEnd w:id="11"/>
    <w:bookmarkEnd w:id="12"/>
    <w:bookmarkStart w:id="29" w:name="sec-data"/>
    <w:p>
      <w:pPr>
        <w:pStyle w:val="Heading2"/>
      </w:pPr>
      <w:r>
        <w:t xml:space="preserve">2 Data</w:t>
      </w:r>
    </w:p>
    <w:bookmarkStart w:id="20"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 an online repository for women’s basketball data. The site collects attendance numbers directly from the league’s records. Attendance data was unavailable for only 152 games, while (due to the COVID-19 pandemic) 2 games (accurately) recorded attendance of 0. Because the arenas WNBA teams play in vary widely in size– the New York Liberty alone have called both the Barclays Center (17,732 seat capacity) and the Westchester County Center (2,300 seat capacity) home in recent years– we contextualize raw attendance numbers with manually collected arena capacities.</w:t>
      </w:r>
      <w:r>
        <w:rPr>
          <w:rStyle w:val="FootnoteReference"/>
        </w:rPr>
        <w:footnoteReference w:id="13"/>
      </w:r>
      <w:r>
        <w:t xml:space="preserve"> </w:t>
      </w:r>
      <w:r>
        <w:t xml:space="preserve">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Caitlin Clark played in the game, are recorded.</w:t>
      </w:r>
    </w:p>
    <w:tbl>
      <w:tblPr>
        <w:tblStyle w:val="Table"/>
        <w:tblW w:type="pct" w:w="5000"/>
        <w:tblLayout w:type="fixed"/>
        <w:tblLook w:firstRow="0" w:lastRow="0" w:firstColumn="0" w:lastColumn="0" w:noHBand="0" w:noVBand="0" w:val="0000"/>
      </w:tblPr>
      <w:tblGrid>
        <w:gridCol w:w="7920"/>
      </w:tblGrid>
      <w:tr>
        <w:tc>
          <w:tcPr/>
          <w:bookmarkStart w:id="14"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Clark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2000-08-09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AmericanAirlines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2012-09-12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Prudential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2003-08-06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Verizon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2012-06-01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KeyArena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2008-07-27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Philips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2025-06-10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Barclays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2005-08-02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Compaq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2006-08-12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AT&amp;T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2019-08-25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Alaska Airlines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2009-06-06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ARCO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played in the game.</w:t>
            </w:r>
          </w:p>
          <w:bookmarkEnd w:id="1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19" w:name="cell-fig-boxplots"/>
    <w:tbl>
      <w:tblPr>
        <w:tblStyle w:val="Table"/>
        <w:tblW w:type="pct" w:w="5000"/>
        <w:tblLayout w:type="fixed"/>
        <w:tblLook w:firstRow="0" w:lastRow="0" w:firstColumn="0" w:lastColumn="0" w:noHBand="0" w:noVBand="0" w:val="0000"/>
      </w:tblPr>
      <w:tblGrid>
        <w:gridCol w:w="7920"/>
      </w:tblGrid>
      <w:tr>
        <w:tc>
          <w:tcPr/>
          <w:bookmarkStart w:id="18" w:name="fig-boxplots"/>
          <w:p>
            <w:pPr>
              <w:pStyle w:val="Compact"/>
              <w:jc w:val="center"/>
            </w:pPr>
            <w:r>
              <w:drawing>
                <wp:inline>
                  <wp:extent cx="4620126" cy="3696101"/>
                  <wp:effectExtent b="0" l="0" r="0" t="0"/>
                  <wp:docPr descr="" title="" id="16" name="Picture"/>
                  <a:graphic>
                    <a:graphicData uri="http://schemas.openxmlformats.org/drawingml/2006/picture">
                      <pic:pic>
                        <pic:nvPicPr>
                          <pic:cNvPr descr="index_files/figure-docx/fig-boxplots-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Clark’s games in 2024-2025 are separated by color.</w:t>
            </w:r>
          </w:p>
          <w:bookmarkEnd w:id="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End w:id="20"/>
    <w:bookmarkStart w:id="26"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 This means that beating a team with a higher Elo rating has a greater positive effect than beating a team with a lower Elo rating, reflecting upsets with more nuance than the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typically centered at 1500. 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If team</w:t>
      </w:r>
      <w:r>
        <w:t xml:space="preserve"> </w:t>
      </w:r>
      <m:oMath>
        <m:r>
          <m:t>i</m:t>
        </m:r>
      </m:oMath>
      <w:r>
        <w:t xml:space="preserve"> </w:t>
      </w:r>
      <w:r>
        <w:t xml:space="preserve">had a 78% probability of beating team</w:t>
      </w:r>
      <w:r>
        <w:t xml:space="preserve"> </w:t>
      </w:r>
      <m:oMath>
        <m:r>
          <m:t>j</m:t>
        </m:r>
      </m:oMath>
      <w:r>
        <w:t xml:space="preserve"> </w:t>
      </w:r>
      <w:r>
        <w:t xml:space="preserve">and wins, their rating will improve by</w:t>
      </w:r>
      <w:r>
        <w:t xml:space="preserve"> </w:t>
      </w:r>
      <m:oMath>
        <m:r>
          <m:t>32</m:t>
        </m:r>
        <m:r>
          <m:rPr>
            <m:sty m:val="p"/>
          </m:rPr>
          <m:t>⋅</m:t>
        </m:r>
        <m:r>
          <m:rPr>
            <m:sty m:val="p"/>
          </m:rPr>
          <m:t>(</m:t>
        </m:r>
        <m:r>
          <m:t>1</m:t>
        </m:r>
        <m:r>
          <m:rPr>
            <m:sty m:val="p"/>
          </m:rPr>
          <m:t>−</m:t>
        </m:r>
        <m:r>
          <m:t>0.78</m:t>
        </m:r>
        <m:r>
          <m:rPr>
            <m:sty m:val="p"/>
          </m:rPr>
          <m:t>)</m:t>
        </m:r>
        <m:r>
          <m:rPr>
            <m:sty m:val="p"/>
          </m:rPr>
          <m:t>=</m:t>
        </m:r>
        <m:r>
          <m:t>7.04</m:t>
        </m:r>
      </m:oMath>
      <w:r>
        <w:t xml:space="preserve">, while team</w:t>
      </w:r>
      <w:r>
        <w:t xml:space="preserve"> </w:t>
      </w:r>
      <m:oMath>
        <m:r>
          <m:t>j</m:t>
        </m:r>
      </m:oMath>
      <w:r>
        <w:t xml:space="preserve">’s rating will decrease by the same amount.</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2</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25" w:name="cell-fig-elo"/>
    <w:tbl>
      <w:tblPr>
        <w:tblStyle w:val="Table"/>
        <w:tblW w:type="pct" w:w="5000"/>
        <w:tblLayout w:type="fixed"/>
        <w:tblLook w:firstRow="0" w:lastRow="0" w:firstColumn="0" w:lastColumn="0" w:noHBand="0" w:noVBand="0" w:val="0000"/>
      </w:tblPr>
      <w:tblGrid>
        <w:gridCol w:w="7920"/>
      </w:tblGrid>
      <w:tr>
        <w:tc>
          <w:tcPr/>
          <w:bookmarkStart w:id="24" w:name="fig-elo"/>
          <w:p>
            <w:pPr>
              <w:pStyle w:val="Compact"/>
              <w:jc w:val="center"/>
            </w:pPr>
            <w:r>
              <w:drawing>
                <wp:inline>
                  <wp:extent cx="4620126" cy="3696101"/>
                  <wp:effectExtent b="0" l="0" r="0" t="0"/>
                  <wp:docPr descr="" title="" id="22" name="Picture"/>
                  <a:graphic>
                    <a:graphicData uri="http://schemas.openxmlformats.org/drawingml/2006/picture">
                      <pic:pic>
                        <pic:nvPicPr>
                          <pic:cNvPr descr="index_files/figure-docx/fig-elo-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5"/>
    <w:bookmarkEnd w:id="26"/>
    <w:bookmarkStart w:id="28" w:name="estimating-home-win-probability"/>
    <w:p>
      <w:pPr>
        <w:pStyle w:val="Heading3"/>
      </w:pPr>
      <w:r>
        <w:t xml:space="preserve">2.3 Estimating home win probability</w:t>
      </w:r>
    </w:p>
    <w:p>
      <w:pPr>
        <w:pStyle w:val="FirstParagraph"/>
      </w:pPr>
      <w:r>
        <w:t xml:space="preserve">The pregame Elo ratings estimated above can then be plugged back into the win probability formula to estimate the home teams’s likelihood of winning.</w:t>
      </w:r>
      <w:r>
        <w:t xml:space="preserve"> </w:t>
      </w: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While the model was slightly less accurate at the extremes,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2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End w:id="29"/>
    <w:bookmarkStart w:id="67"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developed an alternative response variable- percentage of arena capacity filled (</w:t>
      </w:r>
      <m:oMath>
        <m:r>
          <m:t>γ</m:t>
        </m:r>
      </m:oMath>
      <w:r>
        <w:t xml:space="preserv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40"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3</w:t>
        </w:r>
      </w:hyperlink>
      <w:r>
        <w:t xml:space="preserve">, we observe the relationship between attendance and estimated home win probability.</w:t>
      </w:r>
      <w:r>
        <w:t xml:space="preserve"> </w:t>
      </w:r>
      <w:r>
        <w:t xml:space="preserve">In most years, the slope appears to be positive.</w:t>
      </w:r>
    </w:p>
    <w:bookmarkStart w:id="34" w:name="cell-fig-attendance-year"/>
    <w:tbl>
      <w:tblPr>
        <w:tblStyle w:val="Table"/>
        <w:tblW w:type="pct" w:w="5000"/>
        <w:tblLayout w:type="fixed"/>
        <w:tblLook w:firstRow="0" w:lastRow="0" w:firstColumn="0" w:lastColumn="0" w:noHBand="0" w:noVBand="0" w:val="0000"/>
      </w:tblPr>
      <w:tblGrid>
        <w:gridCol w:w="7920"/>
      </w:tblGrid>
      <w:tr>
        <w:tc>
          <w:tcPr/>
          <w:bookmarkStart w:id="33" w:name="fig-attendance-year"/>
          <w:p>
            <w:pPr>
              <w:pStyle w:val="Compact"/>
              <w:jc w:val="center"/>
            </w:pPr>
            <w:r>
              <w:drawing>
                <wp:inline>
                  <wp:extent cx="4620126" cy="3696101"/>
                  <wp:effectExtent b="0" l="0" r="0" t="0"/>
                  <wp:docPr descr="" title="" id="31" name="Picture"/>
                  <a:graphic>
                    <a:graphicData uri="http://schemas.openxmlformats.org/drawingml/2006/picture">
                      <pic:pic>
                        <pic:nvPicPr>
                          <pic:cNvPr descr="index_files/figure-docx/fig-attendance-year-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WNBA attendance by season, against estimated home win probability. We note that in most years, the slope of the association appears to be positive.</w:t>
            </w:r>
          </w:p>
          <w:bookmarkEnd w:id="3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4"/>
    <w:p>
      <w:pPr>
        <w:pStyle w:val="BodyText"/>
      </w:pPr>
      <w:r>
        <w:t xml:space="preserve">In</w:t>
      </w:r>
      <w:r>
        <w:t xml:space="preserve"> </w:t>
      </w:r>
      <w:hyperlink w:anchor="fig-capacity-year">
        <w:r>
          <w:rPr>
            <w:rStyle w:val="Hyperlink"/>
          </w:rPr>
          <w:t xml:space="preserve">Figure 4</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39" w:name="cell-fig-capacity-year"/>
    <w:tbl>
      <w:tblPr>
        <w:tblStyle w:val="Table"/>
        <w:tblW w:type="pct" w:w="5000"/>
        <w:tblLayout w:type="fixed"/>
        <w:tblLook w:firstRow="0" w:lastRow="0" w:firstColumn="0" w:lastColumn="0" w:noHBand="0" w:noVBand="0" w:val="0000"/>
      </w:tblPr>
      <w:tblGrid>
        <w:gridCol w:w="7920"/>
      </w:tblGrid>
      <w:tr>
        <w:tc>
          <w:tcPr/>
          <w:bookmarkStart w:id="38" w:name="fig-capacity-year"/>
          <w:p>
            <w:pPr>
              <w:pStyle w:val="Compact"/>
              <w:jc w:val="center"/>
            </w:pPr>
            <w:r>
              <w:drawing>
                <wp:inline>
                  <wp:extent cx="4620126" cy="3696101"/>
                  <wp:effectExtent b="0" l="0" r="0" t="0"/>
                  <wp:docPr descr="" title="" id="36" name="Picture"/>
                  <a:graphic>
                    <a:graphicData uri="http://schemas.openxmlformats.org/drawingml/2006/picture">
                      <pic:pic>
                        <pic:nvPicPr>
                          <pic:cNvPr descr="index_files/figure-docx/fig-capacity-year-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percentage of arena capacity filled by season, against estimated home win probability. We note the edge effects caused by sellouts, which occur much more frequently in 2024 and 2025.</w:t>
            </w:r>
          </w:p>
          <w:bookmarkEnd w:id="3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9"/>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0"/>
    <w:bookmarkStart w:id="61"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 quality of play is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unclear. We model this as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5</w:t>
        </w:r>
      </w:hyperlink>
      <w:r>
        <w:t xml:space="preserve"> </w:t>
      </w:r>
      <w:r>
        <w:t xml:space="preserve">and</w:t>
      </w:r>
      <w:r>
        <w:t xml:space="preserve"> </w:t>
      </w:r>
      <w:hyperlink w:anchor="fig-attend-f2">
        <w:r>
          <w:rPr>
            <w:rStyle w:val="Hyperlink"/>
          </w:rPr>
          <w:t xml:space="preserve">Figure 6</w:t>
        </w:r>
      </w:hyperlink>
      <w:r>
        <w:t xml:space="preserve">, respectively, with the corresponding plots for percentage of arena capacity shown in</w:t>
      </w:r>
      <w:r>
        <w:t xml:space="preserve"> </w:t>
      </w:r>
      <w:hyperlink w:anchor="fig-capacity-f1">
        <w:r>
          <w:rPr>
            <w:rStyle w:val="Hyperlink"/>
          </w:rPr>
          <w:t xml:space="preserve">Figure 7</w:t>
        </w:r>
      </w:hyperlink>
      <w:r>
        <w:t xml:space="preserve"> </w:t>
      </w:r>
      <w:r>
        <w:t xml:space="preserve">and</w:t>
      </w:r>
      <w:r>
        <w:t xml:space="preserve"> </w:t>
      </w:r>
      <w:hyperlink w:anchor="fig-capacity-f2">
        <w:r>
          <w:rPr>
            <w:rStyle w:val="Hyperlink"/>
          </w:rPr>
          <w:t xml:space="preserve">Figure 8</w:t>
        </w:r>
      </w:hyperlink>
      <w:r>
        <w:t xml:space="preserve">.</w:t>
      </w:r>
    </w:p>
    <w:bookmarkStart w:id="45" w:name="cell-fig-attend-f1"/>
    <w:tbl>
      <w:tblPr>
        <w:tblStyle w:val="Table"/>
        <w:tblW w:type="pct" w:w="5000"/>
        <w:tblLayout w:type="fixed"/>
        <w:tblLook w:firstRow="0" w:lastRow="0" w:firstColumn="0" w:lastColumn="0" w:noHBand="0" w:noVBand="0" w:val="0000"/>
      </w:tblPr>
      <w:tblGrid>
        <w:gridCol w:w="7920"/>
      </w:tblGrid>
      <w:tr>
        <w:tc>
          <w:tcPr/>
          <w:bookmarkStart w:id="44" w:name="fig-attend-f1"/>
          <w:p>
            <w:pPr>
              <w:pStyle w:val="Compact"/>
              <w:jc w:val="center"/>
            </w:pPr>
            <w:r>
              <w:drawing>
                <wp:inline>
                  <wp:extent cx="4620126" cy="3696101"/>
                  <wp:effectExtent b="0" l="0" r="0" t="0"/>
                  <wp:docPr descr="" title="" id="42" name="Picture"/>
                  <a:graphic>
                    <a:graphicData uri="http://schemas.openxmlformats.org/drawingml/2006/picture">
                      <pic:pic>
                        <pic:nvPicPr>
                          <pic:cNvPr descr="index_files/figure-docx/fig-attend-f1-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asd</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Start w:id="50" w:name="cell-fig-attend-f2"/>
    <w:tbl>
      <w:tblPr>
        <w:tblStyle w:val="Table"/>
        <w:tblW w:type="pct" w:w="5000"/>
        <w:tblLayout w:type="fixed"/>
        <w:tblLook w:firstRow="0" w:lastRow="0" w:firstColumn="0" w:lastColumn="0" w:noHBand="0" w:noVBand="0" w:val="0000"/>
      </w:tblPr>
      <w:tblGrid>
        <w:gridCol w:w="7920"/>
      </w:tblGrid>
      <w:tr>
        <w:tc>
          <w:tcPr/>
          <w:bookmarkStart w:id="49" w:name="fig-attend-f2"/>
          <w:p>
            <w:pPr>
              <w:pStyle w:val="Compact"/>
              <w:jc w:val="center"/>
            </w:pPr>
            <w:r>
              <w:drawing>
                <wp:inline>
                  <wp:extent cx="4620126" cy="3696101"/>
                  <wp:effectExtent b="0" l="0" r="0" t="0"/>
                  <wp:docPr descr="" title="" id="47" name="Picture"/>
                  <a:graphic>
                    <a:graphicData uri="http://schemas.openxmlformats.org/drawingml/2006/picture">
                      <pic:pic>
                        <pic:nvPicPr>
                          <pic:cNvPr descr="index_files/figure-docx/fig-attend-f2-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asd</w:t>
            </w:r>
          </w:p>
          <w:bookmarkEnd w:id="4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0"/>
    <w:bookmarkStart w:id="55" w:name="cell-fig-capacity-f1"/>
    <w:tbl>
      <w:tblPr>
        <w:tblStyle w:val="Table"/>
        <w:tblW w:type="pct" w:w="5000"/>
        <w:tblLayout w:type="fixed"/>
        <w:tblLook w:firstRow="0" w:lastRow="0" w:firstColumn="0" w:lastColumn="0" w:noHBand="0" w:noVBand="0" w:val="0000"/>
      </w:tblPr>
      <w:tblGrid>
        <w:gridCol w:w="7920"/>
      </w:tblGrid>
      <w:tr>
        <w:tc>
          <w:tcPr/>
          <w:bookmarkStart w:id="54" w:name="fig-capacity-f1"/>
          <w:p>
            <w:pPr>
              <w:pStyle w:val="Compact"/>
              <w:jc w:val="center"/>
            </w:pPr>
            <w:r>
              <w:drawing>
                <wp:inline>
                  <wp:extent cx="4620126" cy="3696101"/>
                  <wp:effectExtent b="0" l="0" r="0" t="0"/>
                  <wp:docPr descr="" title="" id="52" name="Picture"/>
                  <a:graphic>
                    <a:graphicData uri="http://schemas.openxmlformats.org/drawingml/2006/picture">
                      <pic:pic>
                        <pic:nvPicPr>
                          <pic:cNvPr descr="index_files/figure-docx/fig-capacity-f1-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asd</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Start w:id="60" w:name="cell-fig-capacity-f2"/>
    <w:tbl>
      <w:tblPr>
        <w:tblStyle w:val="Table"/>
        <w:tblW w:type="pct" w:w="5000"/>
        <w:tblLayout w:type="fixed"/>
        <w:tblLook w:firstRow="0" w:lastRow="0" w:firstColumn="0" w:lastColumn="0" w:noHBand="0" w:noVBand="0" w:val="0000"/>
      </w:tblPr>
      <w:tblGrid>
        <w:gridCol w:w="7920"/>
      </w:tblGrid>
      <w:tr>
        <w:tc>
          <w:tcPr/>
          <w:bookmarkStart w:id="59" w:name="fig-capacity-f2"/>
          <w:p>
            <w:pPr>
              <w:pStyle w:val="Compact"/>
              <w:jc w:val="center"/>
            </w:pPr>
            <w:r>
              <w:drawing>
                <wp:inline>
                  <wp:extent cx="4620126" cy="3696101"/>
                  <wp:effectExtent b="0" l="0" r="0" t="0"/>
                  <wp:docPr descr="" title="" id="57" name="Picture"/>
                  <a:graphic>
                    <a:graphicData uri="http://schemas.openxmlformats.org/drawingml/2006/picture">
                      <pic:pic>
                        <pic:nvPicPr>
                          <pic:cNvPr descr="index_files/figure-docx/fig-capacity-f2-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asd</w:t>
            </w:r>
          </w:p>
          <w:bookmarkEnd w:id="5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End w:id="61"/>
    <w:bookmarkStart w:id="63"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62"/>
      </w:r>
      <w:r>
        <w:t xml:space="preserve">.</w:t>
      </w:r>
      <w:r>
        <w:t xml:space="preserve"> </w:t>
      </w:r>
      <w:r>
        <w:t xml:space="preserve">Finally, we include an indicator based on whether Caitlin Clark played more than 0 minutes in the game (</w:t>
      </w:r>
      <m:oMath>
        <m:r>
          <m:t>χ</m:t>
        </m:r>
      </m:oMath>
      <w:r>
        <w:t xml:space="preserve">).</w:t>
      </w:r>
    </w:p>
    <w:bookmarkEnd w:id="63"/>
    <w:bookmarkStart w:id="64"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this, we include an interaction term between our measures of fan engagement (</w:t>
      </w:r>
      <m:oMath>
        <m:sSub>
          <m:e>
            <m:r>
              <m:t>f</m:t>
            </m:r>
          </m:e>
          <m:sub>
            <m:r>
              <m:t>k</m:t>
            </m:r>
          </m:sub>
        </m:sSub>
      </m:oMath>
      <w:r>
        <w:t xml:space="preserve">) and season (</w:t>
      </w:r>
      <m:oMath>
        <m:sSub>
          <m:e>
            <m:r>
              <m:t>τ</m:t>
            </m:r>
          </m:e>
          <m:sub>
            <m:r>
              <m:t>1</m:t>
            </m:r>
          </m:sub>
        </m:sSub>
      </m:oMath>
      <w:r>
        <w:t xml:space="preserve">).</w:t>
      </w:r>
    </w:p>
    <w:bookmarkEnd w:id="64"/>
    <w:bookmarkStart w:id="65"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65"/>
    <w:bookmarkStart w:id="66"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sSup>
            <m:e>
              <m:r>
                <m:rPr>
                  <m:sty m:val="b"/>
                </m:rPr>
                <m:t>η</m:t>
              </m:r>
            </m:e>
            <m:sup>
              <m:r>
                <m:rPr>
                  <m:sty m:val="p"/>
                </m:rPr>
                <m:t>(</m:t>
              </m:r>
              <m:r>
                <m:t>k</m:t>
              </m:r>
              <m:r>
                <m:rPr>
                  <m:sty m:val="p"/>
                </m:rPr>
                <m:t>)</m:t>
              </m:r>
            </m:sup>
          </m:sSup>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sSup>
          <m:e>
            <m:r>
              <m:rPr>
                <m:sty m:val="b"/>
              </m:rPr>
              <m:t>η</m:t>
            </m:r>
          </m:e>
          <m:sup>
            <m:r>
              <m:rPr>
                <m:sty m:val="b"/>
              </m:rPr>
              <m:t>(</m:t>
            </m:r>
            <m:r>
              <m:rPr>
                <m:sty m:val="b"/>
              </m:rPr>
              <m:t>k</m:t>
            </m:r>
            <m:r>
              <m:rPr>
                <m:sty m:val="b"/>
              </m:rPr>
              <m:t>)</m:t>
            </m:r>
          </m:sup>
        </m:sSup>
      </m:oMath>
      <w:r>
        <w:t xml:space="preserve"> </w:t>
      </w:r>
      <w:r>
        <w:t xml:space="preserve">has the same structure as</w:t>
      </w:r>
      <w:r>
        <w:t xml:space="preserve"> </w:t>
      </w:r>
      <m:oMath>
        <m:sSup>
          <m:e>
            <m:r>
              <m:rPr>
                <m:sty m:val="b"/>
              </m:rPr>
              <m:t>β</m:t>
            </m:r>
          </m:e>
          <m:sup>
            <m:r>
              <m:rPr>
                <m:sty m:val="p"/>
              </m:rPr>
              <m:t>(</m:t>
            </m:r>
            <m:r>
              <m:t>k</m:t>
            </m:r>
            <m:r>
              <m:rPr>
                <m:sty m:val="p"/>
              </m:rPr>
              <m:t>)</m:t>
            </m:r>
          </m:sup>
        </m:sSup>
      </m:oMath>
      <w:r>
        <w:t xml:space="preserve"> </w:t>
      </w:r>
      <w:r>
        <w:t xml:space="preserve">defined above.</w:t>
      </w:r>
    </w:p>
    <w:bookmarkEnd w:id="66"/>
    <w:bookmarkEnd w:id="67"/>
    <w:bookmarkStart w:id="94"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80"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3</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7</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8" w:name="tbl-coefs"/>
          <w:p>
            <w:pPr>
              <w:jc w:val="center"/>
            </w:pPr>
            <w:pPr>
              <w:jc w:val="left"/>
              <w:spacing w:before="200"/>
              <w:pStyle w:val="ImageCaption"/>
            </w:pPr>
            <w:r>
              <w:t xml:space="preserve">Table 3: Fitted coefficients for scalar terms in models for the natural logarithm of attendance.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9.080</w:t>
                  </w:r>
                </w:p>
              </w:tc>
              <w:tc>
                <w:tcPr/>
                <w:p>
                  <w:pPr>
                    <w:pStyle w:val="Compact"/>
                    <w:jc w:val="right"/>
                    <w:jc w:val="center"/>
                  </w:pPr>
                  <w:r>
                    <w:t xml:space="preserve">0.132</w:t>
                  </w:r>
                </w:p>
              </w:tc>
              <w:tc>
                <w:tcPr/>
                <w:p>
                  <w:pPr>
                    <w:pStyle w:val="Compact"/>
                    <w:jc w:val="right"/>
                    <w:jc w:val="center"/>
                  </w:pPr>
                  <w:r>
                    <w:t xml:space="preserve">68.978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9.011</w:t>
                  </w:r>
                </w:p>
              </w:tc>
              <w:tc>
                <w:tcPr/>
                <w:p>
                  <w:pPr>
                    <w:pStyle w:val="Compact"/>
                    <w:jc w:val="right"/>
                    <w:jc w:val="center"/>
                  </w:pPr>
                  <w:r>
                    <w:t xml:space="preserve">0.146</w:t>
                  </w:r>
                </w:p>
              </w:tc>
              <w:tc>
                <w:tcPr/>
                <w:p>
                  <w:pPr>
                    <w:pStyle w:val="Compact"/>
                    <w:jc w:val="right"/>
                    <w:jc w:val="center"/>
                  </w:pPr>
                  <w:r>
                    <w:t xml:space="preserve">61.867</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9.102</w:t>
                  </w:r>
                </w:p>
              </w:tc>
              <w:tc>
                <w:tcPr/>
                <w:p>
                  <w:pPr>
                    <w:pStyle w:val="Compact"/>
                    <w:jc w:val="right"/>
                    <w:jc w:val="center"/>
                  </w:pPr>
                  <w:r>
                    <w:t xml:space="preserve">0.139</w:t>
                  </w:r>
                </w:p>
              </w:tc>
              <w:tc>
                <w:tcPr/>
                <w:p>
                  <w:pPr>
                    <w:pStyle w:val="Compact"/>
                    <w:jc w:val="right"/>
                    <w:jc w:val="center"/>
                  </w:pPr>
                  <w:r>
                    <w:t xml:space="preserve">65.437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Caitlin Clark</w:t>
                  </w:r>
                </w:p>
              </w:tc>
              <w:tc>
                <w:tcPr/>
                <w:p>
                  <w:pPr>
                    <w:pStyle w:val="Compact"/>
                    <w:jc w:val="right"/>
                    <w:jc w:val="center"/>
                  </w:pPr>
                  <w:r>
                    <w:t xml:space="preserve">0.675</w:t>
                  </w:r>
                </w:p>
              </w:tc>
              <w:tc>
                <w:tcPr/>
                <w:p>
                  <w:pPr>
                    <w:pStyle w:val="Compact"/>
                    <w:jc w:val="right"/>
                    <w:jc w:val="center"/>
                  </w:pPr>
                  <w:r>
                    <w:t xml:space="preserve">0.049</w:t>
                  </w:r>
                </w:p>
              </w:tc>
              <w:tc>
                <w:tcPr/>
                <w:p>
                  <w:pPr>
                    <w:pStyle w:val="Compact"/>
                    <w:jc w:val="right"/>
                    <w:jc w:val="center"/>
                  </w:pPr>
                  <w:r>
                    <w:t xml:space="preserve">13.919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Caitlin Clark</w:t>
                  </w:r>
                </w:p>
              </w:tc>
              <w:tc>
                <w:tcPr/>
                <w:p>
                  <w:pPr>
                    <w:pStyle w:val="Compact"/>
                    <w:jc w:val="right"/>
                    <w:jc w:val="center"/>
                  </w:pPr>
                  <w:r>
                    <w:t xml:space="preserve">0.691</w:t>
                  </w:r>
                </w:p>
              </w:tc>
              <w:tc>
                <w:tcPr/>
                <w:p>
                  <w:pPr>
                    <w:pStyle w:val="Compact"/>
                    <w:jc w:val="right"/>
                    <w:jc w:val="center"/>
                  </w:pPr>
                  <w:r>
                    <w:t xml:space="preserve">0.050</w:t>
                  </w:r>
                </w:p>
              </w:tc>
              <w:tc>
                <w:tcPr/>
                <w:p>
                  <w:pPr>
                    <w:pStyle w:val="Compact"/>
                    <w:jc w:val="right"/>
                    <w:jc w:val="center"/>
                  </w:pPr>
                  <w:r>
                    <w:t xml:space="preserve">13.776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Caitlin Clark</w:t>
                  </w:r>
                </w:p>
              </w:tc>
              <w:tc>
                <w:tcPr/>
                <w:p>
                  <w:pPr>
                    <w:pStyle w:val="Compact"/>
                    <w:jc w:val="right"/>
                    <w:jc w:val="center"/>
                  </w:pPr>
                  <w:r>
                    <w:t xml:space="preserve">0.675</w:t>
                  </w:r>
                </w:p>
              </w:tc>
              <w:tc>
                <w:tcPr/>
                <w:p>
                  <w:pPr>
                    <w:pStyle w:val="Compact"/>
                    <w:jc w:val="right"/>
                    <w:jc w:val="center"/>
                  </w:pPr>
                  <w:r>
                    <w:t xml:space="preserve">0.049</w:t>
                  </w:r>
                </w:p>
              </w:tc>
              <w:tc>
                <w:tcPr/>
                <w:p>
                  <w:pPr>
                    <w:pStyle w:val="Compact"/>
                    <w:jc w:val="right"/>
                    <w:jc w:val="center"/>
                  </w:pPr>
                  <w:r>
                    <w:t xml:space="preserve">13.860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I(Loss Aversion)</w:t>
                  </w:r>
                </w:p>
              </w:tc>
              <w:tc>
                <w:tcPr/>
                <w:p>
                  <w:pPr>
                    <w:pStyle w:val="Compact"/>
                    <w:jc w:val="right"/>
                    <w:jc w:val="center"/>
                  </w:pPr>
                  <w:r>
                    <w:t xml:space="preserve">0.242</w:t>
                  </w:r>
                </w:p>
              </w:tc>
              <w:tc>
                <w:tcPr/>
                <w:p>
                  <w:pPr>
                    <w:pStyle w:val="Compact"/>
                    <w:jc w:val="right"/>
                    <w:jc w:val="center"/>
                  </w:pPr>
                  <w:r>
                    <w:t xml:space="preserve">0.352</w:t>
                  </w:r>
                </w:p>
              </w:tc>
              <w:tc>
                <w:tcPr/>
                <w:p>
                  <w:pPr>
                    <w:pStyle w:val="Compact"/>
                    <w:jc w:val="right"/>
                    <w:jc w:val="center"/>
                  </w:pPr>
                  <w:r>
                    <w:t xml:space="preserve">0.688</w:t>
                  </w:r>
                </w:p>
              </w:tc>
              <w:tc>
                <w:tcPr/>
                <w:p>
                  <w:pPr>
                    <w:pStyle w:val="Compact"/>
                    <w:jc w:val="right"/>
                    <w:jc w:val="center"/>
                  </w:pPr>
                  <w:r>
                    <w:t xml:space="preserve">0.491</w:t>
                  </w:r>
                </w:p>
              </w:tc>
            </w:tr>
            <w:tr>
              <w:tc>
                <w:tcPr/>
                <w:p>
                  <w:pPr>
                    <w:pStyle w:val="Compact"/>
                    <w:jc w:val="left"/>
                    <w:jc w:val="center"/>
                  </w:pPr>
                  <w:r>
                    <w:t xml:space="preserve">f1</w:t>
                  </w:r>
                </w:p>
              </w:tc>
              <w:tc>
                <w:tcPr/>
                <w:p>
                  <w:pPr>
                    <w:pStyle w:val="Compact"/>
                    <w:jc w:val="left"/>
                    <w:jc w:val="center"/>
                  </w:pPr>
                  <w:r>
                    <w:t xml:space="preserve">I(Quality Of Play)</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2.777</w:t>
                  </w:r>
                </w:p>
              </w:tc>
              <w:tc>
                <w:tcPr/>
                <w:p>
                  <w:pPr>
                    <w:pStyle w:val="Compact"/>
                    <w:jc w:val="right"/>
                    <w:jc w:val="center"/>
                  </w:pPr>
                  <w:r>
                    <w:t xml:space="preserve">0.006</w:t>
                  </w:r>
                </w:p>
              </w:tc>
            </w:tr>
            <w:tr>
              <w:tc>
                <w:tcPr/>
                <w:p>
                  <w:pPr>
                    <w:pStyle w:val="Compact"/>
                    <w:jc w:val="left"/>
                    <w:jc w:val="center"/>
                  </w:pPr>
                  <w:r>
                    <w:t xml:space="preserve">f2</w:t>
                  </w:r>
                </w:p>
              </w:tc>
              <w:tc>
                <w:tcPr/>
                <w:p>
                  <w:pPr>
                    <w:pStyle w:val="Compact"/>
                    <w:jc w:val="left"/>
                    <w:jc w:val="center"/>
                  </w:pPr>
                  <w:r>
                    <w:t xml:space="preserve">I(Uncertain Outcome)</w:t>
                  </w:r>
                </w:p>
              </w:tc>
              <w:tc>
                <w:tcPr/>
                <w:p>
                  <w:pPr>
                    <w:pStyle w:val="Compact"/>
                    <w:jc w:val="right"/>
                    <w:jc w:val="center"/>
                  </w:pPr>
                  <w:r>
                    <w:t xml:space="preserve">0.000</w:t>
                  </w:r>
                </w:p>
              </w:tc>
              <w:tc>
                <w:tcPr/>
                <w:p>
                  <w:pPr>
                    <w:pStyle w:val="Compact"/>
                    <w:jc w:val="right"/>
                    <w:jc w:val="center"/>
                  </w:pPr>
                  <w:r>
                    <w:t xml:space="preserve">0.001</w:t>
                  </w:r>
                </w:p>
              </w:tc>
              <w:tc>
                <w:tcPr/>
                <w:p>
                  <w:pPr>
                    <w:pStyle w:val="Compact"/>
                    <w:jc w:val="right"/>
                    <w:jc w:val="center"/>
                  </w:pPr>
                  <w:r>
                    <w:t xml:space="preserve">-0.430</w:t>
                  </w:r>
                </w:p>
              </w:tc>
              <w:tc>
                <w:tcPr/>
                <w:p>
                  <w:pPr>
                    <w:pStyle w:val="Compact"/>
                    <w:jc w:val="right"/>
                    <w:jc w:val="center"/>
                  </w:pPr>
                  <w:r>
                    <w:t xml:space="preserve">0.667</w:t>
                  </w:r>
                </w:p>
              </w:tc>
            </w:tr>
            <w:tr>
              <w:tc>
                <w:tcPr/>
                <w:p>
                  <w:pPr>
                    <w:pStyle w:val="Compact"/>
                    <w:jc w:val="left"/>
                    <w:jc w:val="center"/>
                  </w:pPr>
                  <w:r>
                    <w:t xml:space="preserve">f1</w:t>
                  </w:r>
                </w:p>
              </w:tc>
              <w:tc>
                <w:tcPr/>
                <w:p>
                  <w:pPr>
                    <w:pStyle w:val="Compact"/>
                    <w:jc w:val="left"/>
                    <w:jc w:val="center"/>
                  </w:pPr>
                  <w:r>
                    <w:t xml:space="preserve">Median Income</w:t>
                  </w:r>
                </w:p>
              </w:tc>
              <w:tc>
                <w:tcPr/>
                <w:p>
                  <w:pPr>
                    <w:pStyle w:val="Compact"/>
                    <w:jc w:val="right"/>
                    <w:jc w:val="center"/>
                  </w:pPr>
                  <w:r>
                    <w:t xml:space="preserve">-0.007</w:t>
                  </w:r>
                </w:p>
              </w:tc>
              <w:tc>
                <w:tcPr/>
                <w:p>
                  <w:pPr>
                    <w:pStyle w:val="Compact"/>
                    <w:jc w:val="right"/>
                    <w:jc w:val="center"/>
                  </w:pPr>
                  <w:r>
                    <w:t xml:space="preserve">0.002</w:t>
                  </w:r>
                </w:p>
              </w:tc>
              <w:tc>
                <w:tcPr/>
                <w:p>
                  <w:pPr>
                    <w:pStyle w:val="Compact"/>
                    <w:jc w:val="right"/>
                    <w:jc w:val="center"/>
                  </w:pPr>
                  <w:r>
                    <w:t xml:space="preserve">-3.686</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 Income</w:t>
                  </w:r>
                </w:p>
              </w:tc>
              <w:tc>
                <w:tcPr/>
                <w:p>
                  <w:pPr>
                    <w:pStyle w:val="Compact"/>
                    <w:jc w:val="right"/>
                    <w:jc w:val="center"/>
                  </w:pPr>
                  <w:r>
                    <w:t xml:space="preserve">-0.006</w:t>
                  </w:r>
                </w:p>
              </w:tc>
              <w:tc>
                <w:tcPr/>
                <w:p>
                  <w:pPr>
                    <w:pStyle w:val="Compact"/>
                    <w:jc w:val="right"/>
                    <w:jc w:val="center"/>
                  </w:pPr>
                  <w:r>
                    <w:t xml:space="preserve">0.002</w:t>
                  </w:r>
                </w:p>
              </w:tc>
              <w:tc>
                <w:tcPr/>
                <w:p>
                  <w:pPr>
                    <w:pStyle w:val="Compact"/>
                    <w:jc w:val="right"/>
                    <w:jc w:val="center"/>
                  </w:pPr>
                  <w:r>
                    <w:t xml:space="preserve">-2.930</w:t>
                  </w:r>
                </w:p>
              </w:tc>
              <w:tc>
                <w:tcPr/>
                <w:p>
                  <w:pPr>
                    <w:pStyle w:val="Compact"/>
                    <w:jc w:val="right"/>
                    <w:jc w:val="center"/>
                  </w:pPr>
                  <w:r>
                    <w:t xml:space="preserve">0.003</w:t>
                  </w:r>
                </w:p>
              </w:tc>
            </w:tr>
            <w:tr>
              <w:tc>
                <w:tcPr/>
                <w:p>
                  <w:pPr>
                    <w:pStyle w:val="Compact"/>
                    <w:jc w:val="left"/>
                    <w:jc w:val="center"/>
                  </w:pPr>
                  <w:r>
                    <w:t xml:space="preserve">f3</w:t>
                  </w:r>
                </w:p>
              </w:tc>
              <w:tc>
                <w:tcPr/>
                <w:p>
                  <w:pPr>
                    <w:pStyle w:val="Compact"/>
                    <w:jc w:val="left"/>
                    <w:jc w:val="center"/>
                  </w:pPr>
                  <w:r>
                    <w:t xml:space="preserve">Median Income</w:t>
                  </w:r>
                </w:p>
              </w:tc>
              <w:tc>
                <w:tcPr/>
                <w:p>
                  <w:pPr>
                    <w:pStyle w:val="Compact"/>
                    <w:jc w:val="right"/>
                    <w:jc w:val="center"/>
                  </w:pPr>
                  <w:r>
                    <w:t xml:space="preserve">-0.008</w:t>
                  </w:r>
                </w:p>
              </w:tc>
              <w:tc>
                <w:tcPr/>
                <w:p>
                  <w:pPr>
                    <w:pStyle w:val="Compact"/>
                    <w:jc w:val="right"/>
                    <w:jc w:val="center"/>
                  </w:pPr>
                  <w:r>
                    <w:t xml:space="preserve">0.002</w:t>
                  </w:r>
                </w:p>
              </w:tc>
              <w:tc>
                <w:tcPr/>
                <w:p>
                  <w:pPr>
                    <w:pStyle w:val="Compact"/>
                    <w:jc w:val="right"/>
                    <w:jc w:val="center"/>
                  </w:pPr>
                  <w:r>
                    <w:t xml:space="preserve">-4.098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 Pop</w:t>
                  </w:r>
                </w:p>
              </w:tc>
              <w:tc>
                <w:tcPr/>
                <w:p>
                  <w:pPr>
                    <w:pStyle w:val="Compact"/>
                    <w:jc w:val="right"/>
                    <w:jc w:val="center"/>
                  </w:pPr>
                  <w:r>
                    <w:t xml:space="preserve">0.015</w:t>
                  </w:r>
                </w:p>
              </w:tc>
              <w:tc>
                <w:tcPr/>
                <w:p>
                  <w:pPr>
                    <w:pStyle w:val="Compact"/>
                    <w:jc w:val="right"/>
                    <w:jc w:val="center"/>
                  </w:pPr>
                  <w:r>
                    <w:t xml:space="preserve">0.007</w:t>
                  </w:r>
                </w:p>
              </w:tc>
              <w:tc>
                <w:tcPr/>
                <w:p>
                  <w:pPr>
                    <w:pStyle w:val="Compact"/>
                    <w:jc w:val="right"/>
                    <w:jc w:val="center"/>
                  </w:pPr>
                  <w:r>
                    <w:t xml:space="preserve">2.040</w:t>
                  </w:r>
                </w:p>
              </w:tc>
              <w:tc>
                <w:tcPr/>
                <w:p>
                  <w:pPr>
                    <w:pStyle w:val="Compact"/>
                    <w:jc w:val="right"/>
                    <w:jc w:val="center"/>
                  </w:pPr>
                  <w:r>
                    <w:t xml:space="preserve">0.041</w:t>
                  </w:r>
                </w:p>
              </w:tc>
            </w:tr>
            <w:tr>
              <w:tc>
                <w:tcPr/>
                <w:p>
                  <w:pPr>
                    <w:pStyle w:val="Compact"/>
                    <w:jc w:val="left"/>
                    <w:jc w:val="center"/>
                  </w:pPr>
                  <w:r>
                    <w:t xml:space="preserve">f2</w:t>
                  </w:r>
                </w:p>
              </w:tc>
              <w:tc>
                <w:tcPr/>
                <w:p>
                  <w:pPr>
                    <w:pStyle w:val="Compact"/>
                    <w:jc w:val="left"/>
                    <w:jc w:val="center"/>
                  </w:pPr>
                  <w:r>
                    <w:t xml:space="preserve">Median Pop</w:t>
                  </w:r>
                </w:p>
              </w:tc>
              <w:tc>
                <w:tcPr/>
                <w:p>
                  <w:pPr>
                    <w:pStyle w:val="Compact"/>
                    <w:jc w:val="right"/>
                    <w:jc w:val="center"/>
                  </w:pPr>
                  <w:r>
                    <w:t xml:space="preserve">0.013</w:t>
                  </w:r>
                </w:p>
              </w:tc>
              <w:tc>
                <w:tcPr/>
                <w:p>
                  <w:pPr>
                    <w:pStyle w:val="Compact"/>
                    <w:jc w:val="right"/>
                    <w:jc w:val="center"/>
                  </w:pPr>
                  <w:r>
                    <w:t xml:space="preserve">0.007</w:t>
                  </w:r>
                </w:p>
              </w:tc>
              <w:tc>
                <w:tcPr/>
                <w:p>
                  <w:pPr>
                    <w:pStyle w:val="Compact"/>
                    <w:jc w:val="right"/>
                    <w:jc w:val="center"/>
                  </w:pPr>
                  <w:r>
                    <w:t xml:space="preserve">1.772</w:t>
                  </w:r>
                </w:p>
              </w:tc>
              <w:tc>
                <w:tcPr/>
                <w:p>
                  <w:pPr>
                    <w:pStyle w:val="Compact"/>
                    <w:jc w:val="right"/>
                    <w:jc w:val="center"/>
                  </w:pPr>
                  <w:r>
                    <w:t xml:space="preserve">0.076</w:t>
                  </w:r>
                </w:p>
              </w:tc>
            </w:tr>
            <w:tr>
              <w:tc>
                <w:tcPr/>
                <w:p>
                  <w:pPr>
                    <w:pStyle w:val="Compact"/>
                    <w:jc w:val="left"/>
                    <w:jc w:val="center"/>
                  </w:pPr>
                  <w:r>
                    <w:t xml:space="preserve">f3</w:t>
                  </w:r>
                </w:p>
              </w:tc>
              <w:tc>
                <w:tcPr/>
                <w:p>
                  <w:pPr>
                    <w:pStyle w:val="Compact"/>
                    <w:jc w:val="left"/>
                    <w:jc w:val="center"/>
                  </w:pPr>
                  <w:r>
                    <w:t xml:space="preserve">Median Pop</w:t>
                  </w:r>
                </w:p>
              </w:tc>
              <w:tc>
                <w:tcPr/>
                <w:p>
                  <w:pPr>
                    <w:pStyle w:val="Compact"/>
                    <w:jc w:val="right"/>
                    <w:jc w:val="center"/>
                  </w:pPr>
                  <w:r>
                    <w:t xml:space="preserve">0.015</w:t>
                  </w:r>
                </w:p>
              </w:tc>
              <w:tc>
                <w:tcPr/>
                <w:p>
                  <w:pPr>
                    <w:pStyle w:val="Compact"/>
                    <w:jc w:val="right"/>
                    <w:jc w:val="center"/>
                  </w:pPr>
                  <w:r>
                    <w:t xml:space="preserve">0.007</w:t>
                  </w:r>
                </w:p>
              </w:tc>
              <w:tc>
                <w:tcPr/>
                <w:p>
                  <w:pPr>
                    <w:pStyle w:val="Compact"/>
                    <w:jc w:val="right"/>
                    <w:jc w:val="center"/>
                  </w:pPr>
                  <w:r>
                    <w:t xml:space="preserve">2.080</w:t>
                  </w:r>
                </w:p>
              </w:tc>
              <w:tc>
                <w:tcPr/>
                <w:p>
                  <w:pPr>
                    <w:pStyle w:val="Compact"/>
                    <w:jc w:val="right"/>
                    <w:jc w:val="center"/>
                  </w:pPr>
                  <w:r>
                    <w:t xml:space="preserve">0.038</w:t>
                  </w:r>
                </w:p>
              </w:tc>
            </w:tr>
          </w:tbl>
          <w:bookmarkEnd w:id="6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3</w:t>
        </w:r>
      </w:hyperlink>
      <w:r>
        <w:t xml:space="preserve">, the expected attendance nearly doubles (i.e., is multiplied by</w:t>
      </w:r>
      <w:r>
        <w:t xml:space="preserve"> </w:t>
      </w:r>
      <m:oMath>
        <m:r>
          <m:rPr>
            <m:sty m:val="p"/>
          </m:rPr>
          <m:t>exp</m:t>
        </m:r>
        <m:r>
          <m:rPr>
            <m:sty m:val="p"/>
          </m:rPr>
          <m:t>(</m:t>
        </m:r>
        <m:r>
          <m:t>0.653</m:t>
        </m:r>
        <m:r>
          <m:rPr>
            <m:sty m:val="p"/>
          </m:rPr>
          <m:t>)</m:t>
        </m:r>
      </m:oMath>
      <w:r>
        <w:t xml:space="preserve"> </w:t>
      </w:r>
      <w:r>
        <w:t xml:space="preserve">= 1.96)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p>
    <w:p>
      <w:pPr>
        <w:pStyle w:val="BodyText"/>
      </w:pPr>
      <w:r>
        <w:t xml:space="preserve">Conversely, the evidence for the quality of play (</w:t>
      </w:r>
      <m:oMath>
        <m:sSub>
          <m:e>
            <m:r>
              <m:t>f</m:t>
            </m:r>
          </m:e>
          <m:sub>
            <m:r>
              <m:t>1</m:t>
            </m:r>
          </m:sub>
        </m:sSub>
      </m:oMath>
      <w:r>
        <w:t xml:space="preserve">) and uncertainty of outcome (</w:t>
      </w:r>
      <m:oMath>
        <m:sSub>
          <m:e>
            <m:r>
              <m:t>f</m:t>
            </m:r>
          </m:e>
          <m:sub>
            <m:r>
              <m:t>2</m:t>
            </m:r>
          </m:sub>
        </m:sSub>
      </m:oMath>
      <w:r>
        <w:t xml:space="preserve">) hypotheses is weak, with those coefficients barely moving the needle.</w:t>
      </w:r>
      <w:r>
        <w:t xml:space="preserve"> </w:t>
      </w:r>
      <w:r>
        <w:t xml:space="preserve">For the loss aversion hypothesis, a 10 percentage point increase in the probability of the home team winning is associated with a modest 4.31% increase in the expected attendance, after controlling for our other factors.</w:t>
      </w:r>
    </w:p>
    <w:p>
      <w:pPr>
        <w:pStyle w:val="BodyText"/>
      </w:pPr>
      <w:hyperlink w:anchor="tbl-glance">
        <w:r>
          <w:rPr>
            <w:rStyle w:val="Hyperlink"/>
          </w:rPr>
          <w:t xml:space="preserve">Table 4</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69" w:name="tbl-glance"/>
          <w:p>
            <w:pPr>
              <w:jc w:val="center"/>
            </w:pPr>
            <w:pPr>
              <w:jc w:val="left"/>
              <w:spacing w:before="200"/>
              <w:pStyle w:val="ImageCaption"/>
            </w:pPr>
            <w:r>
              <w:t xml:space="preserve">Table 4: Comparison of models.</w:t>
            </w:r>
          </w:p>
          <w:tbl>
            <w:tblPr>
              <w:tblStyle w:val="Table"/>
              <w:tblW w:type="pct" w:w="5000"/>
              <w:tblLayout w:type="fixed"/>
              <w:tblLook w:firstRow="1" w:lastRow="0" w:firstColumn="0" w:lastColumn="0" w:noHBand="0" w:noVBand="0" w:val="0020"/>
            </w:tblPr>
            <w:tblGrid>
              <w:gridCol w:w="428"/>
              <w:gridCol w:w="713"/>
              <w:gridCol w:w="998"/>
              <w:gridCol w:w="428"/>
              <w:gridCol w:w="713"/>
              <w:gridCol w:w="570"/>
              <w:gridCol w:w="214"/>
              <w:gridCol w:w="713"/>
              <w:gridCol w:w="642"/>
              <w:gridCol w:w="642"/>
              <w:gridCol w:w="642"/>
              <w:gridCol w:w="856"/>
              <w:gridCol w:w="35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0.420</w:t>
                  </w:r>
                </w:p>
              </w:tc>
              <w:tc>
                <w:tcPr/>
                <w:p>
                  <w:pPr>
                    <w:pStyle w:val="Compact"/>
                    <w:jc w:val="right"/>
                    <w:jc w:val="center"/>
                  </w:pPr>
                  <w:r>
                    <w:t xml:space="preserve">0.411</w:t>
                  </w:r>
                </w:p>
              </w:tc>
              <w:tc>
                <w:tcPr/>
                <w:p>
                  <w:pPr>
                    <w:pStyle w:val="Compact"/>
                    <w:jc w:val="right"/>
                    <w:jc w:val="center"/>
                  </w:pPr>
                  <w:r>
                    <w:t xml:space="preserve">0.322</w:t>
                  </w:r>
                </w:p>
              </w:tc>
              <w:tc>
                <w:tcPr/>
                <w:p>
                  <w:pPr>
                    <w:pStyle w:val="Compact"/>
                    <w:jc w:val="right"/>
                    <w:jc w:val="center"/>
                  </w:pPr>
                  <w:r>
                    <w:t xml:space="preserve">46.193</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-1411.098</w:t>
                  </w:r>
                </w:p>
              </w:tc>
              <w:tc>
                <w:tcPr/>
                <w:p>
                  <w:pPr>
                    <w:pStyle w:val="Compact"/>
                    <w:jc w:val="right"/>
                    <w:jc w:val="center"/>
                  </w:pPr>
                  <w:r>
                    <w:t xml:space="preserve">2982.197</w:t>
                  </w:r>
                </w:p>
              </w:tc>
              <w:tc>
                <w:tcPr/>
                <w:p>
                  <w:pPr>
                    <w:pStyle w:val="Compact"/>
                    <w:jc w:val="right"/>
                    <w:jc w:val="center"/>
                  </w:pPr>
                  <w:r>
                    <w:t xml:space="preserve">3504.574</w:t>
                  </w:r>
                </w:p>
              </w:tc>
              <w:tc>
                <w:tcPr/>
                <w:p>
                  <w:pPr>
                    <w:pStyle w:val="Compact"/>
                    <w:jc w:val="right"/>
                    <w:jc w:val="center"/>
                  </w:pPr>
                  <w:r>
                    <w:t xml:space="preserve">517.626</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0.387</w:t>
                  </w:r>
                </w:p>
              </w:tc>
              <w:tc>
                <w:tcPr/>
                <w:p>
                  <w:pPr>
                    <w:pStyle w:val="Compact"/>
                    <w:jc w:val="right"/>
                    <w:jc w:val="center"/>
                  </w:pPr>
                  <w:r>
                    <w:t xml:space="preserve">0.378</w:t>
                  </w:r>
                </w:p>
              </w:tc>
              <w:tc>
                <w:tcPr/>
                <w:p>
                  <w:pPr>
                    <w:pStyle w:val="Compact"/>
                    <w:jc w:val="right"/>
                    <w:jc w:val="center"/>
                  </w:pPr>
                  <w:r>
                    <w:t xml:space="preserve">0.331</w:t>
                  </w:r>
                </w:p>
              </w:tc>
              <w:tc>
                <w:tcPr/>
                <w:p>
                  <w:pPr>
                    <w:pStyle w:val="Compact"/>
                    <w:jc w:val="right"/>
                    <w:jc w:val="center"/>
                  </w:pPr>
                  <w:r>
                    <w:t xml:space="preserve">40.370</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-1548.665</w:t>
                  </w:r>
                </w:p>
              </w:tc>
              <w:tc>
                <w:tcPr/>
                <w:p>
                  <w:pPr>
                    <w:pStyle w:val="Compact"/>
                    <w:jc w:val="right"/>
                    <w:jc w:val="center"/>
                  </w:pPr>
                  <w:r>
                    <w:t xml:space="preserve">3257.331</w:t>
                  </w:r>
                </w:p>
              </w:tc>
              <w:tc>
                <w:tcPr/>
                <w:p>
                  <w:pPr>
                    <w:pStyle w:val="Compact"/>
                    <w:jc w:val="right"/>
                    <w:jc w:val="center"/>
                  </w:pPr>
                  <w:r>
                    <w:t xml:space="preserve">3779.708</w:t>
                  </w:r>
                </w:p>
              </w:tc>
              <w:tc>
                <w:tcPr/>
                <w:p>
                  <w:pPr>
                    <w:pStyle w:val="Compact"/>
                    <w:jc w:val="right"/>
                    <w:jc w:val="center"/>
                  </w:pPr>
                  <w:r>
                    <w:t xml:space="preserve">546.533</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0.415</w:t>
                  </w:r>
                </w:p>
              </w:tc>
              <w:tc>
                <w:tcPr/>
                <w:p>
                  <w:pPr>
                    <w:pStyle w:val="Compact"/>
                    <w:jc w:val="right"/>
                    <w:jc w:val="center"/>
                  </w:pPr>
                  <w:r>
                    <w:t xml:space="preserve">0.406</w:t>
                  </w:r>
                </w:p>
              </w:tc>
              <w:tc>
                <w:tcPr/>
                <w:p>
                  <w:pPr>
                    <w:pStyle w:val="Compact"/>
                    <w:jc w:val="right"/>
                    <w:jc w:val="center"/>
                  </w:pPr>
                  <w:r>
                    <w:t xml:space="preserve">0.323</w:t>
                  </w:r>
                </w:p>
              </w:tc>
              <w:tc>
                <w:tcPr/>
                <w:p>
                  <w:pPr>
                    <w:pStyle w:val="Compact"/>
                    <w:jc w:val="right"/>
                    <w:jc w:val="center"/>
                  </w:pPr>
                  <w:r>
                    <w:t xml:space="preserve">45.365</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-1430.227</w:t>
                  </w:r>
                </w:p>
              </w:tc>
              <w:tc>
                <w:tcPr/>
                <w:p>
                  <w:pPr>
                    <w:pStyle w:val="Compact"/>
                    <w:jc w:val="right"/>
                    <w:jc w:val="center"/>
                  </w:pPr>
                  <w:r>
                    <w:t xml:space="preserve">3020.454</w:t>
                  </w:r>
                </w:p>
              </w:tc>
              <w:tc>
                <w:tcPr/>
                <w:p>
                  <w:pPr>
                    <w:pStyle w:val="Compact"/>
                    <w:jc w:val="right"/>
                    <w:jc w:val="center"/>
                  </w:pPr>
                  <w:r>
                    <w:t xml:space="preserve">3542.831</w:t>
                  </w:r>
                </w:p>
              </w:tc>
              <w:tc>
                <w:tcPr/>
                <w:p>
                  <w:pPr>
                    <w:pStyle w:val="Compact"/>
                    <w:jc w:val="right"/>
                    <w:jc w:val="center"/>
                  </w:pPr>
                  <w:r>
                    <w:t xml:space="preserve">521.552</w:t>
                  </w:r>
                </w:p>
              </w:tc>
              <w:tc>
                <w:tcPr/>
                <w:p>
                  <w:pPr>
                    <w:pStyle w:val="Compact"/>
                    <w:jc w:val="right"/>
                    <w:jc w:val="center"/>
                  </w:pPr>
                  <w:r>
                    <w:t xml:space="preserve">4984</w:t>
                  </w:r>
                </w:p>
              </w:tc>
              <w:tc>
                <w:tcPr/>
                <w:p>
                  <w:pPr>
                    <w:pStyle w:val="Compact"/>
                    <w:jc w:val="right"/>
                    <w:jc w:val="center"/>
                  </w:pPr>
                  <w:r>
                    <w:t xml:space="preserve">5063</w:t>
                  </w:r>
                </w:p>
              </w:tc>
            </w:tr>
          </w:tbl>
          <w:bookmarkEnd w:id="6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9</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74" w:name="cell-fig-season-coefs"/>
    <w:tbl>
      <w:tblPr>
        <w:tblStyle w:val="Table"/>
        <w:tblW w:type="pct" w:w="5000"/>
        <w:tblLayout w:type="fixed"/>
        <w:tblLook w:firstRow="0" w:lastRow="0" w:firstColumn="0" w:lastColumn="0" w:noHBand="0" w:noVBand="0" w:val="0000"/>
      </w:tblPr>
      <w:tblGrid>
        <w:gridCol w:w="7920"/>
      </w:tblGrid>
      <w:tr>
        <w:tc>
          <w:tcPr/>
          <w:bookmarkStart w:id="73" w:name="fig-season-coefs"/>
          <w:p>
            <w:pPr>
              <w:pStyle w:val="Compact"/>
              <w:jc w:val="center"/>
            </w:pPr>
            <w:r>
              <w:drawing>
                <wp:inline>
                  <wp:extent cx="4620126" cy="3696101"/>
                  <wp:effectExtent b="0" l="0" r="0" t="0"/>
                  <wp:docPr descr="" title="" id="71" name="Picture"/>
                  <a:graphic>
                    <a:graphicData uri="http://schemas.openxmlformats.org/drawingml/2006/picture">
                      <pic:pic>
                        <pic:nvPicPr>
                          <pic:cNvPr descr="index_files/figure-docx/fig-season-coefs-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Estimated season-level fixed effects for natural logarithm of attendance models.</w:t>
            </w:r>
          </w:p>
          <w:bookmarkEnd w:id="7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4"/>
    <w:p>
      <w:pPr>
        <w:pStyle w:val="BodyText"/>
      </w:pPr>
      <w:hyperlink w:anchor="fig-season-slopes">
        <w:r>
          <w:rPr>
            <w:rStyle w:val="Hyperlink"/>
          </w:rPr>
          <w:t xml:space="preserve">Figure 10</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3</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79" w:name="cell-fig-season-slopes"/>
    <w:tbl>
      <w:tblPr>
        <w:tblStyle w:val="Table"/>
        <w:tblW w:type="pct" w:w="5000"/>
        <w:tblLayout w:type="fixed"/>
        <w:tblLook w:firstRow="0" w:lastRow="0" w:firstColumn="0" w:lastColumn="0" w:noHBand="0" w:noVBand="0" w:val="0000"/>
      </w:tblPr>
      <w:tblGrid>
        <w:gridCol w:w="7920"/>
      </w:tblGrid>
      <w:tr>
        <w:tc>
          <w:tcPr/>
          <w:bookmarkStart w:id="78" w:name="fig-season-slopes"/>
          <w:p>
            <w:pPr>
              <w:pStyle w:val="Compact"/>
              <w:jc w:val="center"/>
            </w:pPr>
            <w:r>
              <w:drawing>
                <wp:inline>
                  <wp:extent cx="4620126" cy="3696101"/>
                  <wp:effectExtent b="0" l="0" r="0" t="0"/>
                  <wp:docPr descr="" title="" id="76" name="Picture"/>
                  <a:graphic>
                    <a:graphicData uri="http://schemas.openxmlformats.org/drawingml/2006/picture">
                      <pic:pic>
                        <pic:nvPicPr>
                          <pic:cNvPr descr="index_files/figure-docx/fig-season-slopes-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Estimated season-level changes in slopes for natural logarithm of attendance models.</w:t>
            </w:r>
          </w:p>
          <w:bookmarkEnd w:id="7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9"/>
    <w:bookmarkEnd w:id="80"/>
    <w:bookmarkStart w:id="93"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2">
        <w:r>
          <w:rPr>
            <w:rStyle w:val="Hyperlink"/>
          </w:rPr>
          <w:t xml:space="preserve">Table 5</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81" w:name="tbl-coefs2"/>
          <w:p>
            <w:pPr>
              <w:jc w:val="center"/>
            </w:pPr>
            <w:pPr>
              <w:jc w:val="left"/>
              <w:spacing w:before="200"/>
              <w:pStyle w:val="ImageCaption"/>
            </w:pPr>
            <w:r>
              <w:t xml:space="preserve">Table 5: Table of coefficients from percentage of arena capacity models.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0.187</w:t>
                  </w:r>
                </w:p>
              </w:tc>
              <w:tc>
                <w:tcPr/>
                <w:p>
                  <w:pPr>
                    <w:pStyle w:val="Compact"/>
                    <w:jc w:val="right"/>
                    <w:jc w:val="center"/>
                  </w:pPr>
                  <w:r>
                    <w:t xml:space="preserve">0.300</w:t>
                  </w:r>
                </w:p>
              </w:tc>
              <w:tc>
                <w:tcPr/>
                <w:p>
                  <w:pPr>
                    <w:pStyle w:val="Compact"/>
                    <w:jc w:val="right"/>
                    <w:jc w:val="center"/>
                  </w:pPr>
                  <w:r>
                    <w:t xml:space="preserve">0.624</w:t>
                  </w:r>
                </w:p>
              </w:tc>
              <w:tc>
                <w:tcPr/>
                <w:p>
                  <w:pPr>
                    <w:pStyle w:val="Compact"/>
                    <w:jc w:val="right"/>
                    <w:jc w:val="center"/>
                  </w:pPr>
                  <w:r>
                    <w:t xml:space="preserve">0.533</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0.386</w:t>
                  </w:r>
                </w:p>
              </w:tc>
              <w:tc>
                <w:tcPr/>
                <w:p>
                  <w:pPr>
                    <w:pStyle w:val="Compact"/>
                    <w:jc w:val="right"/>
                    <w:jc w:val="center"/>
                  </w:pPr>
                  <w:r>
                    <w:t xml:space="preserve">0.335</w:t>
                  </w:r>
                </w:p>
              </w:tc>
              <w:tc>
                <w:tcPr/>
                <w:p>
                  <w:pPr>
                    <w:pStyle w:val="Compact"/>
                    <w:jc w:val="right"/>
                    <w:jc w:val="center"/>
                  </w:pPr>
                  <w:r>
                    <w:t xml:space="preserve">1.155</w:t>
                  </w:r>
                </w:p>
              </w:tc>
              <w:tc>
                <w:tcPr/>
                <w:p>
                  <w:pPr>
                    <w:pStyle w:val="Compact"/>
                    <w:jc w:val="right"/>
                    <w:jc w:val="center"/>
                  </w:pPr>
                  <w:r>
                    <w:t xml:space="preserve">0.248</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0.047</w:t>
                  </w:r>
                </w:p>
              </w:tc>
              <w:tc>
                <w:tcPr/>
                <w:p>
                  <w:pPr>
                    <w:pStyle w:val="Compact"/>
                    <w:jc w:val="right"/>
                    <w:jc w:val="center"/>
                  </w:pPr>
                  <w:r>
                    <w:t xml:space="preserve">0.329</w:t>
                  </w:r>
                </w:p>
              </w:tc>
              <w:tc>
                <w:tcPr/>
                <w:p>
                  <w:pPr>
                    <w:pStyle w:val="Compact"/>
                    <w:jc w:val="right"/>
                    <w:jc w:val="center"/>
                  </w:pPr>
                  <w:r>
                    <w:t xml:space="preserve">0.144</w:t>
                  </w:r>
                </w:p>
              </w:tc>
              <w:tc>
                <w:tcPr/>
                <w:p>
                  <w:pPr>
                    <w:pStyle w:val="Compact"/>
                    <w:jc w:val="right"/>
                    <w:jc w:val="center"/>
                  </w:pPr>
                  <w:r>
                    <w:t xml:space="preserve">0.886</w:t>
                  </w:r>
                </w:p>
              </w:tc>
            </w:tr>
            <w:tr>
              <w:tc>
                <w:tcPr/>
                <w:p>
                  <w:pPr>
                    <w:pStyle w:val="Compact"/>
                    <w:jc w:val="left"/>
                    <w:jc w:val="center"/>
                  </w:pPr>
                  <w:r>
                    <w:t xml:space="preserve">f1</w:t>
                  </w:r>
                </w:p>
              </w:tc>
              <w:tc>
                <w:tcPr/>
                <w:p>
                  <w:pPr>
                    <w:pStyle w:val="Compact"/>
                    <w:jc w:val="left"/>
                    <w:jc w:val="center"/>
                  </w:pPr>
                  <w:r>
                    <w:t xml:space="preserve">Caitlin Clark</w:t>
                  </w:r>
                </w:p>
              </w:tc>
              <w:tc>
                <w:tcPr/>
                <w:p>
                  <w:pPr>
                    <w:pStyle w:val="Compact"/>
                    <w:jc w:val="right"/>
                    <w:jc w:val="center"/>
                  </w:pPr>
                  <w:r>
                    <w:t xml:space="preserve">2.891</w:t>
                  </w:r>
                </w:p>
              </w:tc>
              <w:tc>
                <w:tcPr/>
                <w:p>
                  <w:pPr>
                    <w:pStyle w:val="Compact"/>
                    <w:jc w:val="right"/>
                    <w:jc w:val="center"/>
                  </w:pPr>
                  <w:r>
                    <w:t xml:space="preserve">0.261</w:t>
                  </w:r>
                </w:p>
              </w:tc>
              <w:tc>
                <w:tcPr/>
                <w:p>
                  <w:pPr>
                    <w:pStyle w:val="Compact"/>
                    <w:jc w:val="right"/>
                    <w:jc w:val="center"/>
                  </w:pPr>
                  <w:r>
                    <w:t xml:space="preserve">11.097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Caitlin Clark</w:t>
                  </w:r>
                </w:p>
              </w:tc>
              <w:tc>
                <w:tcPr/>
                <w:p>
                  <w:pPr>
                    <w:pStyle w:val="Compact"/>
                    <w:jc w:val="right"/>
                    <w:jc w:val="center"/>
                  </w:pPr>
                  <w:r>
                    <w:t xml:space="preserve">2.888</w:t>
                  </w:r>
                </w:p>
              </w:tc>
              <w:tc>
                <w:tcPr/>
                <w:p>
                  <w:pPr>
                    <w:pStyle w:val="Compact"/>
                    <w:jc w:val="right"/>
                    <w:jc w:val="center"/>
                  </w:pPr>
                  <w:r>
                    <w:t xml:space="preserve">0.261</w:t>
                  </w:r>
                </w:p>
              </w:tc>
              <w:tc>
                <w:tcPr/>
                <w:p>
                  <w:pPr>
                    <w:pStyle w:val="Compact"/>
                    <w:jc w:val="right"/>
                    <w:jc w:val="center"/>
                  </w:pPr>
                  <w:r>
                    <w:t xml:space="preserve">11.072</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Caitlin Clark</w:t>
                  </w:r>
                </w:p>
              </w:tc>
              <w:tc>
                <w:tcPr/>
                <w:p>
                  <w:pPr>
                    <w:pStyle w:val="Compact"/>
                    <w:jc w:val="right"/>
                    <w:jc w:val="center"/>
                  </w:pPr>
                  <w:r>
                    <w:t xml:space="preserve">2.900</w:t>
                  </w:r>
                </w:p>
              </w:tc>
              <w:tc>
                <w:tcPr/>
                <w:p>
                  <w:pPr>
                    <w:pStyle w:val="Compact"/>
                    <w:jc w:val="right"/>
                    <w:jc w:val="center"/>
                  </w:pPr>
                  <w:r>
                    <w:t xml:space="preserve">0.261</w:t>
                  </w:r>
                </w:p>
              </w:tc>
              <w:tc>
                <w:tcPr/>
                <w:p>
                  <w:pPr>
                    <w:pStyle w:val="Compact"/>
                    <w:jc w:val="right"/>
                    <w:jc w:val="center"/>
                  </w:pPr>
                  <w:r>
                    <w:t xml:space="preserve">11.104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I(Loss Aversion)</w:t>
                  </w:r>
                </w:p>
              </w:tc>
              <w:tc>
                <w:tcPr/>
                <w:p>
                  <w:pPr>
                    <w:pStyle w:val="Compact"/>
                    <w:jc w:val="right"/>
                    <w:jc w:val="center"/>
                  </w:pPr>
                  <w:r>
                    <w:t xml:space="preserve">1.750</w:t>
                  </w:r>
                </w:p>
              </w:tc>
              <w:tc>
                <w:tcPr/>
                <w:p>
                  <w:pPr>
                    <w:pStyle w:val="Compact"/>
                    <w:jc w:val="right"/>
                    <w:jc w:val="center"/>
                  </w:pPr>
                  <w:r>
                    <w:t xml:space="preserve">0.842</w:t>
                  </w:r>
                </w:p>
              </w:tc>
              <w:tc>
                <w:tcPr/>
                <w:p>
                  <w:pPr>
                    <w:pStyle w:val="Compact"/>
                    <w:jc w:val="right"/>
                    <w:jc w:val="center"/>
                  </w:pPr>
                  <w:r>
                    <w:t xml:space="preserve">2.078</w:t>
                  </w:r>
                </w:p>
              </w:tc>
              <w:tc>
                <w:tcPr/>
                <w:p>
                  <w:pPr>
                    <w:pStyle w:val="Compact"/>
                    <w:jc w:val="right"/>
                    <w:jc w:val="center"/>
                  </w:pPr>
                  <w:r>
                    <w:t xml:space="preserve">0.038</w:t>
                  </w:r>
                </w:p>
              </w:tc>
            </w:tr>
            <w:tr>
              <w:tc>
                <w:tcPr/>
                <w:p>
                  <w:pPr>
                    <w:pStyle w:val="Compact"/>
                    <w:jc w:val="left"/>
                    <w:jc w:val="center"/>
                  </w:pPr>
                  <w:r>
                    <w:t xml:space="preserve">f1</w:t>
                  </w:r>
                </w:p>
              </w:tc>
              <w:tc>
                <w:tcPr/>
                <w:p>
                  <w:pPr>
                    <w:pStyle w:val="Compact"/>
                    <w:jc w:val="left"/>
                    <w:jc w:val="center"/>
                  </w:pPr>
                  <w:r>
                    <w:t xml:space="preserve">I(Quality Of Play)</w:t>
                  </w:r>
                </w:p>
              </w:tc>
              <w:tc>
                <w:tcPr/>
                <w:p>
                  <w:pPr>
                    <w:pStyle w:val="Compact"/>
                    <w:jc w:val="right"/>
                    <w:jc w:val="center"/>
                  </w:pPr>
                  <w:r>
                    <w:t xml:space="preserve">0.005</w:t>
                  </w:r>
                </w:p>
              </w:tc>
              <w:tc>
                <w:tcPr/>
                <w:p>
                  <w:pPr>
                    <w:pStyle w:val="Compact"/>
                    <w:jc w:val="right"/>
                    <w:jc w:val="center"/>
                  </w:pPr>
                  <w:r>
                    <w:t xml:space="preserve">0.001</w:t>
                  </w:r>
                </w:p>
              </w:tc>
              <w:tc>
                <w:tcPr/>
                <w:p>
                  <w:pPr>
                    <w:pStyle w:val="Compact"/>
                    <w:jc w:val="right"/>
                    <w:jc w:val="center"/>
                  </w:pPr>
                  <w:r>
                    <w:t xml:space="preserve">3.629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I(Uncertain Outcome)</w:t>
                  </w:r>
                </w:p>
              </w:tc>
              <w:tc>
                <w:tcPr/>
                <w:p>
                  <w:pPr>
                    <w:pStyle w:val="Compact"/>
                    <w:jc w:val="right"/>
                    <w:jc w:val="center"/>
                  </w:pPr>
                  <w:r>
                    <w:t xml:space="preserve">-0.005</w:t>
                  </w:r>
                </w:p>
              </w:tc>
              <w:tc>
                <w:tcPr/>
                <w:p>
                  <w:pPr>
                    <w:pStyle w:val="Compact"/>
                    <w:jc w:val="right"/>
                    <w:jc w:val="center"/>
                  </w:pPr>
                  <w:r>
                    <w:t xml:space="preserve">0.002</w:t>
                  </w:r>
                </w:p>
              </w:tc>
              <w:tc>
                <w:tcPr/>
                <w:p>
                  <w:pPr>
                    <w:pStyle w:val="Compact"/>
                    <w:jc w:val="right"/>
                    <w:jc w:val="center"/>
                  </w:pPr>
                  <w:r>
                    <w:t xml:space="preserve">-3.189</w:t>
                  </w:r>
                </w:p>
              </w:tc>
              <w:tc>
                <w:tcPr/>
                <w:p>
                  <w:pPr>
                    <w:pStyle w:val="Compact"/>
                    <w:jc w:val="right"/>
                    <w:jc w:val="center"/>
                  </w:pPr>
                  <w:r>
                    <w:t xml:space="preserve">0.001</w:t>
                  </w:r>
                </w:p>
              </w:tc>
            </w:tr>
            <w:tr>
              <w:tc>
                <w:tcPr/>
                <w:p>
                  <w:pPr>
                    <w:pStyle w:val="Compact"/>
                    <w:jc w:val="left"/>
                    <w:jc w:val="center"/>
                  </w:pPr>
                  <w:r>
                    <w:t xml:space="preserve">f1</w:t>
                  </w:r>
                </w:p>
              </w:tc>
              <w:tc>
                <w:tcPr/>
                <w:p>
                  <w:pPr>
                    <w:pStyle w:val="Compact"/>
                    <w:jc w:val="left"/>
                    <w:jc w:val="center"/>
                  </w:pPr>
                  <w:r>
                    <w:t xml:space="preserve">Median Income</w:t>
                  </w:r>
                </w:p>
              </w:tc>
              <w:tc>
                <w:tcPr/>
                <w:p>
                  <w:pPr>
                    <w:pStyle w:val="Compact"/>
                    <w:jc w:val="right"/>
                    <w:jc w:val="center"/>
                  </w:pPr>
                  <w:r>
                    <w:t xml:space="preserve">0.017</w:t>
                  </w:r>
                </w:p>
              </w:tc>
              <w:tc>
                <w:tcPr/>
                <w:p>
                  <w:pPr>
                    <w:pStyle w:val="Compact"/>
                    <w:jc w:val="right"/>
                    <w:jc w:val="center"/>
                  </w:pPr>
                  <w:r>
                    <w:t xml:space="preserve">0.005</w:t>
                  </w:r>
                </w:p>
              </w:tc>
              <w:tc>
                <w:tcPr/>
                <w:p>
                  <w:pPr>
                    <w:pStyle w:val="Compact"/>
                    <w:jc w:val="right"/>
                    <w:jc w:val="center"/>
                  </w:pPr>
                  <w:r>
                    <w:t xml:space="preserve">3.788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 Income</w:t>
                  </w:r>
                </w:p>
              </w:tc>
              <w:tc>
                <w:tcPr/>
                <w:p>
                  <w:pPr>
                    <w:pStyle w:val="Compact"/>
                    <w:jc w:val="right"/>
                    <w:jc w:val="center"/>
                  </w:pPr>
                  <w:r>
                    <w:t xml:space="preserve">0.020</w:t>
                  </w:r>
                </w:p>
              </w:tc>
              <w:tc>
                <w:tcPr/>
                <w:p>
                  <w:pPr>
                    <w:pStyle w:val="Compact"/>
                    <w:jc w:val="right"/>
                    <w:jc w:val="center"/>
                  </w:pPr>
                  <w:r>
                    <w:t xml:space="preserve">0.005</w:t>
                  </w:r>
                </w:p>
              </w:tc>
              <w:tc>
                <w:tcPr/>
                <w:p>
                  <w:pPr>
                    <w:pStyle w:val="Compact"/>
                    <w:jc w:val="right"/>
                    <w:jc w:val="center"/>
                  </w:pPr>
                  <w:r>
                    <w:t xml:space="preserve">4.262</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Median Income</w:t>
                  </w:r>
                </w:p>
              </w:tc>
              <w:tc>
                <w:tcPr/>
                <w:p>
                  <w:pPr>
                    <w:pStyle w:val="Compact"/>
                    <w:jc w:val="right"/>
                    <w:jc w:val="center"/>
                  </w:pPr>
                  <w:r>
                    <w:t xml:space="preserve">0.017</w:t>
                  </w:r>
                </w:p>
              </w:tc>
              <w:tc>
                <w:tcPr/>
                <w:p>
                  <w:pPr>
                    <w:pStyle w:val="Compact"/>
                    <w:jc w:val="right"/>
                    <w:jc w:val="center"/>
                  </w:pPr>
                  <w:r>
                    <w:t xml:space="preserve">0.005</w:t>
                  </w:r>
                </w:p>
              </w:tc>
              <w:tc>
                <w:tcPr/>
                <w:p>
                  <w:pPr>
                    <w:pStyle w:val="Compact"/>
                    <w:jc w:val="right"/>
                    <w:jc w:val="center"/>
                  </w:pPr>
                  <w:r>
                    <w:t xml:space="preserve">3.574</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 Pop</w:t>
                  </w:r>
                </w:p>
              </w:tc>
              <w:tc>
                <w:tcPr/>
                <w:p>
                  <w:pPr>
                    <w:pStyle w:val="Compact"/>
                    <w:jc w:val="right"/>
                    <w:jc w:val="center"/>
                  </w:pPr>
                  <w:r>
                    <w:t xml:space="preserve">-0.095</w:t>
                  </w:r>
                </w:p>
              </w:tc>
              <w:tc>
                <w:tcPr/>
                <w:p>
                  <w:pPr>
                    <w:pStyle w:val="Compact"/>
                    <w:jc w:val="right"/>
                    <w:jc w:val="center"/>
                  </w:pPr>
                  <w:r>
                    <w:t xml:space="preserve">0.015</w:t>
                  </w:r>
                </w:p>
              </w:tc>
              <w:tc>
                <w:tcPr/>
                <w:p>
                  <w:pPr>
                    <w:pStyle w:val="Compact"/>
                    <w:jc w:val="right"/>
                    <w:jc w:val="center"/>
                  </w:pPr>
                  <w:r>
                    <w:t xml:space="preserve">-6.479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 Pop</w:t>
                  </w:r>
                </w:p>
              </w:tc>
              <w:tc>
                <w:tcPr/>
                <w:p>
                  <w:pPr>
                    <w:pStyle w:val="Compact"/>
                    <w:jc w:val="right"/>
                    <w:jc w:val="center"/>
                  </w:pPr>
                  <w:r>
                    <w:t xml:space="preserve">-0.088</w:t>
                  </w:r>
                </w:p>
              </w:tc>
              <w:tc>
                <w:tcPr/>
                <w:p>
                  <w:pPr>
                    <w:pStyle w:val="Compact"/>
                    <w:jc w:val="right"/>
                    <w:jc w:val="center"/>
                  </w:pPr>
                  <w:r>
                    <w:t xml:space="preserve">0.014</w:t>
                  </w:r>
                </w:p>
              </w:tc>
              <w:tc>
                <w:tcPr/>
                <w:p>
                  <w:pPr>
                    <w:pStyle w:val="Compact"/>
                    <w:jc w:val="right"/>
                    <w:jc w:val="center"/>
                  </w:pPr>
                  <w:r>
                    <w:t xml:space="preserve">-6.056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Median Pop</w:t>
                  </w:r>
                </w:p>
              </w:tc>
              <w:tc>
                <w:tcPr/>
                <w:p>
                  <w:pPr>
                    <w:pStyle w:val="Compact"/>
                    <w:jc w:val="right"/>
                    <w:jc w:val="center"/>
                  </w:pPr>
                  <w:r>
                    <w:t xml:space="preserve">-0.099</w:t>
                  </w:r>
                </w:p>
              </w:tc>
              <w:tc>
                <w:tcPr/>
                <w:p>
                  <w:pPr>
                    <w:pStyle w:val="Compact"/>
                    <w:jc w:val="right"/>
                    <w:jc w:val="center"/>
                  </w:pPr>
                  <w:r>
                    <w:t xml:space="preserve">0.015</w:t>
                  </w:r>
                </w:p>
              </w:tc>
              <w:tc>
                <w:tcPr/>
                <w:p>
                  <w:pPr>
                    <w:pStyle w:val="Compact"/>
                    <w:jc w:val="right"/>
                    <w:jc w:val="center"/>
                  </w:pPr>
                  <w:r>
                    <w:t xml:space="preserve">-6.558</w:t>
                  </w:r>
                </w:p>
              </w:tc>
              <w:tc>
                <w:tcPr/>
                <w:p>
                  <w:pPr>
                    <w:pStyle w:val="Compact"/>
                    <w:jc w:val="right"/>
                    <w:jc w:val="center"/>
                  </w:pPr>
                  <w:r>
                    <w:t xml:space="preserve">0.000</w:t>
                  </w:r>
                </w:p>
              </w:tc>
            </w:tr>
          </w:tbl>
          <w:bookmarkEnd w:id="8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2">
        <w:r>
          <w:rPr>
            <w:rStyle w:val="Hyperlink"/>
          </w:rPr>
          <w:t xml:space="preserve">Table 6</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82" w:name="tbl-glance2"/>
          <w:p>
            <w:pPr>
              <w:jc w:val="center"/>
            </w:pPr>
            <w:pPr>
              <w:jc w:val="left"/>
              <w:spacing w:before="200"/>
              <w:pStyle w:val="ImageCaption"/>
            </w:pPr>
            <w:r>
              <w:t xml:space="preserve">Table 6: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-2997.876</w:t>
                  </w:r>
                </w:p>
              </w:tc>
              <w:tc>
                <w:tcPr/>
                <w:p>
                  <w:pPr>
                    <w:pStyle w:val="Compact"/>
                    <w:jc w:val="right"/>
                    <w:jc w:val="center"/>
                  </w:pPr>
                  <w:r>
                    <w:t xml:space="preserve">6153.752</w:t>
                  </w:r>
                </w:p>
              </w:tc>
              <w:tc>
                <w:tcPr/>
                <w:p>
                  <w:pPr>
                    <w:pStyle w:val="Compact"/>
                    <w:jc w:val="right"/>
                    <w:jc w:val="center"/>
                  </w:pPr>
                  <w:r>
                    <w:t xml:space="preserve">6669.600</w:t>
                  </w:r>
                </w:p>
              </w:tc>
              <w:tc>
                <w:tcPr/>
                <w:p>
                  <w:pPr>
                    <w:pStyle w:val="Compact"/>
                    <w:jc w:val="right"/>
                    <w:jc w:val="center"/>
                  </w:pPr>
                  <w:r>
                    <w:t xml:space="preserve">570.6003</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-3017.679</w:t>
                  </w:r>
                </w:p>
              </w:tc>
              <w:tc>
                <w:tcPr/>
                <w:p>
                  <w:pPr>
                    <w:pStyle w:val="Compact"/>
                    <w:jc w:val="right"/>
                    <w:jc w:val="center"/>
                  </w:pPr>
                  <w:r>
                    <w:t xml:space="preserve">6193.357</w:t>
                  </w:r>
                </w:p>
              </w:tc>
              <w:tc>
                <w:tcPr/>
                <w:p>
                  <w:pPr>
                    <w:pStyle w:val="Compact"/>
                    <w:jc w:val="right"/>
                    <w:jc w:val="center"/>
                  </w:pPr>
                  <w:r>
                    <w:t xml:space="preserve">6709.205</w:t>
                  </w:r>
                </w:p>
              </w:tc>
              <w:tc>
                <w:tcPr/>
                <w:p>
                  <w:pPr>
                    <w:pStyle w:val="Compact"/>
                    <w:jc w:val="right"/>
                    <w:jc w:val="center"/>
                  </w:pPr>
                  <w:r>
                    <w:t xml:space="preserve">583.2877</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-3001.311</w:t>
                  </w:r>
                </w:p>
              </w:tc>
              <w:tc>
                <w:tcPr/>
                <w:p>
                  <w:pPr>
                    <w:pStyle w:val="Compact"/>
                    <w:jc w:val="right"/>
                    <w:jc w:val="center"/>
                  </w:pPr>
                  <w:r>
                    <w:t xml:space="preserve">6160.622</w:t>
                  </w:r>
                </w:p>
              </w:tc>
              <w:tc>
                <w:tcPr/>
                <w:p>
                  <w:pPr>
                    <w:pStyle w:val="Compact"/>
                    <w:jc w:val="right"/>
                    <w:jc w:val="center"/>
                  </w:pPr>
                  <w:r>
                    <w:t xml:space="preserve">6676.470</w:t>
                  </w:r>
                </w:p>
              </w:tc>
              <w:tc>
                <w:tcPr/>
                <w:p>
                  <w:pPr>
                    <w:pStyle w:val="Compact"/>
                    <w:jc w:val="right"/>
                    <w:jc w:val="center"/>
                  </w:pPr>
                  <w:r>
                    <w:t xml:space="preserve">574.0105</w:t>
                  </w:r>
                </w:p>
              </w:tc>
              <w:tc>
                <w:tcPr/>
                <w:p>
                  <w:pPr>
                    <w:pStyle w:val="Compact"/>
                    <w:jc w:val="right"/>
                    <w:jc w:val="center"/>
                  </w:pPr>
                  <w:r>
                    <w:t xml:space="preserve">4984</w:t>
                  </w:r>
                </w:p>
              </w:tc>
              <w:tc>
                <w:tcPr/>
                <w:p>
                  <w:pPr>
                    <w:pStyle w:val="Compact"/>
                    <w:jc w:val="right"/>
                    <w:jc w:val="center"/>
                  </w:pPr>
                  <w:r>
                    <w:t xml:space="preserve">5063</w:t>
                  </w:r>
                </w:p>
              </w:tc>
            </w:tr>
          </w:tbl>
          <w:bookmarkEnd w:id="8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8</w:t>
        </w:r>
      </w:hyperlink>
      <w:r>
        <w:t xml:space="preserve"> </w:t>
      </w:r>
      <w:r>
        <w:t xml:space="preserve">shows the analysis of variance for the percentage of arena capacity models.</w:t>
      </w:r>
    </w:p>
    <w:p>
      <w:pPr>
        <w:pStyle w:val="BodyText"/>
      </w:pPr>
      <w:hyperlink w:anchor="fig-season-coefs2">
        <w:r>
          <w:rPr>
            <w:rStyle w:val="Hyperlink"/>
          </w:rPr>
          <w:t xml:space="preserve">Figure 11</w:t>
        </w:r>
      </w:hyperlink>
      <w:r>
        <w:t xml:space="preserve"> </w:t>
      </w:r>
      <w:r>
        <w:t xml:space="preserve">shows that…</w:t>
      </w:r>
    </w:p>
    <w:bookmarkStart w:id="87" w:name="cell-fig-season-coefs2"/>
    <w:tbl>
      <w:tblPr>
        <w:tblStyle w:val="Table"/>
        <w:tblW w:type="pct" w:w="5000"/>
        <w:tblLayout w:type="fixed"/>
        <w:tblLook w:firstRow="0" w:lastRow="0" w:firstColumn="0" w:lastColumn="0" w:noHBand="0" w:noVBand="0" w:val="0000"/>
      </w:tblPr>
      <w:tblGrid>
        <w:gridCol w:w="7920"/>
      </w:tblGrid>
      <w:tr>
        <w:tc>
          <w:tcPr/>
          <w:bookmarkStart w:id="86" w:name="fig-season-coefs2"/>
          <w:p>
            <w:pPr>
              <w:pStyle w:val="Compact"/>
              <w:jc w:val="center"/>
            </w:pPr>
            <w:r>
              <w:drawing>
                <wp:inline>
                  <wp:extent cx="4620126" cy="3696101"/>
                  <wp:effectExtent b="0" l="0" r="0" t="0"/>
                  <wp:docPr descr="" title="" id="84" name="Picture"/>
                  <a:graphic>
                    <a:graphicData uri="http://schemas.openxmlformats.org/drawingml/2006/picture">
                      <pic:pic>
                        <pic:nvPicPr>
                          <pic:cNvPr descr="index_files/figure-docx/fig-season-coefs2-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Estimated season-level fixed effects for percentage of arena capacity models.</w:t>
            </w:r>
          </w:p>
          <w:bookmarkEnd w:id="8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7"/>
    <w:p>
      <w:pPr>
        <w:pStyle w:val="BodyText"/>
      </w:pPr>
      <w:hyperlink w:anchor="fig-season-slopes2">
        <w:r>
          <w:rPr>
            <w:rStyle w:val="Hyperlink"/>
          </w:rPr>
          <w:t xml:space="preserve">Figure 12</w:t>
        </w:r>
      </w:hyperlink>
      <w:r>
        <w:t xml:space="preserve"> </w:t>
      </w:r>
      <w:r>
        <w:t xml:space="preserve">shows that…</w:t>
      </w:r>
    </w:p>
    <w:bookmarkStart w:id="92" w:name="cell-fig-season-slopes2"/>
    <w:tbl>
      <w:tblPr>
        <w:tblStyle w:val="Table"/>
        <w:tblW w:type="pct" w:w="5000"/>
        <w:tblLayout w:type="fixed"/>
        <w:tblLook w:firstRow="0" w:lastRow="0" w:firstColumn="0" w:lastColumn="0" w:noHBand="0" w:noVBand="0" w:val="0000"/>
      </w:tblPr>
      <w:tblGrid>
        <w:gridCol w:w="7920"/>
      </w:tblGrid>
      <w:tr>
        <w:tc>
          <w:tcPr/>
          <w:bookmarkStart w:id="91" w:name="fig-season-slopes2"/>
          <w:p>
            <w:pPr>
              <w:pStyle w:val="Compact"/>
              <w:jc w:val="center"/>
            </w:pPr>
            <w:r>
              <w:drawing>
                <wp:inline>
                  <wp:extent cx="4620126" cy="3696101"/>
                  <wp:effectExtent b="0" l="0" r="0" t="0"/>
                  <wp:docPr descr="" title="" id="89" name="Picture"/>
                  <a:graphic>
                    <a:graphicData uri="http://schemas.openxmlformats.org/drawingml/2006/picture">
                      <pic:pic>
                        <pic:nvPicPr>
                          <pic:cNvPr descr="index_files/figure-docx/fig-season-slopes2-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changes in slopes for percentage of arena capacity models.</w:t>
            </w:r>
          </w:p>
          <w:bookmarkEnd w:id="9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2"/>
    <w:bookmarkEnd w:id="93"/>
    <w:bookmarkEnd w:id="94"/>
    <w:bookmarkStart w:id="98" w:name="conclusion"/>
    <w:p>
      <w:pPr>
        <w:pStyle w:val="Heading2"/>
      </w:pPr>
      <w:r>
        <w:t xml:space="preserve">5 Conclusion</w:t>
      </w:r>
    </w:p>
    <w:bookmarkStart w:id="95"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95"/>
    <w:bookmarkStart w:id="96" w:name="future-work"/>
    <w:p>
      <w:pPr>
        <w:pStyle w:val="Heading3"/>
      </w:pPr>
      <w:r>
        <w:t xml:space="preserve">5.2 Future work</w:t>
      </w:r>
    </w:p>
    <w:bookmarkEnd w:id="96"/>
    <w:bookmarkStart w:id="97" w:name="discussion"/>
    <w:p>
      <w:pPr>
        <w:pStyle w:val="Heading3"/>
      </w:pPr>
      <w:r>
        <w:t xml:space="preserve">5.3 Discussion</w:t>
      </w:r>
    </w:p>
    <w:bookmarkEnd w:id="97"/>
    <w:bookmarkEnd w:id="98"/>
    <w:bookmarkStart w:id="153" w:name="references"/>
    <w:p>
      <w:pPr>
        <w:pStyle w:val="Heading2"/>
      </w:pPr>
      <w:r>
        <w:t xml:space="preserve">References</w:t>
      </w:r>
    </w:p>
    <w:bookmarkStart w:id="152" w:name="refs"/>
    <w:bookmarkStart w:id="100"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99">
        <w:r>
          <w:rPr>
            <w:rStyle w:val="Hyperlink"/>
          </w:rPr>
          <w:t xml:space="preserve">https://www.acrossthetimeline.com/wnba/attendance.html</w:t>
        </w:r>
      </w:hyperlink>
      <w:r>
        <w:t xml:space="preserve">.</w:t>
      </w:r>
      <w:r>
        <w:t xml:space="preserve"> </w:t>
      </w:r>
      <w:hyperlink r:id="rId99">
        <w:r>
          <w:rPr>
            <w:rStyle w:val="Hyperlink"/>
          </w:rPr>
          <w:t xml:space="preserve">https://www.acrossthetimeline.com/wnba/attendance.html</w:t>
        </w:r>
      </w:hyperlink>
      <w:r>
        <w:t xml:space="preserve">.</w:t>
      </w:r>
    </w:p>
    <w:bookmarkEnd w:id="100"/>
    <w:bookmarkStart w:id="102" w:name="ref-baade1990analysis"/>
    <w:p>
      <w:pPr>
        <w:pStyle w:val="Bibliography"/>
      </w:pPr>
      <w:r>
        <w:t xml:space="preserve">Baade, Robert A, and Laura J Tiehen. 1990.</w:t>
      </w:r>
      <w:r>
        <w:t xml:space="preserve"> </w:t>
      </w:r>
      <w:r>
        <w:t xml:space="preserve">“An Analysis of Major League Baseball Attendance, 1969-1987.”</w:t>
      </w:r>
      <w:r>
        <w:t xml:space="preserve"> </w:t>
      </w:r>
      <w:r>
        <w:rPr>
          <w:i/>
          <w:iCs/>
        </w:rPr>
        <w:t xml:space="preserve">Journal of Sport and Social Issues</w:t>
      </w:r>
      <w:r>
        <w:t xml:space="preserve"> </w:t>
      </w:r>
      <w:r>
        <w:t xml:space="preserve">14 (1): 14–32.</w:t>
      </w:r>
      <w:r>
        <w:t xml:space="preserve"> </w:t>
      </w:r>
      <w:hyperlink r:id="rId101">
        <w:r>
          <w:rPr>
            <w:rStyle w:val="Hyperlink"/>
          </w:rPr>
          <w:t xml:space="preserve">https://doi.org/10.1177/019372359001400102</w:t>
        </w:r>
      </w:hyperlink>
      <w:r>
        <w:t xml:space="preserve">.</w:t>
      </w:r>
    </w:p>
    <w:bookmarkEnd w:id="102"/>
    <w:bookmarkStart w:id="104" w:name="ref-clapp2005long"/>
    <w:p>
      <w:pPr>
        <w:pStyle w:val="Bibliography"/>
      </w:pPr>
      <w:r>
        <w:t xml:space="preserve">Clapp, Christopher M, and Jahn K Hakes. 2005.</w:t>
      </w:r>
      <w:r>
        <w:t xml:space="preserve"> </w:t>
      </w:r>
      <w:r>
        <w:t xml:space="preserve">“How Long a Honeymoon? The Effect of New Stadiums on Attendance in Major League Baseball.”</w:t>
      </w:r>
      <w:r>
        <w:t xml:space="preserve"> </w:t>
      </w:r>
      <w:r>
        <w:rPr>
          <w:i/>
          <w:iCs/>
        </w:rPr>
        <w:t xml:space="preserve">Journal of Sports Economics</w:t>
      </w:r>
      <w:r>
        <w:t xml:space="preserve"> </w:t>
      </w:r>
      <w:r>
        <w:t xml:space="preserve">6 (3): 237–63.</w:t>
      </w:r>
      <w:r>
        <w:t xml:space="preserve"> </w:t>
      </w:r>
      <w:hyperlink r:id="rId103">
        <w:r>
          <w:rPr>
            <w:rStyle w:val="Hyperlink"/>
          </w:rPr>
          <w:t xml:space="preserve">https://doi.org/10.1177/1527002504265957</w:t>
        </w:r>
      </w:hyperlink>
      <w:r>
        <w:t xml:space="preserve">.</w:t>
      </w:r>
    </w:p>
    <w:bookmarkEnd w:id="104"/>
    <w:bookmarkStart w:id="106"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05">
        <w:r>
          <w:rPr>
            <w:rStyle w:val="Hyperlink"/>
          </w:rPr>
          <w:t xml:space="preserve">https://doi.org/10.1111/ecin.12061</w:t>
        </w:r>
      </w:hyperlink>
      <w:r>
        <w:t xml:space="preserve">.</w:t>
      </w:r>
    </w:p>
    <w:bookmarkEnd w:id="106"/>
    <w:bookmarkStart w:id="108"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07">
        <w:r>
          <w:rPr>
            <w:rStyle w:val="Hyperlink"/>
          </w:rPr>
          <w:t xml:space="preserve">https://doi.org/10.1177/155862350800300105</w:t>
        </w:r>
      </w:hyperlink>
      <w:r>
        <w:t xml:space="preserve">.</w:t>
      </w:r>
    </w:p>
    <w:bookmarkEnd w:id="108"/>
    <w:bookmarkStart w:id="110"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09">
        <w:r>
          <w:rPr>
            <w:rStyle w:val="Hyperlink"/>
          </w:rPr>
          <w:t xml:space="preserve">https://doi.org/10.1177/1527002508327387</w:t>
        </w:r>
      </w:hyperlink>
      <w:r>
        <w:t xml:space="preserve">.</w:t>
      </w:r>
    </w:p>
    <w:bookmarkEnd w:id="110"/>
    <w:bookmarkStart w:id="112"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11">
        <w:r>
          <w:rPr>
            <w:rStyle w:val="Hyperlink"/>
          </w:rPr>
          <w:t xml:space="preserve">https://doi.org/10.1123/jsm.2019-0404</w:t>
        </w:r>
      </w:hyperlink>
      <w:r>
        <w:t xml:space="preserve">.</w:t>
      </w:r>
    </w:p>
    <w:bookmarkEnd w:id="112"/>
    <w:bookmarkStart w:id="114"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13">
        <w:r>
          <w:rPr>
            <w:rStyle w:val="Hyperlink"/>
          </w:rPr>
          <w:t xml:space="preserve">https://doi.org/10.1123/jsm.16.4.311</w:t>
        </w:r>
      </w:hyperlink>
      <w:r>
        <w:t xml:space="preserve">.</w:t>
      </w:r>
    </w:p>
    <w:bookmarkEnd w:id="114"/>
    <w:bookmarkStart w:id="115"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15"/>
    <w:bookmarkStart w:id="117"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16">
        <w:r>
          <w:rPr>
            <w:rStyle w:val="Hyperlink"/>
          </w:rPr>
          <w:t xml:space="preserve">https://polecom.org/index.php/polecom/article/view/119</w:t>
        </w:r>
      </w:hyperlink>
      <w:r>
        <w:t xml:space="preserve">.</w:t>
      </w:r>
    </w:p>
    <w:bookmarkEnd w:id="117"/>
    <w:bookmarkStart w:id="119"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18">
        <w:r>
          <w:rPr>
            <w:rStyle w:val="Hyperlink"/>
          </w:rPr>
          <w:t xml:space="preserve">https://doi.org/10.32614/cran.package.wehoop</w:t>
        </w:r>
      </w:hyperlink>
      <w:r>
        <w:t xml:space="preserve">.</w:t>
      </w:r>
    </w:p>
    <w:bookmarkEnd w:id="119"/>
    <w:bookmarkStart w:id="121"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20">
        <w:r>
          <w:rPr>
            <w:rStyle w:val="Hyperlink"/>
          </w:rPr>
          <w:t xml:space="preserve">https://doi.org/10.1080/17430437.2017.1346620</w:t>
        </w:r>
      </w:hyperlink>
      <w:r>
        <w:t xml:space="preserve">.</w:t>
      </w:r>
    </w:p>
    <w:bookmarkEnd w:id="121"/>
    <w:bookmarkStart w:id="123" w:name="ref-hall2002testing"/>
    <w:p>
      <w:pPr>
        <w:pStyle w:val="Bibliography"/>
      </w:pPr>
      <w:r>
        <w:t xml:space="preserve">Hall, Stephen, Stefan Szymanski, and Andrew S Zimbalist. 2002.</w:t>
      </w:r>
      <w:r>
        <w:t xml:space="preserve"> </w:t>
      </w:r>
      <w:r>
        <w:t xml:space="preserve">“Testing Causality Between Team Performance and Payroll: The Cases of Major League Baseball and English Soccer.”</w:t>
      </w:r>
      <w:r>
        <w:t xml:space="preserve"> </w:t>
      </w:r>
      <w:r>
        <w:rPr>
          <w:i/>
          <w:iCs/>
        </w:rPr>
        <w:t xml:space="preserve">Journal of Sports Economics</w:t>
      </w:r>
      <w:r>
        <w:t xml:space="preserve"> </w:t>
      </w:r>
      <w:r>
        <w:t xml:space="preserve">3 (2): 149–68.</w:t>
      </w:r>
      <w:r>
        <w:t xml:space="preserve"> </w:t>
      </w:r>
      <w:hyperlink r:id="rId122">
        <w:r>
          <w:rPr>
            <w:rStyle w:val="Hyperlink"/>
          </w:rPr>
          <w:t xml:space="preserve">https://doi.org/10.1177/152700250200300204</w:t>
        </w:r>
      </w:hyperlink>
      <w:r>
        <w:t xml:space="preserve">.</w:t>
      </w:r>
    </w:p>
    <w:bookmarkEnd w:id="123"/>
    <w:bookmarkStart w:id="125"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24">
        <w:r>
          <w:rPr>
            <w:rStyle w:val="Hyperlink"/>
          </w:rPr>
          <w:t xml:space="preserve">https://doi.org/10.1002/mde.1308</w:t>
        </w:r>
      </w:hyperlink>
      <w:r>
        <w:t xml:space="preserve">.</w:t>
      </w:r>
    </w:p>
    <w:bookmarkEnd w:id="125"/>
    <w:bookmarkStart w:id="127"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26">
        <w:r>
          <w:rPr>
            <w:rStyle w:val="Hyperlink"/>
          </w:rPr>
          <w:t xml:space="preserve">https://doi.org/10.53728/2765-6500.1616</w:t>
        </w:r>
      </w:hyperlink>
      <w:r>
        <w:t xml:space="preserve">.</w:t>
      </w:r>
    </w:p>
    <w:bookmarkEnd w:id="127"/>
    <w:bookmarkStart w:id="129"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28">
        <w:r>
          <w:rPr>
            <w:rStyle w:val="Hyperlink"/>
          </w:rPr>
          <w:t xml:space="preserve">https://doi.org/10.1177/1527002509337212</w:t>
        </w:r>
      </w:hyperlink>
      <w:r>
        <w:t xml:space="preserve">.</w:t>
      </w:r>
    </w:p>
    <w:bookmarkEnd w:id="129"/>
    <w:bookmarkStart w:id="131"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30">
        <w:r>
          <w:rPr>
            <w:rStyle w:val="Hyperlink"/>
          </w:rPr>
          <w:t xml:space="preserve">https://doi.org/10.1080/14660970.2022.2037218</w:t>
        </w:r>
      </w:hyperlink>
      <w:r>
        <w:t xml:space="preserve">.</w:t>
      </w:r>
    </w:p>
    <w:bookmarkEnd w:id="131"/>
    <w:bookmarkStart w:id="133"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32">
        <w:r>
          <w:rPr>
            <w:rStyle w:val="Hyperlink"/>
          </w:rPr>
          <w:t xml:space="preserve">https://doi.org/10.1016/0304-4076(85)90158-7</w:t>
        </w:r>
      </w:hyperlink>
      <w:r>
        <w:t xml:space="preserve">.</w:t>
      </w:r>
    </w:p>
    <w:bookmarkEnd w:id="133"/>
    <w:bookmarkStart w:id="135"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34">
        <w:r>
          <w:rPr>
            <w:rStyle w:val="Hyperlink"/>
          </w:rPr>
          <w:t xml:space="preserve">https://www.jstor.org/stable/1924766</w:t>
        </w:r>
      </w:hyperlink>
      <w:r>
        <w:t xml:space="preserve">.</w:t>
      </w:r>
    </w:p>
    <w:bookmarkEnd w:id="135"/>
    <w:bookmarkStart w:id="136"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36"/>
    <w:bookmarkStart w:id="138"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37">
        <w:r>
          <w:rPr>
            <w:rStyle w:val="Hyperlink"/>
          </w:rPr>
          <w:t xml:space="preserve">https://doi.org/10.1002/(SICI)1099-1255(199611)11:6&lt;619::AID-JAE418&gt;3.0.CO;2-1</w:t>
        </w:r>
      </w:hyperlink>
      <w:r>
        <w:t xml:space="preserve">.</w:t>
      </w:r>
    </w:p>
    <w:bookmarkEnd w:id="138"/>
    <w:bookmarkStart w:id="140"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39">
        <w:r>
          <w:rPr>
            <w:rStyle w:val="Hyperlink"/>
          </w:rPr>
          <w:t xml:space="preserve">https://doi.org/10.3390/ijfs7010012</w:t>
        </w:r>
      </w:hyperlink>
      <w:r>
        <w:t xml:space="preserve">.</w:t>
      </w:r>
    </w:p>
    <w:bookmarkEnd w:id="140"/>
    <w:bookmarkStart w:id="141"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41"/>
    <w:bookmarkStart w:id="142" w:name="ref-vrooman2012theory"/>
    <w:p>
      <w:pPr>
        <w:pStyle w:val="Bibliography"/>
      </w:pPr>
      <w:r>
        <w:t xml:space="preserve">Vrooman, John. 2012.</w:t>
      </w:r>
      <w:r>
        <w:t xml:space="preserve"> </w:t>
      </w:r>
      <w:r>
        <w:rPr>
          <w:i/>
          <w:iCs/>
        </w:rPr>
        <w:t xml:space="preserve">Theory of the Big Dance: The Playoff Pay-Off in Pro Sports Leagues</w:t>
      </w:r>
      <w:r>
        <w:t xml:space="preserve">. New York, NY: Oxford University Press.</w:t>
      </w:r>
    </w:p>
    <w:bookmarkEnd w:id="142"/>
    <w:bookmarkStart w:id="144"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43">
        <w:r>
          <w:rPr>
            <w:rStyle w:val="Hyperlink"/>
          </w:rPr>
          <w:t xml:space="preserve">https://doi.org/10.1080/00031305.2016.1154108</w:t>
        </w:r>
      </w:hyperlink>
      <w:r>
        <w:t xml:space="preserve">.</w:t>
      </w:r>
    </w:p>
    <w:bookmarkEnd w:id="144"/>
    <w:bookmarkStart w:id="146"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45">
        <w:r>
          <w:rPr>
            <w:rStyle w:val="Hyperlink"/>
          </w:rPr>
          <w:t xml:space="preserve">https://doi.org/10.1080/00031305.2019.1583913</w:t>
        </w:r>
      </w:hyperlink>
      <w:r>
        <w:t xml:space="preserve">.</w:t>
      </w:r>
    </w:p>
    <w:bookmarkEnd w:id="146"/>
    <w:bookmarkStart w:id="148"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47">
        <w:r>
          <w:rPr>
            <w:rStyle w:val="Hyperlink"/>
          </w:rPr>
          <w:t xml:space="preserve">https://accessecon.com/pubs/eb/2003/volume1/eb-03a10003a.pdf</w:t>
        </w:r>
      </w:hyperlink>
      <w:r>
        <w:t xml:space="preserve">.</w:t>
      </w:r>
    </w:p>
    <w:bookmarkEnd w:id="148"/>
    <w:bookmarkStart w:id="150" w:name="ref-wnba2024recordseason"/>
    <w:p>
      <w:pPr>
        <w:pStyle w:val="Bibliography"/>
      </w:pPr>
      <w:r>
        <w:t xml:space="preserve">WNBA. 2024.</w:t>
      </w:r>
      <w:r>
        <w:t xml:space="preserve"> </w:t>
      </w:r>
      <w:r>
        <w:t xml:space="preserve">“WNBA Delivers Record‑setting 2024 Season.”</w:t>
      </w:r>
      <w:r>
        <w:t xml:space="preserve"> </w:t>
      </w:r>
      <w:hyperlink r:id="rId149">
        <w:r>
          <w:rPr>
            <w:rStyle w:val="Hyperlink"/>
          </w:rPr>
          <w:t xml:space="preserve">https://www.wnba.com/news/wnba-delivers-record-setting-2024-season</w:t>
        </w:r>
      </w:hyperlink>
      <w:r>
        <w:t xml:space="preserve">.</w:t>
      </w:r>
    </w:p>
    <w:bookmarkEnd w:id="150"/>
    <w:bookmarkStart w:id="151"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51"/>
    <w:bookmarkEnd w:id="152"/>
    <w:bookmarkEnd w:id="153"/>
    <w:bookmarkStart w:id="207" w:name="appendix"/>
    <w:p>
      <w:pPr>
        <w:pStyle w:val="Heading2"/>
      </w:pPr>
      <w:r>
        <w:t xml:space="preserve">6 Appendix</w:t>
      </w:r>
    </w:p>
    <w:bookmarkStart w:id="156" w:name="anova-tables"/>
    <w:p>
      <w:pPr>
        <w:pStyle w:val="Heading3"/>
      </w:pPr>
      <w:r>
        <w:t xml:space="preserve">6.1 ANOVA tables</w:t>
      </w:r>
    </w:p>
    <w:tbl>
      <w:tblPr>
        <w:tblStyle w:val="Table"/>
        <w:tblW w:type="pct" w:w="5000"/>
        <w:tblLayout w:type="fixed"/>
        <w:tblLook w:firstRow="0" w:lastRow="0" w:firstColumn="0" w:lastColumn="0" w:noHBand="0" w:noVBand="0" w:val="0000"/>
      </w:tblPr>
      <w:tblGrid>
        <w:gridCol w:w="7920"/>
      </w:tblGrid>
      <w:tr>
        <w:tc>
          <w:tcPr/>
          <w:bookmarkStart w:id="154" w:name="tbl-anova"/>
          <w:p>
            <w:pPr>
              <w:jc w:val="center"/>
            </w:pPr>
            <w:pPr>
              <w:jc w:val="left"/>
              <w:spacing w:before="200"/>
              <w:pStyle w:val="ImageCaption"/>
            </w:pPr>
            <w:r>
              <w:t xml:space="preserve">Table 7: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86"/>
              <w:gridCol w:w="3813"/>
              <w:gridCol w:w="293"/>
              <w:gridCol w:w="782"/>
              <w:gridCol w:w="684"/>
              <w:gridCol w:w="977"/>
              <w:gridCol w:w="782"/>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f3</w:t>
                  </w:r>
                </w:p>
              </w:tc>
              <w:tc>
                <w:tcPr/>
                <w:p>
                  <w:pPr>
                    <w:pStyle w:val="Compact"/>
                    <w:jc w:val="left"/>
                    <w:jc w:val="center"/>
                  </w:pPr>
                  <w:r>
                    <w:t xml:space="preserve">I(loss_aversion)</w:t>
                  </w:r>
                </w:p>
              </w:tc>
              <w:tc>
                <w:tcPr/>
                <w:p>
                  <w:pPr>
                    <w:pStyle w:val="Compact"/>
                    <w:jc w:val="right"/>
                    <w:jc w:val="center"/>
                  </w:pPr>
                  <w:r>
                    <w:t xml:space="preserve">1</w:t>
                  </w:r>
                </w:p>
              </w:tc>
              <w:tc>
                <w:tcPr/>
                <w:p>
                  <w:pPr>
                    <w:pStyle w:val="Compact"/>
                    <w:jc w:val="right"/>
                    <w:jc w:val="center"/>
                  </w:pPr>
                  <w:r>
                    <w:t xml:space="preserve">21.221</w:t>
                  </w:r>
                </w:p>
              </w:tc>
              <w:tc>
                <w:tcPr/>
                <w:p>
                  <w:pPr>
                    <w:pStyle w:val="Compact"/>
                    <w:jc w:val="right"/>
                    <w:jc w:val="center"/>
                  </w:pPr>
                  <w:r>
                    <w:t xml:space="preserve">21.221</w:t>
                  </w:r>
                </w:p>
              </w:tc>
              <w:tc>
                <w:tcPr/>
                <w:p>
                  <w:pPr>
                    <w:pStyle w:val="Compact"/>
                    <w:jc w:val="right"/>
                    <w:jc w:val="center"/>
                  </w:pPr>
                  <w:r>
                    <w:t xml:space="preserve">202.786</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I(quality_of_play)</w:t>
                  </w:r>
                </w:p>
              </w:tc>
              <w:tc>
                <w:tcPr/>
                <w:p>
                  <w:pPr>
                    <w:pStyle w:val="Compact"/>
                    <w:jc w:val="right"/>
                    <w:jc w:val="center"/>
                  </w:pPr>
                  <w:r>
                    <w:t xml:space="preserve">1</w:t>
                  </w:r>
                </w:p>
              </w:tc>
              <w:tc>
                <w:tcPr/>
                <w:p>
                  <w:pPr>
                    <w:pStyle w:val="Compact"/>
                    <w:jc w:val="right"/>
                    <w:jc w:val="center"/>
                  </w:pPr>
                  <w:r>
                    <w:t xml:space="preserve">23.178</w:t>
                  </w:r>
                </w:p>
              </w:tc>
              <w:tc>
                <w:tcPr/>
                <w:p>
                  <w:pPr>
                    <w:pStyle w:val="Compact"/>
                    <w:jc w:val="right"/>
                    <w:jc w:val="center"/>
                  </w:pPr>
                  <w:r>
                    <w:t xml:space="preserve">23.178</w:t>
                  </w:r>
                </w:p>
              </w:tc>
              <w:tc>
                <w:tcPr/>
                <w:p>
                  <w:pPr>
                    <w:pStyle w:val="Compact"/>
                    <w:jc w:val="right"/>
                    <w:jc w:val="center"/>
                  </w:pPr>
                  <w:r>
                    <w:t xml:space="preserve">223.169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I(uncertain_outcome)</w:t>
                  </w:r>
                </w:p>
              </w:tc>
              <w:tc>
                <w:tcPr/>
                <w:p>
                  <w:pPr>
                    <w:pStyle w:val="Compact"/>
                    <w:jc w:val="right"/>
                    <w:jc w:val="center"/>
                  </w:pPr>
                  <w:r>
                    <w:t xml:space="preserve">1</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0.027</w:t>
                  </w:r>
                </w:p>
              </w:tc>
              <w:tc>
                <w:tcPr/>
                <w:p>
                  <w:pPr>
                    <w:pStyle w:val="Compact"/>
                    <w:jc w:val="right"/>
                    <w:jc w:val="center"/>
                  </w:pPr>
                  <w:r>
                    <w:t xml:space="preserve">0.868</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20.615</w:t>
                  </w:r>
                </w:p>
              </w:tc>
              <w:tc>
                <w:tcPr/>
                <w:p>
                  <w:pPr>
                    <w:pStyle w:val="Compact"/>
                    <w:jc w:val="right"/>
                    <w:jc w:val="center"/>
                  </w:pPr>
                  <w:r>
                    <w:t xml:space="preserve">20.615</w:t>
                  </w:r>
                </w:p>
              </w:tc>
              <w:tc>
                <w:tcPr/>
                <w:p>
                  <w:pPr>
                    <w:pStyle w:val="Compact"/>
                    <w:jc w:val="right"/>
                    <w:jc w:val="center"/>
                  </w:pPr>
                  <w:r>
                    <w:t xml:space="preserve">198.497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20.969</w:t>
                  </w:r>
                </w:p>
              </w:tc>
              <w:tc>
                <w:tcPr/>
                <w:p>
                  <w:pPr>
                    <w:pStyle w:val="Compact"/>
                    <w:jc w:val="right"/>
                    <w:jc w:val="center"/>
                  </w:pPr>
                  <w:r>
                    <w:t xml:space="preserve">20.969</w:t>
                  </w:r>
                </w:p>
              </w:tc>
              <w:tc>
                <w:tcPr/>
                <w:p>
                  <w:pPr>
                    <w:pStyle w:val="Compact"/>
                    <w:jc w:val="right"/>
                    <w:jc w:val="center"/>
                  </w:pPr>
                  <w:r>
                    <w:t xml:space="preserve">191.220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20.597</w:t>
                  </w:r>
                </w:p>
              </w:tc>
              <w:tc>
                <w:tcPr/>
                <w:p>
                  <w:pPr>
                    <w:pStyle w:val="Compact"/>
                    <w:jc w:val="right"/>
                    <w:jc w:val="center"/>
                  </w:pPr>
                  <w:r>
                    <w:t xml:space="preserve">20.597</w:t>
                  </w:r>
                </w:p>
              </w:tc>
              <w:tc>
                <w:tcPr/>
                <w:p>
                  <w:pPr>
                    <w:pStyle w:val="Compact"/>
                    <w:jc w:val="right"/>
                    <w:jc w:val="center"/>
                  </w:pPr>
                  <w:r>
                    <w:t xml:space="preserve">196.831</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1.850</w:t>
                  </w:r>
                </w:p>
              </w:tc>
              <w:tc>
                <w:tcPr/>
                <w:p>
                  <w:pPr>
                    <w:pStyle w:val="Compact"/>
                    <w:jc w:val="right"/>
                    <w:jc w:val="center"/>
                  </w:pPr>
                  <w:r>
                    <w:t xml:space="preserve">1.850</w:t>
                  </w:r>
                </w:p>
              </w:tc>
              <w:tc>
                <w:tcPr/>
                <w:p>
                  <w:pPr>
                    <w:pStyle w:val="Compact"/>
                    <w:jc w:val="right"/>
                    <w:jc w:val="center"/>
                  </w:pPr>
                  <w:r>
                    <w:t xml:space="preserve">17.813</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0.920</w:t>
                  </w:r>
                </w:p>
              </w:tc>
              <w:tc>
                <w:tcPr/>
                <w:p>
                  <w:pPr>
                    <w:pStyle w:val="Compact"/>
                    <w:jc w:val="right"/>
                    <w:jc w:val="center"/>
                  </w:pPr>
                  <w:r>
                    <w:t xml:space="preserve">0.920</w:t>
                  </w:r>
                </w:p>
              </w:tc>
              <w:tc>
                <w:tcPr/>
                <w:p>
                  <w:pPr>
                    <w:pStyle w:val="Compact"/>
                    <w:jc w:val="right"/>
                    <w:jc w:val="center"/>
                  </w:pPr>
                  <w:r>
                    <w:t xml:space="preserve">8.391</w:t>
                  </w:r>
                </w:p>
              </w:tc>
              <w:tc>
                <w:tcPr/>
                <w:p>
                  <w:pPr>
                    <w:pStyle w:val="Compact"/>
                    <w:jc w:val="right"/>
                    <w:jc w:val="center"/>
                  </w:pPr>
                  <w:r>
                    <w:t xml:space="preserve">0.004</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1.376</w:t>
                  </w:r>
                </w:p>
              </w:tc>
              <w:tc>
                <w:tcPr/>
                <w:p>
                  <w:pPr>
                    <w:pStyle w:val="Compact"/>
                    <w:jc w:val="right"/>
                    <w:jc w:val="center"/>
                  </w:pPr>
                  <w:r>
                    <w:t xml:space="preserve">1.376</w:t>
                  </w:r>
                </w:p>
              </w:tc>
              <w:tc>
                <w:tcPr/>
                <w:p>
                  <w:pPr>
                    <w:pStyle w:val="Compact"/>
                    <w:jc w:val="right"/>
                    <w:jc w:val="center"/>
                  </w:pPr>
                  <w:r>
                    <w:t xml:space="preserve">13.151</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0.241</w:t>
                  </w:r>
                </w:p>
              </w:tc>
              <w:tc>
                <w:tcPr/>
                <w:p>
                  <w:pPr>
                    <w:pStyle w:val="Compact"/>
                    <w:jc w:val="right"/>
                    <w:jc w:val="center"/>
                  </w:pPr>
                  <w:r>
                    <w:t xml:space="preserve">0.241</w:t>
                  </w:r>
                </w:p>
              </w:tc>
              <w:tc>
                <w:tcPr/>
                <w:p>
                  <w:pPr>
                    <w:pStyle w:val="Compact"/>
                    <w:jc w:val="right"/>
                    <w:jc w:val="center"/>
                  </w:pPr>
                  <w:r>
                    <w:t xml:space="preserve">2.318</w:t>
                  </w:r>
                </w:p>
              </w:tc>
              <w:tc>
                <w:tcPr/>
                <w:p>
                  <w:pPr>
                    <w:pStyle w:val="Compact"/>
                    <w:jc w:val="right"/>
                    <w:jc w:val="center"/>
                  </w:pPr>
                  <w:r>
                    <w:t xml:space="preserve">0.128</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0.283</w:t>
                  </w:r>
                </w:p>
              </w:tc>
              <w:tc>
                <w:tcPr/>
                <w:p>
                  <w:pPr>
                    <w:pStyle w:val="Compact"/>
                    <w:jc w:val="right"/>
                    <w:jc w:val="center"/>
                  </w:pPr>
                  <w:r>
                    <w:t xml:space="preserve">0.283</w:t>
                  </w:r>
                </w:p>
              </w:tc>
              <w:tc>
                <w:tcPr/>
                <w:p>
                  <w:pPr>
                    <w:pStyle w:val="Compact"/>
                    <w:jc w:val="right"/>
                    <w:jc w:val="center"/>
                  </w:pPr>
                  <w:r>
                    <w:t xml:space="preserve">2.578</w:t>
                  </w:r>
                </w:p>
              </w:tc>
              <w:tc>
                <w:tcPr/>
                <w:p>
                  <w:pPr>
                    <w:pStyle w:val="Compact"/>
                    <w:jc w:val="right"/>
                    <w:jc w:val="center"/>
                  </w:pPr>
                  <w:r>
                    <w:t xml:space="preserve">0.108</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0.157</w:t>
                  </w:r>
                </w:p>
              </w:tc>
              <w:tc>
                <w:tcPr/>
                <w:p>
                  <w:pPr>
                    <w:pStyle w:val="Compact"/>
                    <w:jc w:val="right"/>
                    <w:jc w:val="center"/>
                  </w:pPr>
                  <w:r>
                    <w:t xml:space="preserve">0.157</w:t>
                  </w:r>
                </w:p>
              </w:tc>
              <w:tc>
                <w:tcPr/>
                <w:p>
                  <w:pPr>
                    <w:pStyle w:val="Compact"/>
                    <w:jc w:val="right"/>
                    <w:jc w:val="center"/>
                  </w:pPr>
                  <w:r>
                    <w:t xml:space="preserve">1.503</w:t>
                  </w:r>
                </w:p>
              </w:tc>
              <w:tc>
                <w:tcPr/>
                <w:p>
                  <w:pPr>
                    <w:pStyle w:val="Compact"/>
                    <w:jc w:val="right"/>
                    <w:jc w:val="center"/>
                  </w:pPr>
                  <w:r>
                    <w:t xml:space="preserve">0.220</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12.435</w:t>
                  </w:r>
                </w:p>
              </w:tc>
              <w:tc>
                <w:tcPr/>
                <w:p>
                  <w:pPr>
                    <w:pStyle w:val="Compact"/>
                    <w:jc w:val="right"/>
                    <w:jc w:val="center"/>
                  </w:pPr>
                  <w:r>
                    <w:t xml:space="preserve">3.109</w:t>
                  </w:r>
                </w:p>
              </w:tc>
              <w:tc>
                <w:tcPr/>
                <w:p>
                  <w:pPr>
                    <w:pStyle w:val="Compact"/>
                    <w:jc w:val="right"/>
                    <w:jc w:val="center"/>
                  </w:pPr>
                  <w:r>
                    <w:t xml:space="preserve">29.933</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12.455</w:t>
                  </w:r>
                </w:p>
              </w:tc>
              <w:tc>
                <w:tcPr/>
                <w:p>
                  <w:pPr>
                    <w:pStyle w:val="Compact"/>
                    <w:jc w:val="right"/>
                    <w:jc w:val="center"/>
                  </w:pPr>
                  <w:r>
                    <w:t xml:space="preserve">3.114</w:t>
                  </w:r>
                </w:p>
              </w:tc>
              <w:tc>
                <w:tcPr/>
                <w:p>
                  <w:pPr>
                    <w:pStyle w:val="Compact"/>
                    <w:jc w:val="right"/>
                    <w:jc w:val="center"/>
                  </w:pPr>
                  <w:r>
                    <w:t xml:space="preserve">28.396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12.271</w:t>
                  </w:r>
                </w:p>
              </w:tc>
              <w:tc>
                <w:tcPr/>
                <w:p>
                  <w:pPr>
                    <w:pStyle w:val="Compact"/>
                    <w:jc w:val="right"/>
                    <w:jc w:val="center"/>
                  </w:pPr>
                  <w:r>
                    <w:t xml:space="preserve">3.068</w:t>
                  </w:r>
                </w:p>
              </w:tc>
              <w:tc>
                <w:tcPr/>
                <w:p>
                  <w:pPr>
                    <w:pStyle w:val="Compact"/>
                    <w:jc w:val="right"/>
                    <w:jc w:val="center"/>
                  </w:pPr>
                  <w:r>
                    <w:t xml:space="preserve">29.316</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14.756</w:t>
                  </w:r>
                </w:p>
              </w:tc>
              <w:tc>
                <w:tcPr/>
                <w:p>
                  <w:pPr>
                    <w:pStyle w:val="Compact"/>
                    <w:jc w:val="right"/>
                    <w:jc w:val="center"/>
                  </w:pPr>
                  <w:r>
                    <w:t xml:space="preserve">2.459</w:t>
                  </w:r>
                </w:p>
              </w:tc>
              <w:tc>
                <w:tcPr/>
                <w:p>
                  <w:pPr>
                    <w:pStyle w:val="Compact"/>
                    <w:jc w:val="right"/>
                    <w:jc w:val="center"/>
                  </w:pPr>
                  <w:r>
                    <w:t xml:space="preserve">23.680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14.385</w:t>
                  </w:r>
                </w:p>
              </w:tc>
              <w:tc>
                <w:tcPr/>
                <w:p>
                  <w:pPr>
                    <w:pStyle w:val="Compact"/>
                    <w:jc w:val="right"/>
                    <w:jc w:val="center"/>
                  </w:pPr>
                  <w:r>
                    <w:t xml:space="preserve">2.397</w:t>
                  </w:r>
                </w:p>
              </w:tc>
              <w:tc>
                <w:tcPr/>
                <w:p>
                  <w:pPr>
                    <w:pStyle w:val="Compact"/>
                    <w:jc w:val="right"/>
                    <w:jc w:val="center"/>
                  </w:pPr>
                  <w:r>
                    <w:t xml:space="preserve">21.863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14.401</w:t>
                  </w:r>
                </w:p>
              </w:tc>
              <w:tc>
                <w:tcPr/>
                <w:p>
                  <w:pPr>
                    <w:pStyle w:val="Compact"/>
                    <w:jc w:val="right"/>
                    <w:jc w:val="center"/>
                  </w:pPr>
                  <w:r>
                    <w:t xml:space="preserve">2.400</w:t>
                  </w:r>
                </w:p>
              </w:tc>
              <w:tc>
                <w:tcPr/>
                <w:p>
                  <w:pPr>
                    <w:pStyle w:val="Compact"/>
                    <w:jc w:val="right"/>
                    <w:jc w:val="center"/>
                  </w:pPr>
                  <w:r>
                    <w:t xml:space="preserve">22.937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127.280</w:t>
                  </w:r>
                </w:p>
              </w:tc>
              <w:tc>
                <w:tcPr/>
                <w:p>
                  <w:pPr>
                    <w:pStyle w:val="Compact"/>
                    <w:jc w:val="right"/>
                    <w:jc w:val="center"/>
                  </w:pPr>
                  <w:r>
                    <w:t xml:space="preserve">10.607</w:t>
                  </w:r>
                </w:p>
              </w:tc>
              <w:tc>
                <w:tcPr/>
                <w:p>
                  <w:pPr>
                    <w:pStyle w:val="Compact"/>
                    <w:jc w:val="right"/>
                    <w:jc w:val="center"/>
                  </w:pPr>
                  <w:r>
                    <w:t xml:space="preserve">102.127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139.826</w:t>
                  </w:r>
                </w:p>
              </w:tc>
              <w:tc>
                <w:tcPr/>
                <w:p>
                  <w:pPr>
                    <w:pStyle w:val="Compact"/>
                    <w:jc w:val="right"/>
                    <w:jc w:val="center"/>
                  </w:pPr>
                  <w:r>
                    <w:t xml:space="preserve">11.652</w:t>
                  </w:r>
                </w:p>
              </w:tc>
              <w:tc>
                <w:tcPr/>
                <w:p>
                  <w:pPr>
                    <w:pStyle w:val="Compact"/>
                    <w:jc w:val="right"/>
                    <w:jc w:val="center"/>
                  </w:pPr>
                  <w:r>
                    <w:t xml:space="preserve">106.260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129.368</w:t>
                  </w:r>
                </w:p>
              </w:tc>
              <w:tc>
                <w:tcPr/>
                <w:p>
                  <w:pPr>
                    <w:pStyle w:val="Compact"/>
                    <w:jc w:val="right"/>
                    <w:jc w:val="center"/>
                  </w:pPr>
                  <w:r>
                    <w:t xml:space="preserve">10.781</w:t>
                  </w:r>
                </w:p>
              </w:tc>
              <w:tc>
                <w:tcPr/>
                <w:p>
                  <w:pPr>
                    <w:pStyle w:val="Compact"/>
                    <w:jc w:val="right"/>
                    <w:jc w:val="center"/>
                  </w:pPr>
                  <w:r>
                    <w:t xml:space="preserve">103.021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I(loss_aversion):factor(season_id)</w:t>
                  </w:r>
                </w:p>
              </w:tc>
              <w:tc>
                <w:tcPr/>
                <w:p>
                  <w:pPr>
                    <w:pStyle w:val="Compact"/>
                    <w:jc w:val="right"/>
                    <w:jc w:val="center"/>
                  </w:pPr>
                  <w:r>
                    <w:t xml:space="preserve">26</w:t>
                  </w:r>
                </w:p>
              </w:tc>
              <w:tc>
                <w:tcPr/>
                <w:p>
                  <w:pPr>
                    <w:pStyle w:val="Compact"/>
                    <w:jc w:val="right"/>
                    <w:jc w:val="center"/>
                  </w:pPr>
                  <w:r>
                    <w:t xml:space="preserve">20.432</w:t>
                  </w:r>
                </w:p>
              </w:tc>
              <w:tc>
                <w:tcPr/>
                <w:p>
                  <w:pPr>
                    <w:pStyle w:val="Compact"/>
                    <w:jc w:val="right"/>
                    <w:jc w:val="center"/>
                  </w:pPr>
                  <w:r>
                    <w:t xml:space="preserve">0.786</w:t>
                  </w:r>
                </w:p>
              </w:tc>
              <w:tc>
                <w:tcPr/>
                <w:p>
                  <w:pPr>
                    <w:pStyle w:val="Compact"/>
                    <w:jc w:val="right"/>
                    <w:jc w:val="center"/>
                  </w:pPr>
                  <w:r>
                    <w:t xml:space="preserve">7.510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I(quality_of_play):factor(season_id)</w:t>
                  </w:r>
                </w:p>
              </w:tc>
              <w:tc>
                <w:tcPr/>
                <w:p>
                  <w:pPr>
                    <w:pStyle w:val="Compact"/>
                    <w:jc w:val="right"/>
                    <w:jc w:val="center"/>
                  </w:pPr>
                  <w:r>
                    <w:t xml:space="preserve">26</w:t>
                  </w:r>
                </w:p>
              </w:tc>
              <w:tc>
                <w:tcPr/>
                <w:p>
                  <w:pPr>
                    <w:pStyle w:val="Compact"/>
                    <w:jc w:val="right"/>
                    <w:jc w:val="center"/>
                  </w:pPr>
                  <w:r>
                    <w:t xml:space="preserve">17.752</w:t>
                  </w:r>
                </w:p>
              </w:tc>
              <w:tc>
                <w:tcPr/>
                <w:p>
                  <w:pPr>
                    <w:pStyle w:val="Compact"/>
                    <w:jc w:val="right"/>
                    <w:jc w:val="center"/>
                  </w:pPr>
                  <w:r>
                    <w:t xml:space="preserve">0.683</w:t>
                  </w:r>
                </w:p>
              </w:tc>
              <w:tc>
                <w:tcPr/>
                <w:p>
                  <w:pPr>
                    <w:pStyle w:val="Compact"/>
                    <w:jc w:val="right"/>
                    <w:jc w:val="center"/>
                  </w:pPr>
                  <w:r>
                    <w:t xml:space="preserve">6.574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I(uncertain_outcome):factor(season_id)</w:t>
                  </w:r>
                </w:p>
              </w:tc>
              <w:tc>
                <w:tcPr/>
                <w:p>
                  <w:pPr>
                    <w:pStyle w:val="Compact"/>
                    <w:jc w:val="right"/>
                    <w:jc w:val="center"/>
                  </w:pPr>
                  <w:r>
                    <w:t xml:space="preserve">26</w:t>
                  </w:r>
                </w:p>
              </w:tc>
              <w:tc>
                <w:tcPr/>
                <w:p>
                  <w:pPr>
                    <w:pStyle w:val="Compact"/>
                    <w:jc w:val="right"/>
                    <w:jc w:val="center"/>
                  </w:pPr>
                  <w:r>
                    <w:t xml:space="preserve">8.443</w:t>
                  </w:r>
                </w:p>
              </w:tc>
              <w:tc>
                <w:tcPr/>
                <w:p>
                  <w:pPr>
                    <w:pStyle w:val="Compact"/>
                    <w:jc w:val="right"/>
                    <w:jc w:val="center"/>
                  </w:pPr>
                  <w:r>
                    <w:t xml:space="preserve">0.325</w:t>
                  </w:r>
                </w:p>
              </w:tc>
              <w:tc>
                <w:tcPr/>
                <w:p>
                  <w:pPr>
                    <w:pStyle w:val="Compact"/>
                    <w:jc w:val="right"/>
                    <w:jc w:val="center"/>
                  </w:pPr>
                  <w:r>
                    <w:t xml:space="preserve">2.961</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156.100</w:t>
                  </w:r>
                </w:p>
              </w:tc>
              <w:tc>
                <w:tcPr/>
                <w:p>
                  <w:pPr>
                    <w:pStyle w:val="Compact"/>
                    <w:jc w:val="right"/>
                    <w:jc w:val="center"/>
                  </w:pPr>
                  <w:r>
                    <w:t xml:space="preserve">6.004</w:t>
                  </w:r>
                </w:p>
              </w:tc>
              <w:tc>
                <w:tcPr/>
                <w:p>
                  <w:pPr>
                    <w:pStyle w:val="Compact"/>
                    <w:jc w:val="right"/>
                    <w:jc w:val="center"/>
                  </w:pPr>
                  <w:r>
                    <w:t xml:space="preserve">57.808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148.017</w:t>
                  </w:r>
                </w:p>
              </w:tc>
              <w:tc>
                <w:tcPr/>
                <w:p>
                  <w:pPr>
                    <w:pStyle w:val="Compact"/>
                    <w:jc w:val="right"/>
                    <w:jc w:val="center"/>
                  </w:pPr>
                  <w:r>
                    <w:t xml:space="preserve">5.693</w:t>
                  </w:r>
                </w:p>
              </w:tc>
              <w:tc>
                <w:tcPr/>
                <w:p>
                  <w:pPr>
                    <w:pStyle w:val="Compact"/>
                    <w:jc w:val="right"/>
                    <w:jc w:val="center"/>
                  </w:pPr>
                  <w:r>
                    <w:t xml:space="preserve">51.916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150.457</w:t>
                  </w:r>
                </w:p>
              </w:tc>
              <w:tc>
                <w:tcPr/>
                <w:p>
                  <w:pPr>
                    <w:pStyle w:val="Compact"/>
                    <w:jc w:val="right"/>
                    <w:jc w:val="center"/>
                  </w:pPr>
                  <w:r>
                    <w:t xml:space="preserve">5.787</w:t>
                  </w:r>
                </w:p>
              </w:tc>
              <w:tc>
                <w:tcPr/>
                <w:p>
                  <w:pPr>
                    <w:pStyle w:val="Compact"/>
                    <w:jc w:val="right"/>
                    <w:jc w:val="center"/>
                  </w:pPr>
                  <w:r>
                    <w:t xml:space="preserve">55.299</w:t>
                  </w:r>
                </w:p>
              </w:tc>
              <w:tc>
                <w:tcPr/>
                <w:p>
                  <w:pPr>
                    <w:pStyle w:val="Compact"/>
                    <w:jc w:val="right"/>
                    <w:jc w:val="center"/>
                  </w:pPr>
                  <w:r>
                    <w:t xml:space="preserve">0.000</w:t>
                  </w:r>
                </w:p>
              </w:tc>
            </w:tr>
          </w:tbl>
          <w:bookmarkEnd w:id="154"/>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5" w:name="tbl-anova2"/>
          <w:p>
            <w:pPr>
              <w:jc w:val="center"/>
            </w:pPr>
            <w:pPr>
              <w:jc w:val="left"/>
              <w:spacing w:before="200"/>
              <w:pStyle w:val="ImageCaption"/>
            </w:pPr>
            <w:r>
              <w:t xml:space="preserve">Table 8: Analysis of variance for terms in models for percentage of arena capacity.</w:t>
            </w:r>
          </w:p>
          <w:tbl>
            <w:tblPr>
              <w:tblStyle w:val="Table"/>
              <w:tblW w:type="pct" w:w="5000"/>
              <w:tblLayout w:type="fixed"/>
              <w:tblLook w:firstRow="1" w:lastRow="0" w:firstColumn="0" w:lastColumn="0" w:noHBand="0" w:noVBand="0" w:val="0020"/>
            </w:tblPr>
            <w:tblGrid>
              <w:gridCol w:w="500"/>
              <w:gridCol w:w="3251"/>
              <w:gridCol w:w="250"/>
              <w:gridCol w:w="750"/>
              <w:gridCol w:w="1000"/>
              <w:gridCol w:w="1500"/>
              <w:gridCol w:w="666"/>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f3</w:t>
                  </w:r>
                </w:p>
              </w:tc>
              <w:tc>
                <w:tcPr/>
                <w:p>
                  <w:pPr>
                    <w:pStyle w:val="Compact"/>
                    <w:jc w:val="left"/>
                    <w:jc w:val="center"/>
                  </w:pPr>
                  <w:r>
                    <w:t xml:space="preserve">I(loss_aversion)</w:t>
                  </w:r>
                </w:p>
              </w:tc>
              <w:tc>
                <w:tcPr/>
                <w:p>
                  <w:pPr>
                    <w:pStyle w:val="Compact"/>
                    <w:jc w:val="right"/>
                    <w:jc w:val="center"/>
                  </w:pPr>
                  <w:r>
                    <w:t xml:space="preserve">1</w:t>
                  </w:r>
                </w:p>
              </w:tc>
              <w:tc>
                <w:tcPr/>
                <w:p>
                  <w:pPr>
                    <w:pStyle w:val="Compact"/>
                    <w:jc w:val="right"/>
                    <w:jc w:val="center"/>
                  </w:pPr>
                  <w:r>
                    <w:t xml:space="preserve">2.754</w:t>
                  </w:r>
                </w:p>
              </w:tc>
              <w:tc>
                <w:tcPr/>
                <w:p>
                  <w:pPr>
                    <w:pStyle w:val="Compact"/>
                    <w:jc w:val="right"/>
                    <w:jc w:val="center"/>
                  </w:pPr>
                  <w:r>
                    <w:t xml:space="preserve">5061</w:t>
                  </w:r>
                </w:p>
              </w:tc>
              <w:tc>
                <w:tcPr/>
                <w:p>
                  <w:pPr>
                    <w:pStyle w:val="Compact"/>
                    <w:jc w:val="right"/>
                    <w:jc w:val="center"/>
                  </w:pPr>
                  <w:r>
                    <w:t xml:space="preserve">913.912</w:t>
                  </w:r>
                </w:p>
              </w:tc>
              <w:tc>
                <w:tcPr/>
                <w:p>
                  <w:pPr>
                    <w:pStyle w:val="Compact"/>
                    <w:jc w:val="right"/>
                    <w:jc w:val="center"/>
                  </w:pPr>
                  <w:r>
                    <w:t xml:space="preserve">0.097</w:t>
                  </w:r>
                </w:p>
              </w:tc>
            </w:tr>
            <w:tr>
              <w:tc>
                <w:tcPr/>
                <w:p>
                  <w:pPr>
                    <w:pStyle w:val="Compact"/>
                    <w:jc w:val="left"/>
                    <w:jc w:val="center"/>
                  </w:pPr>
                  <w:r>
                    <w:t xml:space="preserve">f1</w:t>
                  </w:r>
                </w:p>
              </w:tc>
              <w:tc>
                <w:tcPr/>
                <w:p>
                  <w:pPr>
                    <w:pStyle w:val="Compact"/>
                    <w:jc w:val="left"/>
                    <w:jc w:val="center"/>
                  </w:pPr>
                  <w:r>
                    <w:t xml:space="preserve">I(quality_of_play)</w:t>
                  </w:r>
                </w:p>
              </w:tc>
              <w:tc>
                <w:tcPr/>
                <w:p>
                  <w:pPr>
                    <w:pStyle w:val="Compact"/>
                    <w:jc w:val="right"/>
                    <w:jc w:val="center"/>
                  </w:pPr>
                  <w:r>
                    <w:t xml:space="preserve">1</w:t>
                  </w:r>
                </w:p>
              </w:tc>
              <w:tc>
                <w:tcPr/>
                <w:p>
                  <w:pPr>
                    <w:pStyle w:val="Compact"/>
                    <w:jc w:val="right"/>
                    <w:jc w:val="center"/>
                  </w:pPr>
                  <w:r>
                    <w:t xml:space="preserve">13.447</w:t>
                  </w:r>
                </w:p>
              </w:tc>
              <w:tc>
                <w:tcPr/>
                <w:p>
                  <w:pPr>
                    <w:pStyle w:val="Compact"/>
                    <w:jc w:val="right"/>
                    <w:jc w:val="center"/>
                  </w:pPr>
                  <w:r>
                    <w:t xml:space="preserve">5061</w:t>
                  </w:r>
                </w:p>
              </w:tc>
              <w:tc>
                <w:tcPr/>
                <w:p>
                  <w:pPr>
                    <w:pStyle w:val="Compact"/>
                    <w:jc w:val="right"/>
                    <w:jc w:val="center"/>
                  </w:pPr>
                  <w:r>
                    <w:t xml:space="preserve">903.220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I(uncertain_outcome)</w:t>
                  </w:r>
                </w:p>
              </w:tc>
              <w:tc>
                <w:tcPr/>
                <w:p>
                  <w:pPr>
                    <w:pStyle w:val="Compact"/>
                    <w:jc w:val="right"/>
                    <w:jc w:val="center"/>
                  </w:pPr>
                  <w:r>
                    <w:t xml:space="preserve">1</w:t>
                  </w:r>
                </w:p>
              </w:tc>
              <w:tc>
                <w:tcPr/>
                <w:p>
                  <w:pPr>
                    <w:pStyle w:val="Compact"/>
                    <w:jc w:val="right"/>
                    <w:jc w:val="center"/>
                  </w:pPr>
                  <w:r>
                    <w:t xml:space="preserve">0.022</w:t>
                  </w:r>
                </w:p>
              </w:tc>
              <w:tc>
                <w:tcPr/>
                <w:p>
                  <w:pPr>
                    <w:pStyle w:val="Compact"/>
                    <w:jc w:val="right"/>
                    <w:jc w:val="center"/>
                  </w:pPr>
                  <w:r>
                    <w:t xml:space="preserve">5061</w:t>
                  </w:r>
                </w:p>
              </w:tc>
              <w:tc>
                <w:tcPr/>
                <w:p>
                  <w:pPr>
                    <w:pStyle w:val="Compact"/>
                    <w:jc w:val="right"/>
                    <w:jc w:val="center"/>
                  </w:pPr>
                  <w:r>
                    <w:t xml:space="preserve">916.644</w:t>
                  </w:r>
                </w:p>
              </w:tc>
              <w:tc>
                <w:tcPr/>
                <w:p>
                  <w:pPr>
                    <w:pStyle w:val="Compact"/>
                    <w:jc w:val="right"/>
                    <w:jc w:val="center"/>
                  </w:pPr>
                  <w:r>
                    <w:t xml:space="preserve">0.882</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22.602</w:t>
                  </w:r>
                </w:p>
              </w:tc>
              <w:tc>
                <w:tcPr/>
                <w:p>
                  <w:pPr>
                    <w:pStyle w:val="Compact"/>
                    <w:jc w:val="right"/>
                    <w:jc w:val="center"/>
                  </w:pPr>
                  <w:r>
                    <w:t xml:space="preserve">5010</w:t>
                  </w:r>
                </w:p>
              </w:tc>
              <w:tc>
                <w:tcPr/>
                <w:p>
                  <w:pPr>
                    <w:pStyle w:val="Compact"/>
                    <w:jc w:val="right"/>
                    <w:jc w:val="center"/>
                  </w:pPr>
                  <w:r>
                    <w:t xml:space="preserve">577.550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23.047</w:t>
                  </w:r>
                </w:p>
              </w:tc>
              <w:tc>
                <w:tcPr/>
                <w:p>
                  <w:pPr>
                    <w:pStyle w:val="Compact"/>
                    <w:jc w:val="right"/>
                    <w:jc w:val="center"/>
                  </w:pPr>
                  <w:r>
                    <w:t xml:space="preserve">5010</w:t>
                  </w:r>
                </w:p>
              </w:tc>
              <w:tc>
                <w:tcPr/>
                <w:p>
                  <w:pPr>
                    <w:pStyle w:val="Compact"/>
                    <w:jc w:val="right"/>
                    <w:jc w:val="center"/>
                  </w:pPr>
                  <w:r>
                    <w:t xml:space="preserve">587.921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22.752</w:t>
                  </w:r>
                </w:p>
              </w:tc>
              <w:tc>
                <w:tcPr/>
                <w:p>
                  <w:pPr>
                    <w:pStyle w:val="Compact"/>
                    <w:jc w:val="right"/>
                    <w:jc w:val="center"/>
                  </w:pPr>
                  <w:r>
                    <w:t xml:space="preserve">5010</w:t>
                  </w:r>
                </w:p>
              </w:tc>
              <w:tc>
                <w:tcPr/>
                <w:p>
                  <w:pPr>
                    <w:pStyle w:val="Compact"/>
                    <w:jc w:val="right"/>
                    <w:jc w:val="center"/>
                  </w:pPr>
                  <w:r>
                    <w:t xml:space="preserve">584.769</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0.773</w:t>
                  </w:r>
                </w:p>
              </w:tc>
              <w:tc>
                <w:tcPr/>
                <w:p>
                  <w:pPr>
                    <w:pStyle w:val="Compact"/>
                    <w:jc w:val="right"/>
                    <w:jc w:val="center"/>
                  </w:pPr>
                  <w:r>
                    <w:t xml:space="preserve">5012</w:t>
                  </w:r>
                </w:p>
              </w:tc>
              <w:tc>
                <w:tcPr/>
                <w:p>
                  <w:pPr>
                    <w:pStyle w:val="Compact"/>
                    <w:jc w:val="right"/>
                    <w:jc w:val="center"/>
                  </w:pPr>
                  <w:r>
                    <w:t xml:space="preserve">604.367</w:t>
                  </w:r>
                </w:p>
              </w:tc>
              <w:tc>
                <w:tcPr/>
                <w:p>
                  <w:pPr>
                    <w:pStyle w:val="Compact"/>
                    <w:jc w:val="right"/>
                    <w:jc w:val="center"/>
                  </w:pPr>
                  <w:r>
                    <w:t xml:space="preserve">0.379</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1.396</w:t>
                  </w:r>
                </w:p>
              </w:tc>
              <w:tc>
                <w:tcPr/>
                <w:p>
                  <w:pPr>
                    <w:pStyle w:val="Compact"/>
                    <w:jc w:val="right"/>
                    <w:jc w:val="center"/>
                  </w:pPr>
                  <w:r>
                    <w:t xml:space="preserve">5012</w:t>
                  </w:r>
                </w:p>
              </w:tc>
              <w:tc>
                <w:tcPr/>
                <w:p>
                  <w:pPr>
                    <w:pStyle w:val="Compact"/>
                    <w:jc w:val="right"/>
                    <w:jc w:val="center"/>
                  </w:pPr>
                  <w:r>
                    <w:t xml:space="preserve">614.730</w:t>
                  </w:r>
                </w:p>
              </w:tc>
              <w:tc>
                <w:tcPr/>
                <w:p>
                  <w:pPr>
                    <w:pStyle w:val="Compact"/>
                    <w:jc w:val="right"/>
                    <w:jc w:val="center"/>
                  </w:pPr>
                  <w:r>
                    <w:t xml:space="preserve">0.237</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1.148</w:t>
                  </w:r>
                </w:p>
              </w:tc>
              <w:tc>
                <w:tcPr/>
                <w:p>
                  <w:pPr>
                    <w:pStyle w:val="Compact"/>
                    <w:jc w:val="right"/>
                    <w:jc w:val="center"/>
                  </w:pPr>
                  <w:r>
                    <w:t xml:space="preserve">5012</w:t>
                  </w:r>
                </w:p>
              </w:tc>
              <w:tc>
                <w:tcPr/>
                <w:p>
                  <w:pPr>
                    <w:pStyle w:val="Compact"/>
                    <w:jc w:val="right"/>
                    <w:jc w:val="center"/>
                  </w:pPr>
                  <w:r>
                    <w:t xml:space="preserve">611.878</w:t>
                  </w:r>
                </w:p>
              </w:tc>
              <w:tc>
                <w:tcPr/>
                <w:p>
                  <w:pPr>
                    <w:pStyle w:val="Compact"/>
                    <w:jc w:val="right"/>
                    <w:jc w:val="center"/>
                  </w:pPr>
                  <w:r>
                    <w:t xml:space="preserve">0.284</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4.216</w:t>
                  </w:r>
                </w:p>
              </w:tc>
              <w:tc>
                <w:tcPr/>
                <w:p>
                  <w:pPr>
                    <w:pStyle w:val="Compact"/>
                    <w:jc w:val="right"/>
                    <w:jc w:val="center"/>
                  </w:pPr>
                  <w:r>
                    <w:t xml:space="preserve">5011</w:t>
                  </w:r>
                </w:p>
              </w:tc>
              <w:tc>
                <w:tcPr/>
                <w:p>
                  <w:pPr>
                    <w:pStyle w:val="Compact"/>
                    <w:jc w:val="right"/>
                    <w:jc w:val="center"/>
                  </w:pPr>
                  <w:r>
                    <w:t xml:space="preserve">600.151</w:t>
                  </w:r>
                </w:p>
              </w:tc>
              <w:tc>
                <w:tcPr/>
                <w:p>
                  <w:pPr>
                    <w:pStyle w:val="Compact"/>
                    <w:jc w:val="right"/>
                    <w:jc w:val="center"/>
                  </w:pPr>
                  <w:r>
                    <w:t xml:space="preserve">0.040</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3.762</w:t>
                  </w:r>
                </w:p>
              </w:tc>
              <w:tc>
                <w:tcPr/>
                <w:p>
                  <w:pPr>
                    <w:pStyle w:val="Compact"/>
                    <w:jc w:val="right"/>
                    <w:jc w:val="center"/>
                  </w:pPr>
                  <w:r>
                    <w:t xml:space="preserve">5011</w:t>
                  </w:r>
                </w:p>
              </w:tc>
              <w:tc>
                <w:tcPr/>
                <w:p>
                  <w:pPr>
                    <w:pStyle w:val="Compact"/>
                    <w:jc w:val="right"/>
                    <w:jc w:val="center"/>
                  </w:pPr>
                  <w:r>
                    <w:t xml:space="preserve">610.968</w:t>
                  </w:r>
                </w:p>
              </w:tc>
              <w:tc>
                <w:tcPr/>
                <w:p>
                  <w:pPr>
                    <w:pStyle w:val="Compact"/>
                    <w:jc w:val="right"/>
                    <w:jc w:val="center"/>
                  </w:pPr>
                  <w:r>
                    <w:t xml:space="preserve">0.052</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4.357</w:t>
                  </w:r>
                </w:p>
              </w:tc>
              <w:tc>
                <w:tcPr/>
                <w:p>
                  <w:pPr>
                    <w:pStyle w:val="Compact"/>
                    <w:jc w:val="right"/>
                    <w:jc w:val="center"/>
                  </w:pPr>
                  <w:r>
                    <w:t xml:space="preserve">5011</w:t>
                  </w:r>
                </w:p>
              </w:tc>
              <w:tc>
                <w:tcPr/>
                <w:p>
                  <w:pPr>
                    <w:pStyle w:val="Compact"/>
                    <w:jc w:val="right"/>
                    <w:jc w:val="center"/>
                  </w:pPr>
                  <w:r>
                    <w:t xml:space="preserve">607.521</w:t>
                  </w:r>
                </w:p>
              </w:tc>
              <w:tc>
                <w:tcPr/>
                <w:p>
                  <w:pPr>
                    <w:pStyle w:val="Compact"/>
                    <w:jc w:val="right"/>
                    <w:jc w:val="center"/>
                  </w:pPr>
                  <w:r>
                    <w:t xml:space="preserve">0.037</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13.224</w:t>
                  </w:r>
                </w:p>
              </w:tc>
              <w:tc>
                <w:tcPr/>
                <w:p>
                  <w:pPr>
                    <w:pStyle w:val="Compact"/>
                    <w:jc w:val="right"/>
                    <w:jc w:val="center"/>
                  </w:pPr>
                  <w:r>
                    <w:t xml:space="preserve">5025</w:t>
                  </w:r>
                </w:p>
              </w:tc>
              <w:tc>
                <w:tcPr/>
                <w:p>
                  <w:pPr>
                    <w:pStyle w:val="Compact"/>
                    <w:jc w:val="right"/>
                    <w:jc w:val="center"/>
                  </w:pPr>
                  <w:r>
                    <w:t xml:space="preserve">700.273</w:t>
                  </w:r>
                </w:p>
              </w:tc>
              <w:tc>
                <w:tcPr/>
                <w:p>
                  <w:pPr>
                    <w:pStyle w:val="Compact"/>
                    <w:jc w:val="right"/>
                    <w:jc w:val="center"/>
                  </w:pPr>
                  <w:r>
                    <w:t xml:space="preserve">0.010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13.216</w:t>
                  </w:r>
                </w:p>
              </w:tc>
              <w:tc>
                <w:tcPr/>
                <w:p>
                  <w:pPr>
                    <w:pStyle w:val="Compact"/>
                    <w:jc w:val="right"/>
                    <w:jc w:val="center"/>
                  </w:pPr>
                  <w:r>
                    <w:t xml:space="preserve">5025</w:t>
                  </w:r>
                </w:p>
              </w:tc>
              <w:tc>
                <w:tcPr/>
                <w:p>
                  <w:pPr>
                    <w:pStyle w:val="Compact"/>
                    <w:jc w:val="right"/>
                    <w:jc w:val="center"/>
                  </w:pPr>
                  <w:r>
                    <w:t xml:space="preserve">708.391</w:t>
                  </w:r>
                </w:p>
              </w:tc>
              <w:tc>
                <w:tcPr/>
                <w:p>
                  <w:pPr>
                    <w:pStyle w:val="Compact"/>
                    <w:jc w:val="right"/>
                    <w:jc w:val="center"/>
                  </w:pPr>
                  <w:r>
                    <w:t xml:space="preserve">0.010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13.157</w:t>
                  </w:r>
                </w:p>
              </w:tc>
              <w:tc>
                <w:tcPr/>
                <w:p>
                  <w:pPr>
                    <w:pStyle w:val="Compact"/>
                    <w:jc w:val="right"/>
                    <w:jc w:val="center"/>
                  </w:pPr>
                  <w:r>
                    <w:t xml:space="preserve">5025</w:t>
                  </w:r>
                </w:p>
              </w:tc>
              <w:tc>
                <w:tcPr/>
                <w:p>
                  <w:pPr>
                    <w:pStyle w:val="Compact"/>
                    <w:jc w:val="right"/>
                    <w:jc w:val="center"/>
                  </w:pPr>
                  <w:r>
                    <w:t xml:space="preserve">705.692</w:t>
                  </w:r>
                </w:p>
              </w:tc>
              <w:tc>
                <w:tcPr/>
                <w:p>
                  <w:pPr>
                    <w:pStyle w:val="Compact"/>
                    <w:jc w:val="right"/>
                    <w:jc w:val="center"/>
                  </w:pPr>
                  <w:r>
                    <w:t xml:space="preserve">0.011</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18.761</w:t>
                  </w:r>
                </w:p>
              </w:tc>
              <w:tc>
                <w:tcPr/>
                <w:p>
                  <w:pPr>
                    <w:pStyle w:val="Compact"/>
                    <w:jc w:val="right"/>
                    <w:jc w:val="center"/>
                  </w:pPr>
                  <w:r>
                    <w:t xml:space="preserve">5029</w:t>
                  </w:r>
                </w:p>
              </w:tc>
              <w:tc>
                <w:tcPr/>
                <w:p>
                  <w:pPr>
                    <w:pStyle w:val="Compact"/>
                    <w:jc w:val="right"/>
                    <w:jc w:val="center"/>
                  </w:pPr>
                  <w:r>
                    <w:t xml:space="preserve">713.497</w:t>
                  </w:r>
                </w:p>
              </w:tc>
              <w:tc>
                <w:tcPr/>
                <w:p>
                  <w:pPr>
                    <w:pStyle w:val="Compact"/>
                    <w:jc w:val="right"/>
                    <w:jc w:val="center"/>
                  </w:pPr>
                  <w:r>
                    <w:t xml:space="preserve">0.005</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18.436</w:t>
                  </w:r>
                </w:p>
              </w:tc>
              <w:tc>
                <w:tcPr/>
                <w:p>
                  <w:pPr>
                    <w:pStyle w:val="Compact"/>
                    <w:jc w:val="right"/>
                    <w:jc w:val="center"/>
                  </w:pPr>
                  <w:r>
                    <w:t xml:space="preserve">5029</w:t>
                  </w:r>
                </w:p>
              </w:tc>
              <w:tc>
                <w:tcPr/>
                <w:p>
                  <w:pPr>
                    <w:pStyle w:val="Compact"/>
                    <w:jc w:val="right"/>
                    <w:jc w:val="center"/>
                  </w:pPr>
                  <w:r>
                    <w:t xml:space="preserve">721.607</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18.612</w:t>
                  </w:r>
                </w:p>
              </w:tc>
              <w:tc>
                <w:tcPr/>
                <w:p>
                  <w:pPr>
                    <w:pStyle w:val="Compact"/>
                    <w:jc w:val="right"/>
                    <w:jc w:val="center"/>
                  </w:pPr>
                  <w:r>
                    <w:t xml:space="preserve">5029</w:t>
                  </w:r>
                </w:p>
              </w:tc>
              <w:tc>
                <w:tcPr/>
                <w:p>
                  <w:pPr>
                    <w:pStyle w:val="Compact"/>
                    <w:jc w:val="right"/>
                    <w:jc w:val="center"/>
                  </w:pPr>
                  <w:r>
                    <w:t xml:space="preserve">718.849</w:t>
                  </w:r>
                </w:p>
              </w:tc>
              <w:tc>
                <w:tcPr/>
                <w:p>
                  <w:pPr>
                    <w:pStyle w:val="Compact"/>
                    <w:jc w:val="right"/>
                    <w:jc w:val="center"/>
                  </w:pPr>
                  <w:r>
                    <w:t xml:space="preserve">0.005</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95.133</w:t>
                  </w:r>
                </w:p>
              </w:tc>
              <w:tc>
                <w:tcPr/>
                <w:p>
                  <w:pPr>
                    <w:pStyle w:val="Compact"/>
                    <w:jc w:val="right"/>
                    <w:jc w:val="center"/>
                  </w:pPr>
                  <w:r>
                    <w:t xml:space="preserve">5013</w:t>
                  </w:r>
                </w:p>
              </w:tc>
              <w:tc>
                <w:tcPr/>
                <w:p>
                  <w:pPr>
                    <w:pStyle w:val="Compact"/>
                    <w:jc w:val="right"/>
                    <w:jc w:val="center"/>
                  </w:pPr>
                  <w:r>
                    <w:t xml:space="preserve">605.140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92.266</w:t>
                  </w:r>
                </w:p>
              </w:tc>
              <w:tc>
                <w:tcPr/>
                <w:p>
                  <w:pPr>
                    <w:pStyle w:val="Compact"/>
                    <w:jc w:val="right"/>
                    <w:jc w:val="center"/>
                  </w:pPr>
                  <w:r>
                    <w:t xml:space="preserve">5013</w:t>
                  </w:r>
                </w:p>
              </w:tc>
              <w:tc>
                <w:tcPr/>
                <w:p>
                  <w:pPr>
                    <w:pStyle w:val="Compact"/>
                    <w:jc w:val="right"/>
                    <w:jc w:val="center"/>
                  </w:pPr>
                  <w:r>
                    <w:t xml:space="preserve">616.125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92.666</w:t>
                  </w:r>
                </w:p>
              </w:tc>
              <w:tc>
                <w:tcPr/>
                <w:p>
                  <w:pPr>
                    <w:pStyle w:val="Compact"/>
                    <w:jc w:val="right"/>
                    <w:jc w:val="center"/>
                  </w:pPr>
                  <w:r>
                    <w:t xml:space="preserve">5013</w:t>
                  </w:r>
                </w:p>
              </w:tc>
              <w:tc>
                <w:tcPr/>
                <w:p>
                  <w:pPr>
                    <w:pStyle w:val="Compact"/>
                    <w:jc w:val="right"/>
                    <w:jc w:val="center"/>
                  </w:pPr>
                  <w:r>
                    <w:t xml:space="preserve">613.026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I(loss_aversion):factor(season_id)</w:t>
                  </w:r>
                </w:p>
              </w:tc>
              <w:tc>
                <w:tcPr/>
                <w:p>
                  <w:pPr>
                    <w:pStyle w:val="Compact"/>
                    <w:jc w:val="right"/>
                    <w:jc w:val="center"/>
                  </w:pPr>
                  <w:r>
                    <w:t xml:space="preserve">26</w:t>
                  </w:r>
                </w:p>
              </w:tc>
              <w:tc>
                <w:tcPr/>
                <w:p>
                  <w:pPr>
                    <w:pStyle w:val="Compact"/>
                    <w:jc w:val="right"/>
                    <w:jc w:val="center"/>
                  </w:pPr>
                  <w:r>
                    <w:t xml:space="preserve">10.759</w:t>
                  </w:r>
                </w:p>
              </w:tc>
              <w:tc>
                <w:tcPr/>
                <w:p>
                  <w:pPr>
                    <w:pStyle w:val="Compact"/>
                    <w:jc w:val="right"/>
                    <w:jc w:val="center"/>
                  </w:pPr>
                  <w:r>
                    <w:t xml:space="preserve">4984</w:t>
                  </w:r>
                </w:p>
              </w:tc>
              <w:tc>
                <w:tcPr/>
                <w:p>
                  <w:pPr>
                    <w:pStyle w:val="Compact"/>
                    <w:jc w:val="right"/>
                    <w:jc w:val="center"/>
                  </w:pPr>
                  <w:r>
                    <w:t xml:space="preserve">574.011</w:t>
                  </w:r>
                </w:p>
              </w:tc>
              <w:tc>
                <w:tcPr/>
                <w:p>
                  <w:pPr>
                    <w:pStyle w:val="Compact"/>
                    <w:jc w:val="right"/>
                    <w:jc w:val="center"/>
                  </w:pPr>
                  <w:r>
                    <w:t xml:space="preserve">0.996</w:t>
                  </w:r>
                </w:p>
              </w:tc>
            </w:tr>
            <w:tr>
              <w:tc>
                <w:tcPr/>
                <w:p>
                  <w:pPr>
                    <w:pStyle w:val="Compact"/>
                    <w:jc w:val="left"/>
                    <w:jc w:val="center"/>
                  </w:pPr>
                  <w:r>
                    <w:t xml:space="preserve">f1</w:t>
                  </w:r>
                </w:p>
              </w:tc>
              <w:tc>
                <w:tcPr/>
                <w:p>
                  <w:pPr>
                    <w:pStyle w:val="Compact"/>
                    <w:jc w:val="left"/>
                    <w:jc w:val="center"/>
                  </w:pPr>
                  <w:r>
                    <w:t xml:space="preserve">I(quality_of_play):factor(season_id)</w:t>
                  </w:r>
                </w:p>
              </w:tc>
              <w:tc>
                <w:tcPr/>
                <w:p>
                  <w:pPr>
                    <w:pStyle w:val="Compact"/>
                    <w:jc w:val="right"/>
                    <w:jc w:val="center"/>
                  </w:pPr>
                  <w:r>
                    <w:t xml:space="preserve">26</w:t>
                  </w:r>
                </w:p>
              </w:tc>
              <w:tc>
                <w:tcPr/>
                <w:p>
                  <w:pPr>
                    <w:pStyle w:val="Compact"/>
                    <w:jc w:val="right"/>
                    <w:jc w:val="center"/>
                  </w:pPr>
                  <w:r>
                    <w:t xml:space="preserve">6.950</w:t>
                  </w:r>
                </w:p>
              </w:tc>
              <w:tc>
                <w:tcPr/>
                <w:p>
                  <w:pPr>
                    <w:pStyle w:val="Compact"/>
                    <w:jc w:val="right"/>
                    <w:jc w:val="center"/>
                  </w:pPr>
                  <w:r>
                    <w:t xml:space="preserve">4984</w:t>
                  </w:r>
                </w:p>
              </w:tc>
              <w:tc>
                <w:tcPr/>
                <w:p>
                  <w:pPr>
                    <w:pStyle w:val="Compact"/>
                    <w:jc w:val="right"/>
                    <w:jc w:val="center"/>
                  </w:pPr>
                  <w:r>
                    <w:t xml:space="preserve">570.600</w:t>
                  </w:r>
                </w:p>
              </w:tc>
              <w:tc>
                <w:tcPr/>
                <w:p>
                  <w:pPr>
                    <w:pStyle w:val="Compact"/>
                    <w:jc w:val="right"/>
                    <w:jc w:val="center"/>
                  </w:pPr>
                  <w:r>
                    <w:t xml:space="preserve">1.000</w:t>
                  </w:r>
                </w:p>
              </w:tc>
            </w:tr>
            <w:tr>
              <w:tc>
                <w:tcPr/>
                <w:p>
                  <w:pPr>
                    <w:pStyle w:val="Compact"/>
                    <w:jc w:val="left"/>
                    <w:jc w:val="center"/>
                  </w:pPr>
                  <w:r>
                    <w:t xml:space="preserve">f2</w:t>
                  </w:r>
                </w:p>
              </w:tc>
              <w:tc>
                <w:tcPr/>
                <w:p>
                  <w:pPr>
                    <w:pStyle w:val="Compact"/>
                    <w:jc w:val="left"/>
                    <w:jc w:val="center"/>
                  </w:pPr>
                  <w:r>
                    <w:t xml:space="preserve">I(uncertain_outcome):factor(season_id)</w:t>
                  </w:r>
                </w:p>
              </w:tc>
              <w:tc>
                <w:tcPr/>
                <w:p>
                  <w:pPr>
                    <w:pStyle w:val="Compact"/>
                    <w:jc w:val="right"/>
                    <w:jc w:val="center"/>
                  </w:pPr>
                  <w:r>
                    <w:t xml:space="preserve">26</w:t>
                  </w:r>
                </w:p>
              </w:tc>
              <w:tc>
                <w:tcPr/>
                <w:p>
                  <w:pPr>
                    <w:pStyle w:val="Compact"/>
                    <w:jc w:val="right"/>
                    <w:jc w:val="center"/>
                  </w:pPr>
                  <w:r>
                    <w:t xml:space="preserve">4.633</w:t>
                  </w:r>
                </w:p>
              </w:tc>
              <w:tc>
                <w:tcPr/>
                <w:p>
                  <w:pPr>
                    <w:pStyle w:val="Compact"/>
                    <w:jc w:val="right"/>
                    <w:jc w:val="center"/>
                  </w:pPr>
                  <w:r>
                    <w:t xml:space="preserve">4984</w:t>
                  </w:r>
                </w:p>
              </w:tc>
              <w:tc>
                <w:tcPr/>
                <w:p>
                  <w:pPr>
                    <w:pStyle w:val="Compact"/>
                    <w:jc w:val="right"/>
                    <w:jc w:val="center"/>
                  </w:pPr>
                  <w:r>
                    <w:t xml:space="preserve">583.288</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170.961</w:t>
                  </w:r>
                </w:p>
              </w:tc>
              <w:tc>
                <w:tcPr/>
                <w:p>
                  <w:pPr>
                    <w:pStyle w:val="Compact"/>
                    <w:jc w:val="right"/>
                    <w:jc w:val="center"/>
                  </w:pPr>
                  <w:r>
                    <w:t xml:space="preserve">5035</w:t>
                  </w:r>
                </w:p>
              </w:tc>
              <w:tc>
                <w:tcPr/>
                <w:p>
                  <w:pPr>
                    <w:pStyle w:val="Compact"/>
                    <w:jc w:val="right"/>
                    <w:jc w:val="center"/>
                  </w:pPr>
                  <w:r>
                    <w:t xml:space="preserve">732.259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176.601</w:t>
                  </w:r>
                </w:p>
              </w:tc>
              <w:tc>
                <w:tcPr/>
                <w:p>
                  <w:pPr>
                    <w:pStyle w:val="Compact"/>
                    <w:jc w:val="right"/>
                    <w:jc w:val="center"/>
                  </w:pPr>
                  <w:r>
                    <w:t xml:space="preserve">5035</w:t>
                  </w:r>
                </w:p>
              </w:tc>
              <w:tc>
                <w:tcPr/>
                <w:p>
                  <w:pPr>
                    <w:pStyle w:val="Compact"/>
                    <w:jc w:val="right"/>
                    <w:jc w:val="center"/>
                  </w:pPr>
                  <w:r>
                    <w:t xml:space="preserve">740.043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176.451</w:t>
                  </w:r>
                </w:p>
              </w:tc>
              <w:tc>
                <w:tcPr/>
                <w:p>
                  <w:pPr>
                    <w:pStyle w:val="Compact"/>
                    <w:jc w:val="right"/>
                    <w:jc w:val="center"/>
                  </w:pPr>
                  <w:r>
                    <w:t xml:space="preserve">5035</w:t>
                  </w:r>
                </w:p>
              </w:tc>
              <w:tc>
                <w:tcPr/>
                <w:p>
                  <w:pPr>
                    <w:pStyle w:val="Compact"/>
                    <w:jc w:val="right"/>
                    <w:jc w:val="center"/>
                  </w:pPr>
                  <w:r>
                    <w:t xml:space="preserve">737.461</w:t>
                  </w:r>
                </w:p>
              </w:tc>
              <w:tc>
                <w:tcPr/>
                <w:p>
                  <w:pPr>
                    <w:pStyle w:val="Compact"/>
                    <w:jc w:val="right"/>
                    <w:jc w:val="center"/>
                  </w:pPr>
                  <w:r>
                    <w:t xml:space="preserve">0.000</w:t>
                  </w:r>
                </w:p>
              </w:tc>
            </w:tr>
          </w:tbl>
          <w:bookmarkEnd w:id="15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6"/>
    <w:bookmarkStart w:id="206" w:name="sec-resid-attend"/>
    <w:p>
      <w:pPr>
        <w:pStyle w:val="Heading3"/>
      </w:pPr>
      <w:r>
        <w:t xml:space="preserve">6.2 Residual analysis of attendance models</w:t>
      </w:r>
    </w:p>
    <w:bookmarkStart w:id="205"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r>
              <w:br/>
            </w:r>
            <w:r>
              <w:br/>
            </w:r>
            <w:r>
              <w:rPr>
                <w:rStyle w:val="VerbatimChar"/>
              </w:rPr>
              <w:t xml:space="preserve">$f2</w:t>
            </w:r>
            <w:r>
              <w:br/>
            </w:r>
            <w:r>
              <w:rPr>
                <w:rStyle w:val="VerbatimChar"/>
              </w:rPr>
              <w:t xml:space="preserve">NULL</w:t>
            </w:r>
            <w:r>
              <w:br/>
            </w:r>
            <w:r>
              <w:br/>
            </w:r>
            <w:r>
              <w:rPr>
                <w:rStyle w:val="VerbatimChar"/>
              </w:rPr>
              <w:t xml:space="preserve">$f3</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60" w:name="fig-resids-1"/>
                <w:p>
                  <w:pPr>
                    <w:pStyle w:val="Compact"/>
                    <w:jc w:val="center"/>
                    <w:jc w:val="left"/>
                  </w:pPr>
                  <w:r>
                    <w:drawing>
                      <wp:inline>
                        <wp:extent cx="4620126" cy="3696101"/>
                        <wp:effectExtent b="0" l="0" r="0" t="0"/>
                        <wp:docPr descr="" title="" id="158" name="Picture"/>
                        <a:graphic>
                          <a:graphicData uri="http://schemas.openxmlformats.org/drawingml/2006/picture">
                            <pic:pic>
                              <pic:nvPicPr>
                                <pic:cNvPr descr="index_files/figure-docx/fig-resids-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13: Residual plots for models.</w:t>
                  </w:r>
                </w:p>
                <w:bookmarkEnd w:id="160"/>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4" w:name="fig-resids-2"/>
                <w:p>
                  <w:pPr>
                    <w:pStyle w:val="Compact"/>
                    <w:jc w:val="center"/>
                    <w:jc w:val="left"/>
                  </w:pPr>
                  <w:r>
                    <w:drawing>
                      <wp:inline>
                        <wp:extent cx="4620126" cy="3696101"/>
                        <wp:effectExtent b="0" l="0" r="0" t="0"/>
                        <wp:docPr descr="" title="" id="162" name="Picture"/>
                        <a:graphic>
                          <a:graphicData uri="http://schemas.openxmlformats.org/drawingml/2006/picture">
                            <pic:pic>
                              <pic:nvPicPr>
                                <pic:cNvPr descr="index_files/figure-docx/fig-resids-2.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14: Residual plots for models.</w:t>
                  </w:r>
                </w:p>
                <w:bookmarkEnd w:id="164"/>
              </w:tc>
            </w:tr>
          </w:tbl>
          <w:p/>
        </w:tc>
        <w:tc>
          <w:tcPr/>
          <w:tbl>
            <w:tblPr>
              <w:tblStyle w:val="Table"/>
              <w:tblW w:type="pct" w:w="5000"/>
              <w:tblLayout w:type="fixed"/>
              <w:tblLook w:firstRow="0" w:lastRow="0" w:firstColumn="0" w:lastColumn="0" w:noHBand="0" w:noVBand="0" w:val="0000"/>
            </w:tblPr>
            <w:tblGrid>
              <w:gridCol w:w="7920"/>
            </w:tblGrid>
            <w:tr>
              <w:tc>
                <w:tcPr/>
                <w:bookmarkStart w:id="168" w:name="fig-resids-3"/>
                <w:p>
                  <w:pPr>
                    <w:pStyle w:val="Compact"/>
                    <w:jc w:val="center"/>
                    <w:jc w:val="left"/>
                  </w:pPr>
                  <w:r>
                    <w:drawing>
                      <wp:inline>
                        <wp:extent cx="4620126" cy="3696101"/>
                        <wp:effectExtent b="0" l="0" r="0" t="0"/>
                        <wp:docPr descr="" title="" id="166" name="Picture"/>
                        <a:graphic>
                          <a:graphicData uri="http://schemas.openxmlformats.org/drawingml/2006/picture">
                            <pic:pic>
                              <pic:nvPicPr>
                                <pic:cNvPr descr="index_files/figure-docx/fig-resids-3.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15: Residual plots for models.</w:t>
                  </w:r>
                </w:p>
                <w:bookmarkEnd w:id="168"/>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72" w:name="fig-resids-4"/>
                <w:p>
                  <w:pPr>
                    <w:pStyle w:val="Compact"/>
                    <w:jc w:val="center"/>
                    <w:jc w:val="left"/>
                  </w:pPr>
                  <w:r>
                    <w:drawing>
                      <wp:inline>
                        <wp:extent cx="4620126" cy="3696101"/>
                        <wp:effectExtent b="0" l="0" r="0" t="0"/>
                        <wp:docPr descr="" title="" id="170" name="Picture"/>
                        <a:graphic>
                          <a:graphicData uri="http://schemas.openxmlformats.org/drawingml/2006/picture">
                            <pic:pic>
                              <pic:nvPicPr>
                                <pic:cNvPr descr="index_files/figure-docx/fig-resids-4.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16: Residual plots for models.</w:t>
                  </w:r>
                </w:p>
                <w:bookmarkEnd w:id="172"/>
              </w:tc>
            </w:tr>
          </w:tbl>
          <w:p/>
        </w:tc>
        <w:tc>
          <w:tcPr/>
          <w:tbl>
            <w:tblPr>
              <w:tblStyle w:val="Table"/>
              <w:tblW w:type="pct" w:w="5000"/>
              <w:tblLayout w:type="fixed"/>
              <w:tblLook w:firstRow="0" w:lastRow="0" w:firstColumn="0" w:lastColumn="0" w:noHBand="0" w:noVBand="0" w:val="0000"/>
            </w:tblPr>
            <w:tblGrid>
              <w:gridCol w:w="7920"/>
            </w:tblGrid>
            <w:tr>
              <w:tc>
                <w:tcPr/>
                <w:bookmarkStart w:id="176" w:name="fig-resids-5"/>
                <w:p>
                  <w:pPr>
                    <w:pStyle w:val="Compact"/>
                    <w:jc w:val="center"/>
                    <w:jc w:val="left"/>
                  </w:pPr>
                  <w:r>
                    <w:drawing>
                      <wp:inline>
                        <wp:extent cx="4620126" cy="3696101"/>
                        <wp:effectExtent b="0" l="0" r="0" t="0"/>
                        <wp:docPr descr="" title="" id="174" name="Picture"/>
                        <a:graphic>
                          <a:graphicData uri="http://schemas.openxmlformats.org/drawingml/2006/picture">
                            <pic:pic>
                              <pic:nvPicPr>
                                <pic:cNvPr descr="index_files/figure-docx/fig-resids-5.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76"/>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0" w:name="fig-resids-6"/>
                <w:p>
                  <w:pPr>
                    <w:pStyle w:val="Compact"/>
                    <w:jc w:val="center"/>
                    <w:jc w:val="left"/>
                  </w:pPr>
                  <w:r>
                    <w:drawing>
                      <wp:inline>
                        <wp:extent cx="4620126" cy="3696101"/>
                        <wp:effectExtent b="0" l="0" r="0" t="0"/>
                        <wp:docPr descr="" title="" id="178" name="Picture"/>
                        <a:graphic>
                          <a:graphicData uri="http://schemas.openxmlformats.org/drawingml/2006/picture">
                            <pic:pic>
                              <pic:nvPicPr>
                                <pic:cNvPr descr="index_files/figure-docx/fig-resids-6.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80"/>
              </w:tc>
            </w:tr>
          </w:tbl>
          <w:p/>
        </w:tc>
        <w:tc>
          <w:tcPr/>
          <w:tbl>
            <w:tblPr>
              <w:tblStyle w:val="Table"/>
              <w:tblW w:type="pct" w:w="5000"/>
              <w:tblLayout w:type="fixed"/>
              <w:tblLook w:firstRow="0" w:lastRow="0" w:firstColumn="0" w:lastColumn="0" w:noHBand="0" w:noVBand="0" w:val="0000"/>
            </w:tblPr>
            <w:tblGrid>
              <w:gridCol w:w="7920"/>
            </w:tblGrid>
            <w:tr>
              <w:tc>
                <w:tcPr/>
                <w:bookmarkStart w:id="184" w:name="fig-resids-7"/>
                <w:p>
                  <w:pPr>
                    <w:pStyle w:val="Compact"/>
                    <w:jc w:val="center"/>
                    <w:jc w:val="left"/>
                  </w:pPr>
                  <w:r>
                    <w:drawing>
                      <wp:inline>
                        <wp:extent cx="4620126" cy="3696101"/>
                        <wp:effectExtent b="0" l="0" r="0" t="0"/>
                        <wp:docPr descr="" title="" id="182" name="Picture"/>
                        <a:graphic>
                          <a:graphicData uri="http://schemas.openxmlformats.org/drawingml/2006/picture">
                            <pic:pic>
                              <pic:nvPicPr>
                                <pic:cNvPr descr="index_files/figure-docx/fig-resids-7.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84"/>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8" w:name="fig-resids-8"/>
                <w:p>
                  <w:pPr>
                    <w:pStyle w:val="Compact"/>
                    <w:jc w:val="center"/>
                    <w:jc w:val="left"/>
                  </w:pPr>
                  <w:r>
                    <w:drawing>
                      <wp:inline>
                        <wp:extent cx="4620126" cy="3696101"/>
                        <wp:effectExtent b="0" l="0" r="0" t="0"/>
                        <wp:docPr descr="" title="" id="186" name="Picture"/>
                        <a:graphic>
                          <a:graphicData uri="http://schemas.openxmlformats.org/drawingml/2006/picture">
                            <pic:pic>
                              <pic:nvPicPr>
                                <pic:cNvPr descr="index_files/figure-docx/fig-resids-8.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88"/>
              </w:tc>
            </w:tr>
          </w:tbl>
          <w:p/>
        </w:tc>
        <w:tc>
          <w:tcPr/>
          <w:tbl>
            <w:tblPr>
              <w:tblStyle w:val="Table"/>
              <w:tblW w:type="pct" w:w="5000"/>
              <w:tblLayout w:type="fixed"/>
              <w:tblLook w:firstRow="0" w:lastRow="0" w:firstColumn="0" w:lastColumn="0" w:noHBand="0" w:noVBand="0" w:val="0000"/>
            </w:tblPr>
            <w:tblGrid>
              <w:gridCol w:w="7920"/>
            </w:tblGrid>
            <w:tr>
              <w:tc>
                <w:tcPr/>
                <w:bookmarkStart w:id="192" w:name="fig-resids-9"/>
                <w:p>
                  <w:pPr>
                    <w:pStyle w:val="Compact"/>
                    <w:jc w:val="center"/>
                    <w:jc w:val="left"/>
                  </w:pPr>
                  <w:r>
                    <w:drawing>
                      <wp:inline>
                        <wp:extent cx="4620126" cy="3696101"/>
                        <wp:effectExtent b="0" l="0" r="0" t="0"/>
                        <wp:docPr descr="" title="" id="190" name="Picture"/>
                        <a:graphic>
                          <a:graphicData uri="http://schemas.openxmlformats.org/drawingml/2006/picture">
                            <pic:pic>
                              <pic:nvPicPr>
                                <pic:cNvPr descr="index_files/figure-docx/fig-resids-9.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 Residual plots for models.</w:t>
                  </w:r>
                </w:p>
                <w:bookmarkEnd w:id="192"/>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6" w:name="fig-resids-10"/>
                <w:p>
                  <w:pPr>
                    <w:pStyle w:val="Compact"/>
                    <w:jc w:val="center"/>
                    <w:jc w:val="left"/>
                  </w:pPr>
                  <w:r>
                    <w:drawing>
                      <wp:inline>
                        <wp:extent cx="4620126" cy="3696101"/>
                        <wp:effectExtent b="0" l="0" r="0" t="0"/>
                        <wp:docPr descr="" title="" id="194" name="Picture"/>
                        <a:graphic>
                          <a:graphicData uri="http://schemas.openxmlformats.org/drawingml/2006/picture">
                            <pic:pic>
                              <pic:nvPicPr>
                                <pic:cNvPr descr="index_files/figure-docx/fig-resids-10.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22: Residual plots for models.</w:t>
                  </w:r>
                </w:p>
                <w:bookmarkEnd w:id="196"/>
              </w:tc>
            </w:tr>
          </w:tbl>
          <w:p/>
        </w:tc>
        <w:tc>
          <w:tcPr/>
          <w:tbl>
            <w:tblPr>
              <w:tblStyle w:val="Table"/>
              <w:tblW w:type="pct" w:w="5000"/>
              <w:tblLayout w:type="fixed"/>
              <w:tblLook w:firstRow="0" w:lastRow="0" w:firstColumn="0" w:lastColumn="0" w:noHBand="0" w:noVBand="0" w:val="0000"/>
            </w:tblPr>
            <w:tblGrid>
              <w:gridCol w:w="7920"/>
            </w:tblGrid>
            <w:tr>
              <w:tc>
                <w:tcPr/>
                <w:bookmarkStart w:id="200" w:name="fig-resids-11"/>
                <w:p>
                  <w:pPr>
                    <w:pStyle w:val="Compact"/>
                    <w:jc w:val="center"/>
                    <w:jc w:val="left"/>
                  </w:pPr>
                  <w:r>
                    <w:drawing>
                      <wp:inline>
                        <wp:extent cx="4620126" cy="3696101"/>
                        <wp:effectExtent b="0" l="0" r="0" t="0"/>
                        <wp:docPr descr="" title="" id="198" name="Picture"/>
                        <a:graphic>
                          <a:graphicData uri="http://schemas.openxmlformats.org/drawingml/2006/picture">
                            <pic:pic>
                              <pic:nvPicPr>
                                <pic:cNvPr descr="index_files/figure-docx/fig-resids-1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23: Residual plots for models.</w:t>
                  </w:r>
                </w:p>
                <w:bookmarkEnd w:id="200"/>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204" w:name="fig-resids-12"/>
                <w:p>
                  <w:pPr>
                    <w:pStyle w:val="Compact"/>
                    <w:jc w:val="center"/>
                    <w:jc w:val="left"/>
                  </w:pPr>
                  <w:r>
                    <w:drawing>
                      <wp:inline>
                        <wp:extent cx="4620126" cy="3696101"/>
                        <wp:effectExtent b="0" l="0" r="0" t="0"/>
                        <wp:docPr descr="" title="" id="202" name="Picture"/>
                        <a:graphic>
                          <a:graphicData uri="http://schemas.openxmlformats.org/drawingml/2006/picture">
                            <pic:pic>
                              <pic:nvPicPr>
                                <pic:cNvPr descr="index_files/figure-docx/fig-resids-12.png" id="203" name="Picture"/>
                                <pic:cNvPicPr>
                                  <a:picLocks noChangeArrowheads="1" noChangeAspect="1"/>
                                </pic:cNvPicPr>
                              </pic:nvPicPr>
                              <pic:blipFill>
                                <a:blip r:embed="rId20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24: Residual plots for models.</w:t>
                  </w:r>
                </w:p>
                <w:bookmarkEnd w:id="204"/>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205"/>
    <w:bookmarkEnd w:id="206"/>
    <w:bookmarkEnd w:id="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13">
    <w:p>
      <w:pPr>
        <w:pStyle w:val="FootnoteText"/>
      </w:pPr>
      <w:r>
        <w:rPr>
          <w:rStyle w:val="FootnoteReference"/>
        </w:rPr>
        <w:footnoteRef/>
      </w:r>
      <w:r>
        <w:t xml:space="preserve"> </w:t>
      </w:r>
      <w:r>
        <w:t xml:space="preserve">We were only able to collect an estimate for the</w:t>
      </w:r>
      <w:r>
        <w:t xml:space="preserve"> </w:t>
      </w:r>
      <w:r>
        <w:rPr>
          <w:i/>
          <w:iCs/>
        </w:rPr>
        <w:t xml:space="preserve">current</w:t>
      </w:r>
      <w:r>
        <w:t xml:space="preserve"> </w:t>
      </w:r>
      <w:r>
        <w:t xml:space="preserve">arena capacity, which is not necessarily the same as the arena capacity on the day of the game.</w:t>
      </w:r>
    </w:p>
  </w:footnote>
  <w:footnote w:id="62">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population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157" Target="media/rId157.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70" Target="media/rId70.png" /><Relationship Type="http://schemas.openxmlformats.org/officeDocument/2006/relationships/image" Id="rId83" Target="media/rId83.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hyperlink" Id="rId147" Target="https://accessecon.com/pubs/eb/2003/volume1/eb-03a10003a.pdf" TargetMode="External" /><Relationship Type="http://schemas.openxmlformats.org/officeDocument/2006/relationships/hyperlink" Id="rId137" Target="https://doi.org/10.1002/(SICI)1099-1255(199611)11:6&lt;619::AID-JAE418&gt;3.0.CO;2-1" TargetMode="External" /><Relationship Type="http://schemas.openxmlformats.org/officeDocument/2006/relationships/hyperlink" Id="rId124" Target="https://doi.org/10.1002/mde.1308" TargetMode="External" /><Relationship Type="http://schemas.openxmlformats.org/officeDocument/2006/relationships/hyperlink" Id="rId132" Target="https://doi.org/10.1016/0304-4076(85)90158-7" TargetMode="External" /><Relationship Type="http://schemas.openxmlformats.org/officeDocument/2006/relationships/hyperlink" Id="rId143" Target="https://doi.org/10.1080/00031305.2016.1154108" TargetMode="External" /><Relationship Type="http://schemas.openxmlformats.org/officeDocument/2006/relationships/hyperlink" Id="rId145" Target="https://doi.org/10.1080/00031305.2019.1583913" TargetMode="External" /><Relationship Type="http://schemas.openxmlformats.org/officeDocument/2006/relationships/hyperlink" Id="rId130" Target="https://doi.org/10.1080/14660970.2022.2037218" TargetMode="External" /><Relationship Type="http://schemas.openxmlformats.org/officeDocument/2006/relationships/hyperlink" Id="rId120" Target="https://doi.org/10.1080/17430437.2017.1346620" TargetMode="External" /><Relationship Type="http://schemas.openxmlformats.org/officeDocument/2006/relationships/hyperlink" Id="rId105" Target="https://doi.org/10.1111/ecin.12061" TargetMode="External" /><Relationship Type="http://schemas.openxmlformats.org/officeDocument/2006/relationships/hyperlink" Id="rId113" Target="https://doi.org/10.1123/jsm.16.4.311" TargetMode="External" /><Relationship Type="http://schemas.openxmlformats.org/officeDocument/2006/relationships/hyperlink" Id="rId111" Target="https://doi.org/10.1123/jsm.2019-0404" TargetMode="External" /><Relationship Type="http://schemas.openxmlformats.org/officeDocument/2006/relationships/hyperlink" Id="rId101" Target="https://doi.org/10.1177/019372359001400102" TargetMode="External" /><Relationship Type="http://schemas.openxmlformats.org/officeDocument/2006/relationships/hyperlink" Id="rId122" Target="https://doi.org/10.1177/152700250200300204" TargetMode="External" /><Relationship Type="http://schemas.openxmlformats.org/officeDocument/2006/relationships/hyperlink" Id="rId103" Target="https://doi.org/10.1177/1527002504265957" TargetMode="External" /><Relationship Type="http://schemas.openxmlformats.org/officeDocument/2006/relationships/hyperlink" Id="rId109" Target="https://doi.org/10.1177/1527002508327387" TargetMode="External" /><Relationship Type="http://schemas.openxmlformats.org/officeDocument/2006/relationships/hyperlink" Id="rId128" Target="https://doi.org/10.1177/1527002509337212" TargetMode="External" /><Relationship Type="http://schemas.openxmlformats.org/officeDocument/2006/relationships/hyperlink" Id="rId107" Target="https://doi.org/10.1177/155862350800300105" TargetMode="External" /><Relationship Type="http://schemas.openxmlformats.org/officeDocument/2006/relationships/hyperlink" Id="rId118" Target="https://doi.org/10.32614/cran.package.wehoop" TargetMode="External" /><Relationship Type="http://schemas.openxmlformats.org/officeDocument/2006/relationships/hyperlink" Id="rId139" Target="https://doi.org/10.3390/ijfs7010012" TargetMode="External" /><Relationship Type="http://schemas.openxmlformats.org/officeDocument/2006/relationships/hyperlink" Id="rId126"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16" Target="https://polecom.org/index.php/polecom/article/view/119" TargetMode="External" /><Relationship Type="http://schemas.openxmlformats.org/officeDocument/2006/relationships/hyperlink" Id="rId99" Target="https://www.acrossthetimeline.com/wnba/attendance.html" TargetMode="External" /><Relationship Type="http://schemas.openxmlformats.org/officeDocument/2006/relationships/hyperlink" Id="rId134" Target="https://www.jstor.org/stable/1924766" TargetMode="External" /><Relationship Type="http://schemas.openxmlformats.org/officeDocument/2006/relationships/hyperlink" Id="rId149"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47" Target="https://accessecon.com/pubs/eb/2003/volume1/eb-03a10003a.pdf" TargetMode="External" /><Relationship Type="http://schemas.openxmlformats.org/officeDocument/2006/relationships/hyperlink" Id="rId137" Target="https://doi.org/10.1002/(SICI)1099-1255(199611)11:6&lt;619::AID-JAE418&gt;3.0.CO;2-1" TargetMode="External" /><Relationship Type="http://schemas.openxmlformats.org/officeDocument/2006/relationships/hyperlink" Id="rId124" Target="https://doi.org/10.1002/mde.1308" TargetMode="External" /><Relationship Type="http://schemas.openxmlformats.org/officeDocument/2006/relationships/hyperlink" Id="rId132" Target="https://doi.org/10.1016/0304-4076(85)90158-7" TargetMode="External" /><Relationship Type="http://schemas.openxmlformats.org/officeDocument/2006/relationships/hyperlink" Id="rId143" Target="https://doi.org/10.1080/00031305.2016.1154108" TargetMode="External" /><Relationship Type="http://schemas.openxmlformats.org/officeDocument/2006/relationships/hyperlink" Id="rId145" Target="https://doi.org/10.1080/00031305.2019.1583913" TargetMode="External" /><Relationship Type="http://schemas.openxmlformats.org/officeDocument/2006/relationships/hyperlink" Id="rId130" Target="https://doi.org/10.1080/14660970.2022.2037218" TargetMode="External" /><Relationship Type="http://schemas.openxmlformats.org/officeDocument/2006/relationships/hyperlink" Id="rId120" Target="https://doi.org/10.1080/17430437.2017.1346620" TargetMode="External" /><Relationship Type="http://schemas.openxmlformats.org/officeDocument/2006/relationships/hyperlink" Id="rId105" Target="https://doi.org/10.1111/ecin.12061" TargetMode="External" /><Relationship Type="http://schemas.openxmlformats.org/officeDocument/2006/relationships/hyperlink" Id="rId113" Target="https://doi.org/10.1123/jsm.16.4.311" TargetMode="External" /><Relationship Type="http://schemas.openxmlformats.org/officeDocument/2006/relationships/hyperlink" Id="rId111" Target="https://doi.org/10.1123/jsm.2019-0404" TargetMode="External" /><Relationship Type="http://schemas.openxmlformats.org/officeDocument/2006/relationships/hyperlink" Id="rId101" Target="https://doi.org/10.1177/019372359001400102" TargetMode="External" /><Relationship Type="http://schemas.openxmlformats.org/officeDocument/2006/relationships/hyperlink" Id="rId122" Target="https://doi.org/10.1177/152700250200300204" TargetMode="External" /><Relationship Type="http://schemas.openxmlformats.org/officeDocument/2006/relationships/hyperlink" Id="rId103" Target="https://doi.org/10.1177/1527002504265957" TargetMode="External" /><Relationship Type="http://schemas.openxmlformats.org/officeDocument/2006/relationships/hyperlink" Id="rId109" Target="https://doi.org/10.1177/1527002508327387" TargetMode="External" /><Relationship Type="http://schemas.openxmlformats.org/officeDocument/2006/relationships/hyperlink" Id="rId128" Target="https://doi.org/10.1177/1527002509337212" TargetMode="External" /><Relationship Type="http://schemas.openxmlformats.org/officeDocument/2006/relationships/hyperlink" Id="rId107" Target="https://doi.org/10.1177/155862350800300105" TargetMode="External" /><Relationship Type="http://schemas.openxmlformats.org/officeDocument/2006/relationships/hyperlink" Id="rId118" Target="https://doi.org/10.32614/cran.package.wehoop" TargetMode="External" /><Relationship Type="http://schemas.openxmlformats.org/officeDocument/2006/relationships/hyperlink" Id="rId139" Target="https://doi.org/10.3390/ijfs7010012" TargetMode="External" /><Relationship Type="http://schemas.openxmlformats.org/officeDocument/2006/relationships/hyperlink" Id="rId126"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16" Target="https://polecom.org/index.php/polecom/article/view/119" TargetMode="External" /><Relationship Type="http://schemas.openxmlformats.org/officeDocument/2006/relationships/hyperlink" Id="rId99" Target="https://www.acrossthetimeline.com/wnba/attendance.html" TargetMode="External" /><Relationship Type="http://schemas.openxmlformats.org/officeDocument/2006/relationships/hyperlink" Id="rId134" Target="https://www.jstor.org/stable/1924766" TargetMode="External" /><Relationship Type="http://schemas.openxmlformats.org/officeDocument/2006/relationships/hyperlink" Id="rId149"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cp:keywords>
  <dcterms:created xsi:type="dcterms:W3CDTF">2026-06-11T18:08:26Z</dcterms:created>
  <dcterms:modified xsi:type="dcterms:W3CDTF">2026-06-11T18:08:26Z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2026-06-11</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