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NOTA SUMBER PENGAJARAN</w:t>
      </w:r>
    </w:p>
    <w:p>
      <w:pPr>
        <w:jc w:val="center"/>
      </w:pPr>
      <w:r>
        <w:rPr>
          <w:b/>
          <w:sz w:val="28"/>
        </w:rPr>
        <w:t>ARNAB DENGAN KURA-KURA: MARI BERCERITA DIGITAL</w:t>
      </w:r>
    </w:p>
    <w:p>
      <w:pPr>
        <w:jc w:val="center"/>
      </w:pPr>
      <w:r>
        <w:rPr>
          <w:i/>
        </w:rPr>
        <w:t>Bahasa Melayu Tahun 4 | Fokus: SK 1.3, SP 1.3.1 | Sistem Bahasa: Fonologi</w:t>
      </w:r>
    </w:p>
    <w:p>
      <w:pPr>
        <w:pStyle w:val="Heading1"/>
      </w:pPr>
      <w:r>
        <w:t>1. Tujuan Nota</w:t>
      </w:r>
    </w:p>
    <w:p>
      <w:r>
        <w:t>Nota ini ialah bahan sokongan untuk membantu guru merancang aktiviti penceritaan lisan berasaskan fabel “Arnab dengan Kura-kura”. Fokus utama ialah kebolehan murid bercerita dengan sebutan dan intonasi yang sesuai. Nota ini bukan dokumen rasmi Kementerian Pendidikan Malaysia dan hendaklah disemak bersama DSKP Bahasa Melayu Tahun 4 yang digunakan oleh sekolah.</w:t>
      </w:r>
    </w:p>
    <w:p>
      <w:pPr>
        <w:pStyle w:val="Heading1"/>
      </w:pPr>
      <w:r>
        <w:t>2. Maklumat Kurikulum</w:t>
      </w:r>
    </w:p>
    <w:p>
      <w:r>
        <w:t>Mata pelajaran: Bahasa Melayu</w:t>
      </w:r>
    </w:p>
    <w:p>
      <w:r>
        <w:t>Tahun: 4</w:t>
      </w:r>
    </w:p>
    <w:p>
      <w:r>
        <w:t>Standard Kandungan (SK) 1.3: Bercerita, dan menceritakan perkara yang didengar, ditonton dan dibaca dengan sebutan dan intonasi yang betul.</w:t>
      </w:r>
    </w:p>
    <w:p>
      <w:r>
        <w:t>Standard Pembelajaran (SP) 1.3.1: Bercerita dengan sebutan dan intonasi yang sesuai.</w:t>
      </w:r>
    </w:p>
    <w:p>
      <w:r>
        <w:t>Fokus pengajaran: Murid menyampaikan semula cerita secara lisan dengan sebutan jelas, intonasi sesuai, jeda yang munasabah dan urutan cerita yang teratur.</w:t>
      </w:r>
    </w:p>
    <w:p>
      <w:r>
        <w:t>Nota: Sahkan ejaan dan frasa SK/SP dengan salinan DSKP rasmi yang ditetapkan oleh pensyarah atau sekolah.</w:t>
      </w:r>
    </w:p>
    <w:p>
      <w:pPr>
        <w:pStyle w:val="Heading1"/>
      </w:pPr>
      <w:r>
        <w:t>3. Ringkasan Cerita</w:t>
      </w:r>
    </w:p>
    <w:p>
      <w:r>
        <w:t>Pada suatu hari, seekor Arnab yang pantas berlari berasa bangga akan kebolehannya. Arnab mengejek Kura-kura yang bergerak perlahan. Kura-kura berasa sedih tetapi tetap tenang lalu mencadangkan satu perlumbaan. Haiwan-haiwan hutan berkumpul untuk menyaksikan perlumbaan itu. Apabila perlumbaan bermula, Arnab berlari jauh di hadapan. Oleh sebab terlalu yakin, Arnab berhenti berehat di bawah pokok dan akhirnya tertidur. Kura-kura pula terus bergerak sedikit demi sedikit tanpa berputus asa. Ketika Arnab terjaga, Kura-kura sudah hampir ke garisan penamat. Arnab berlari sekuat hati, namun Kura-kura tiba dahulu. Arnab menyedari bahawa kesombongan dan sikap sambil lewa boleh membawa kerugian, manakala ketekunan membantu seseorang mencapai matlamat.</w:t>
      </w:r>
    </w:p>
    <w:p>
      <w:r>
        <w:t>Peringatan: Cerita ini ialah ringkasan adaptasi fabel yang lazim diceritakan. Jika tugasan memerlukan versi tertentu, gunakan teks sebenar daripada buku atau sumber yang dipilih dan utamakan versi tersebut.</w:t>
      </w:r>
    </w:p>
    <w:p>
      <w:pPr>
        <w:pStyle w:val="Heading1"/>
      </w:pPr>
      <w:r>
        <w:t>4. Watak dan Perwatakan</w:t>
      </w:r>
    </w:p>
    <w:p>
      <w:pPr>
        <w:pStyle w:val="ListBullet"/>
      </w:pPr>
      <w:r>
        <w:t>Arnab: pantas, yakin akan kebolehan diri, pada awalnya sombong dan terlalu yakin; akhirnya belajar daripada kesilapan.</w:t>
      </w:r>
    </w:p>
    <w:p>
      <w:pPr>
        <w:pStyle w:val="ListBullet"/>
      </w:pPr>
      <w:r>
        <w:t>Kura-kura: bergerak perlahan, sabar, tekun, berdisiplin dan tidak mudah berputus asa.</w:t>
      </w:r>
    </w:p>
    <w:p>
      <w:pPr>
        <w:pStyle w:val="ListBullet"/>
      </w:pPr>
      <w:r>
        <w:t>Haiwan penonton: memberikan suasana perlumbaan dan boleh berfungsi sebagai watak sokongan dalam lakonan murid.</w:t>
      </w:r>
    </w:p>
    <w:p>
      <w:pPr>
        <w:pStyle w:val="Heading1"/>
      </w:pPr>
      <w:r>
        <w:t>5. Tema, Nilai dan Pengajaran</w:t>
      </w:r>
    </w:p>
    <w:p>
      <w:r>
        <w:t>Tema: Kesungguhan dan ketekunan dalam mencapai matlamat.</w:t>
      </w:r>
    </w:p>
    <w:p>
      <w:r>
        <w:t>Nilai murni:</w:t>
      </w:r>
    </w:p>
    <w:p>
      <w:pPr>
        <w:pStyle w:val="ListBullet"/>
      </w:pPr>
      <w:r>
        <w:t>Ketekunan — meneruskan usaha walaupun kemajuan berlaku secara perlahan.</w:t>
      </w:r>
    </w:p>
    <w:p>
      <w:pPr>
        <w:pStyle w:val="ListBullet"/>
      </w:pPr>
      <w:r>
        <w:t>Kesabaran — tidak terburu-buru dan kekal tenang ketika menghadapi cabaran.</w:t>
      </w:r>
    </w:p>
    <w:p>
      <w:pPr>
        <w:pStyle w:val="ListBullet"/>
      </w:pPr>
      <w:r>
        <w:t>Rendah hati — tidak memandang rendah kebolehan orang lain.</w:t>
      </w:r>
    </w:p>
    <w:p>
      <w:pPr>
        <w:pStyle w:val="ListBullet"/>
      </w:pPr>
      <w:r>
        <w:t>Disiplin — terus berusaha dan tidak leka ketika melaksanakan tugas.</w:t>
      </w:r>
    </w:p>
    <w:p>
      <w:pPr>
        <w:pStyle w:val="ListBullet"/>
      </w:pPr>
      <w:r>
        <w:t>Keberanian — berani mencuba sesuatu cabaran.</w:t>
      </w:r>
    </w:p>
    <w:p>
      <w:r>
        <w:t>Pengajaran:</w:t>
      </w:r>
    </w:p>
    <w:p>
      <w:pPr>
        <w:pStyle w:val="ListBullet"/>
      </w:pPr>
      <w:r>
        <w:t>Jangan bersikap sombong atau memperlekeh orang lain.</w:t>
      </w:r>
    </w:p>
    <w:p>
      <w:pPr>
        <w:pStyle w:val="ListBullet"/>
      </w:pPr>
      <w:r>
        <w:t>Usaha yang konsisten lebih berguna daripada terlalu yakin tanpa tindakan.</w:t>
      </w:r>
    </w:p>
    <w:p>
      <w:pPr>
        <w:pStyle w:val="ListBullet"/>
      </w:pPr>
      <w:r>
        <w:t>Teruskan usaha walaupun menghadapi cabaran.</w:t>
      </w:r>
    </w:p>
    <w:p>
      <w:pPr>
        <w:pStyle w:val="ListBullet"/>
      </w:pPr>
      <w:r>
        <w:t>Gunakan masa dengan bijak dan elakkan sikap sambil lewa.</w:t>
      </w:r>
    </w:p>
    <w:p>
      <w:pPr>
        <w:pStyle w:val="Heading1"/>
      </w:pPr>
      <w:r>
        <w:t>6. Fokus Fonologi untuk Penceritaan</w:t>
      </w:r>
    </w:p>
    <w:p>
      <w:r>
        <w:t>Fonologi mengkaji sistem bunyi bahasa. Dalam aktiviti ini, perhatian diberikan kepada penghasilan bunyi pertuturan dan cara murid menggunakan ciri prosodi ketika menyampaikan cerita. Guru hendaklah menggunakan contoh sebutan Bahasa Melayu standard dan merujuk sumber bahasa yang sahih apabila perlu.</w:t>
      </w:r>
    </w:p>
    <w:p>
      <w:pPr>
        <w:pStyle w:val="Heading2"/>
      </w:pPr>
      <w:r>
        <w:t>6.1 Sebutan</w:t>
      </w:r>
    </w:p>
    <w:p>
      <w:r>
        <w:t>Murid menyebut perkataan dengan jelas dan dapat difahami. Guru boleh memilih perkataan daripada teks sebenar yang mungkin sukar disebut oleh murid, kemudian memodelkan sebutan dan meminta murid mengulanginya. Elakkan menganggap sesuatu sebutan salah tanpa menyemak konteks dan rujukan yang sesuai.</w:t>
      </w:r>
    </w:p>
    <w:p>
      <w:pPr>
        <w:pStyle w:val="Heading2"/>
      </w:pPr>
      <w:r>
        <w:t>6.2 Intonasi</w:t>
      </w:r>
    </w:p>
    <w:p>
      <w:r>
        <w:t>Intonasi ialah perubahan nada suara semasa bertutur. Murid perlu menyesuaikan nada dengan maksud ayat dan situasi cerita. Contohnya, soalan disampaikan sebagai pertanyaan, seruan dengan nada yang menunjukkan emosi yang sesuai, dan ayat penyata dengan nada yang sepadan dengan konteks.</w:t>
      </w:r>
    </w:p>
    <w:p>
      <w:pPr>
        <w:pStyle w:val="Heading2"/>
      </w:pPr>
      <w:r>
        <w:t>6.3 Jeda</w:t>
      </w:r>
    </w:p>
    <w:p>
      <w:r>
        <w:t>Jeda ialah hentian seketika semasa bertutur. Jeda membantu pendengar memahami maksud dan memisahkan unit makna. Untuk latihan, guru boleh menggunakan / bagi jeda pendek dan // bagi jeda lebih panjang. Simbol ini ialah panduan pengajaran, bukan transkripsi fonetik rasmi.</w:t>
      </w:r>
    </w:p>
    <w:p>
      <w:pPr>
        <w:pStyle w:val="Heading2"/>
      </w:pPr>
      <w:r>
        <w:t>6.4 Tekanan dan kelancaran</w:t>
      </w:r>
    </w:p>
    <w:p>
      <w:r>
        <w:t>Tekanan digunakan untuk menonjolkan perkataan penting tanpa menjerit. Kelancaran merujuk kepada penyampaian yang berterusan, mudah diikuti dan tidak terlalu kerap terhenti. Murid juga perlu mengekalkan urutan peristiwa supaya penceritaan jelas.</w:t>
      </w:r>
    </w:p>
    <w:p>
      <w:pPr>
        <w:pStyle w:val="Heading1"/>
      </w:pPr>
      <w:r>
        <w:t>7. Contoh Dialog untuk Latihan Lisan</w:t>
      </w:r>
    </w:p>
    <w:p>
      <w:r>
        <w:rPr>
          <w:b/>
        </w:rPr>
        <w:t xml:space="preserve">Arnab (mengejek): </w:t>
      </w:r>
      <w:r>
        <w:t>“Kura-kura, / kamu bergerak terlalu perlahan!”</w:t>
      </w:r>
    </w:p>
    <w:p>
      <w:r>
        <w:rPr>
          <w:b/>
        </w:rPr>
        <w:t xml:space="preserve">Kura-kura (tenang): </w:t>
      </w:r>
      <w:r>
        <w:t>“Walaupun saya perlahan, // saya akan terus berusaha.”</w:t>
      </w:r>
    </w:p>
    <w:p>
      <w:r>
        <w:rPr>
          <w:b/>
        </w:rPr>
        <w:t xml:space="preserve">Arnab (yakin): </w:t>
      </w:r>
      <w:r>
        <w:t>“Saya pasti akan menang dengan mudah!”</w:t>
      </w:r>
    </w:p>
    <w:p>
      <w:r>
        <w:rPr>
          <w:b/>
        </w:rPr>
        <w:t xml:space="preserve">Pencerita: </w:t>
      </w:r>
      <w:r>
        <w:t>“Perlumbaan pun bermula. / Arnab berlari jauh di hadapan.”</w:t>
      </w:r>
    </w:p>
    <w:p>
      <w:r>
        <w:rPr>
          <w:b/>
        </w:rPr>
        <w:t xml:space="preserve">Pencerita (cemas): </w:t>
      </w:r>
      <w:r>
        <w:t>“Apabila Arnab terjaga, // Kura-kura sudah hampir ke garisan penamat!”</w:t>
      </w:r>
    </w:p>
    <w:p>
      <w:r>
        <w:rPr>
          <w:b/>
        </w:rPr>
        <w:t xml:space="preserve">Haiwan penonton (gembira): </w:t>
      </w:r>
      <w:r>
        <w:t>“Syabas, Kura-kura!”</w:t>
      </w:r>
    </w:p>
    <w:p>
      <w:r>
        <w:t>Nota guru: Dialog ini ialah contoh adaptasi untuk latihan dan bukan petikan daripada edisi tertentu. Guru boleh mengubahnya agar sepadan dengan teks cerita yang dimuat naik.</w:t>
      </w:r>
    </w:p>
    <w:p>
      <w:pPr>
        <w:pStyle w:val="Heading1"/>
      </w:pPr>
      <w:r>
        <w:t>8. Cadangan Struktur Penceritaan 7 Babak</w:t>
      </w:r>
    </w:p>
    <w:p>
      <w:pPr>
        <w:pStyle w:val="Heading2"/>
      </w:pPr>
      <w:r>
        <w:t>Babak 1 — Di Hutan</w:t>
      </w:r>
    </w:p>
    <w:p>
      <w:r>
        <w:t>Perkenalkan Arnab, Kura-kura dan suasana hutan. Murid berlatih menyampaikan naratif pembukaan dengan jelas.</w:t>
      </w:r>
    </w:p>
    <w:p>
      <w:pPr>
        <w:pStyle w:val="Heading2"/>
      </w:pPr>
      <w:r>
        <w:t>Babak 2 — Ejekan Arnab</w:t>
      </w:r>
    </w:p>
    <w:p>
      <w:r>
        <w:t>Arnab memperlekeh Kura-kura. Murid melakonkan dialog dengan intonasi mengejek yang terkawal dan sesuai.</w:t>
      </w:r>
    </w:p>
    <w:p>
      <w:pPr>
        <w:pStyle w:val="Heading2"/>
      </w:pPr>
      <w:r>
        <w:t>Babak 3 — Cabaran Perlumbaan</w:t>
      </w:r>
    </w:p>
    <w:p>
      <w:r>
        <w:t>Kura-kura mencadangkan perlumbaan. Murid menggunakan intonasi yang sesuai untuk ayat cadangan dan respons.</w:t>
      </w:r>
    </w:p>
    <w:p>
      <w:pPr>
        <w:pStyle w:val="Heading2"/>
      </w:pPr>
      <w:r>
        <w:t>Babak 4 — Perlumbaan Bermula</w:t>
      </w:r>
    </w:p>
    <w:p>
      <w:r>
        <w:t>Arnab berlari laju dan Kura-kura bergerak secara konsisten. Murid menyusun peristiwa dengan penanda urutan.</w:t>
      </w:r>
    </w:p>
    <w:p>
      <w:pPr>
        <w:pStyle w:val="Heading2"/>
      </w:pPr>
      <w:r>
        <w:t>Babak 5 — Arnab Berehat</w:t>
      </w:r>
    </w:p>
    <w:p>
      <w:r>
        <w:t>Arnab terlalu yakin lalu berhenti dan tertidur. Murid menggunakan jeda untuk membina suspens.</w:t>
      </w:r>
    </w:p>
    <w:p>
      <w:pPr>
        <w:pStyle w:val="Heading2"/>
      </w:pPr>
      <w:r>
        <w:t>Babak 6 — Kura-kura Hampir Menang</w:t>
      </w:r>
    </w:p>
    <w:p>
      <w:r>
        <w:t>Kura-kura terus bergerak ke garisan penamat. Murid menyesuaikan intonasi dengan suasana cemas.</w:t>
      </w:r>
    </w:p>
    <w:p>
      <w:pPr>
        <w:pStyle w:val="Heading2"/>
      </w:pPr>
      <w:r>
        <w:t>Babak 7 — Pengakhiran</w:t>
      </w:r>
    </w:p>
    <w:p>
      <w:r>
        <w:t>Kura-kura menang dan Arnab belajar daripada kesilapan. Murid menyampaikan pengajaran dengan nada yang sesuai.</w:t>
      </w:r>
    </w:p>
    <w:p>
      <w:pPr>
        <w:pStyle w:val="Heading1"/>
      </w:pPr>
      <w:r>
        <w:t>9. Aktiviti Pembelajaran</w:t>
      </w:r>
    </w:p>
    <w:p>
      <w:pPr>
        <w:pStyle w:val="ListNumber"/>
      </w:pPr>
      <w:r>
        <w:t>Dengar dan tiru: Guru membaca satu dialog dengan sebutan dan intonasi sesuai; murid mengulanginya.</w:t>
      </w:r>
    </w:p>
    <w:p>
      <w:pPr>
        <w:pStyle w:val="ListNumber"/>
      </w:pPr>
      <w:r>
        <w:t>Latihan dialog berpasangan: Seorang murid menjadi Arnab dan seorang lagi menjadi Kura-kura.</w:t>
      </w:r>
    </w:p>
    <w:p>
      <w:pPr>
        <w:pStyle w:val="ListNumber"/>
      </w:pPr>
      <w:r>
        <w:t>Cerita bergambar: Murid menyusun gambar mengikut urutan dan menceritakan semula cerita menggunakan ayat sendiri.</w:t>
      </w:r>
    </w:p>
    <w:p>
      <w:pPr>
        <w:pStyle w:val="ListNumber"/>
      </w:pPr>
      <w:r>
        <w:t>Penceritaan berkumpulan: Setiap kumpulan menyampaikan satu atau dua babak dengan naratif dan dialog.</w:t>
      </w:r>
    </w:p>
    <w:p>
      <w:pPr>
        <w:pStyle w:val="ListNumber"/>
      </w:pPr>
      <w:r>
        <w:t>Penceritaan individu: Murid menceritakan semula keseluruhan cerita atau satu babak tanpa membaca teks sepenuhnya.</w:t>
      </w:r>
    </w:p>
    <w:p>
      <w:pPr>
        <w:pStyle w:val="ListNumber"/>
      </w:pPr>
      <w:r>
        <w:t>Refleksi kendiri: Murid menyatakan satu kekuatan dan satu aspek pertuturan yang mahu diperbaik.</w:t>
      </w:r>
    </w:p>
    <w:p>
      <w:pPr>
        <w:pStyle w:val="Heading1"/>
      </w:pPr>
      <w:r>
        <w:t>10. Cadangan Pentaksiran Lisan</w:t>
      </w:r>
    </w:p>
    <w:p>
      <w:r>
        <w:t>Gunakan skala empat tahap berikut sebagai rubrik contoh. Sesuaikan dengan format pentaksiran sekolah dan Standard Prestasi dalam DSKP rasmi.</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Aspek</w:t>
            </w:r>
          </w:p>
        </w:tc>
        <w:tc>
          <w:tcPr>
            <w:tcW w:type="dxa" w:w="1987"/>
          </w:tcPr>
          <w:p>
            <w:r>
              <w:t>Tahap 4</w:t>
            </w:r>
          </w:p>
        </w:tc>
        <w:tc>
          <w:tcPr>
            <w:tcW w:type="dxa" w:w="1987"/>
          </w:tcPr>
          <w:p>
            <w:r>
              <w:t>Tahap 3</w:t>
            </w:r>
          </w:p>
        </w:tc>
        <w:tc>
          <w:tcPr>
            <w:tcW w:type="dxa" w:w="1987"/>
          </w:tcPr>
          <w:p>
            <w:r>
              <w:t>Tahap 2</w:t>
            </w:r>
          </w:p>
        </w:tc>
        <w:tc>
          <w:tcPr>
            <w:tcW w:type="dxa" w:w="1987"/>
          </w:tcPr>
          <w:p>
            <w:r>
              <w:t>Tahap 1</w:t>
            </w:r>
          </w:p>
        </w:tc>
      </w:tr>
      <w:tr>
        <w:tc>
          <w:tcPr>
            <w:tcW w:type="dxa" w:w="1987"/>
          </w:tcPr>
          <w:p>
            <w:r>
              <w:t>Sebutan</w:t>
            </w:r>
          </w:p>
        </w:tc>
        <w:tc>
          <w:tcPr>
            <w:tcW w:type="dxa" w:w="1987"/>
          </w:tcPr>
          <w:p>
            <w:r>
              <w:t>Jelas dan mudah difahami secara konsisten</w:t>
            </w:r>
          </w:p>
        </w:tc>
        <w:tc>
          <w:tcPr>
            <w:tcW w:type="dxa" w:w="1987"/>
          </w:tcPr>
          <w:p>
            <w:r>
              <w:t>Umumnya jelas; sedikit kesilapan</w:t>
            </w:r>
          </w:p>
        </w:tc>
        <w:tc>
          <w:tcPr>
            <w:tcW w:type="dxa" w:w="1987"/>
          </w:tcPr>
          <w:p>
            <w:r>
              <w:t>Beberapa sebutan mengganggu kefahaman</w:t>
            </w:r>
          </w:p>
        </w:tc>
        <w:tc>
          <w:tcPr>
            <w:tcW w:type="dxa" w:w="1987"/>
          </w:tcPr>
          <w:p>
            <w:r>
              <w:t>Sebutan kerap tidak jelas</w:t>
            </w:r>
          </w:p>
        </w:tc>
      </w:tr>
      <w:tr>
        <w:tc>
          <w:tcPr>
            <w:tcW w:type="dxa" w:w="1987"/>
          </w:tcPr>
          <w:p>
            <w:r>
              <w:t>Intonasi</w:t>
            </w:r>
          </w:p>
        </w:tc>
        <w:tc>
          <w:tcPr>
            <w:tcW w:type="dxa" w:w="1987"/>
          </w:tcPr>
          <w:p>
            <w:r>
              <w:t>Sangat sesuai dengan maksud dan emosi</w:t>
            </w:r>
          </w:p>
        </w:tc>
        <w:tc>
          <w:tcPr>
            <w:tcW w:type="dxa" w:w="1987"/>
          </w:tcPr>
          <w:p>
            <w:r>
              <w:t>Sesuai pada kebanyakan bahagian</w:t>
            </w:r>
          </w:p>
        </w:tc>
        <w:tc>
          <w:tcPr>
            <w:tcW w:type="dxa" w:w="1987"/>
          </w:tcPr>
          <w:p>
            <w:r>
              <w:t>Kurang pelbagai atau kadangkala tidak sesuai</w:t>
            </w:r>
          </w:p>
        </w:tc>
        <w:tc>
          <w:tcPr>
            <w:tcW w:type="dxa" w:w="1987"/>
          </w:tcPr>
          <w:p>
            <w:r>
              <w:t>Tidak menunjukkan intonasi yang sesuai</w:t>
            </w:r>
          </w:p>
        </w:tc>
      </w:tr>
      <w:tr>
        <w:tc>
          <w:tcPr>
            <w:tcW w:type="dxa" w:w="1987"/>
          </w:tcPr>
          <w:p>
            <w:r>
              <w:t>Kelancaran dan jeda</w:t>
            </w:r>
          </w:p>
        </w:tc>
        <w:tc>
          <w:tcPr>
            <w:tcW w:type="dxa" w:w="1987"/>
          </w:tcPr>
          <w:p>
            <w:r>
              <w:t>Lancar; jeda membantu makna</w:t>
            </w:r>
          </w:p>
        </w:tc>
        <w:tc>
          <w:tcPr>
            <w:tcW w:type="dxa" w:w="1987"/>
          </w:tcPr>
          <w:p>
            <w:r>
              <w:t>Agak lancar; jeda umumnya sesuai</w:t>
            </w:r>
          </w:p>
        </w:tc>
        <w:tc>
          <w:tcPr>
            <w:tcW w:type="dxa" w:w="1987"/>
          </w:tcPr>
          <w:p>
            <w:r>
              <w:t>Kerap terhenti atau jeda kurang sesuai</w:t>
            </w:r>
          </w:p>
        </w:tc>
        <w:tc>
          <w:tcPr>
            <w:tcW w:type="dxa" w:w="1987"/>
          </w:tcPr>
          <w:p>
            <w:r>
              <w:t>Sangat tersekat-sekat; sukar diikuti</w:t>
            </w:r>
          </w:p>
        </w:tc>
      </w:tr>
      <w:tr>
        <w:tc>
          <w:tcPr>
            <w:tcW w:type="dxa" w:w="1987"/>
          </w:tcPr>
          <w:p>
            <w:r>
              <w:t>Urutan dan penyampaian</w:t>
            </w:r>
          </w:p>
        </w:tc>
        <w:tc>
          <w:tcPr>
            <w:tcW w:type="dxa" w:w="1987"/>
          </w:tcPr>
          <w:p>
            <w:r>
              <w:t>Peristiwa tersusun dan disampaikan dengan yakin</w:t>
            </w:r>
          </w:p>
        </w:tc>
        <w:tc>
          <w:tcPr>
            <w:tcW w:type="dxa" w:w="1987"/>
          </w:tcPr>
          <w:p>
            <w:r>
              <w:t>Kebanyakan peristiwa tersusun</w:t>
            </w:r>
          </w:p>
        </w:tc>
        <w:tc>
          <w:tcPr>
            <w:tcW w:type="dxa" w:w="1987"/>
          </w:tcPr>
          <w:p>
            <w:r>
              <w:t>Beberapa peristiwa tertinggal atau tersusun kurang jelas</w:t>
            </w:r>
          </w:p>
        </w:tc>
        <w:tc>
          <w:tcPr>
            <w:tcW w:type="dxa" w:w="1987"/>
          </w:tcPr>
          <w:p>
            <w:r>
              <w:t>Sukar menyampaikan urutan cerita</w:t>
            </w:r>
          </w:p>
        </w:tc>
      </w:tr>
    </w:tbl>
    <w:p>
      <w:pPr>
        <w:pStyle w:val="Heading1"/>
      </w:pPr>
      <w:r>
        <w:t>11. Cadangan Visual dan Audio Digital</w:t>
      </w:r>
    </w:p>
    <w:p>
      <w:pPr>
        <w:pStyle w:val="ListBullet"/>
      </w:pPr>
      <w:r>
        <w:t>Gunakan ilustrasi atau animasi kartun 3D yang mesra murid dan sesuai dengan suasana hutan.</w:t>
      </w:r>
    </w:p>
    <w:p>
      <w:pPr>
        <w:pStyle w:val="ListBullet"/>
      </w:pPr>
      <w:r>
        <w:t>Kekalkan reka bentuk Arnab dan Kura-kura dari satu babak ke babak lain.</w:t>
      </w:r>
    </w:p>
    <w:p>
      <w:pPr>
        <w:pStyle w:val="ListBullet"/>
      </w:pPr>
      <w:r>
        <w:t>Gunakan gerakan yang membantu pemahaman, seperti Arnab berlari, Kura-kura berjalan perlahan dan haiwan menghampiri garisan penamat.</w:t>
      </w:r>
    </w:p>
    <w:p>
      <w:pPr>
        <w:pStyle w:val="ListBullet"/>
      </w:pPr>
      <w:r>
        <w:t>Gunakan kesan bunyi secara sederhana supaya tidak menenggelamkan dialog.</w:t>
      </w:r>
    </w:p>
    <w:p>
      <w:pPr>
        <w:pStyle w:val="ListBullet"/>
      </w:pPr>
      <w:r>
        <w:t>Paparkan sari kata atau teks dialog dengan saiz yang mudah dibaca.</w:t>
      </w:r>
    </w:p>
    <w:p>
      <w:pPr>
        <w:pStyle w:val="ListBullet"/>
      </w:pPr>
      <w:r>
        <w:t>Pastikan murid mempunyai peluang bertutur sendiri; video bukan pengganti latihan lisan.</w:t>
      </w:r>
    </w:p>
    <w:p>
      <w:pPr>
        <w:pStyle w:val="Heading1"/>
      </w:pPr>
      <w:r>
        <w:t>12. Arahan kepada NotebookLM</w:t>
      </w:r>
    </w:p>
    <w:p>
      <w:r>
        <w:t>Gunakan nota ini bersama DSKP Bahasa Melayu Tahun 4 dan teks cerita pilihan. Hasilkan bahan pengajaran “Arnab dengan Kura-kura: Mari Bercerita Digital” yang mengandungi: (1) cerita lengkap, (2) skrip dialog mengikut babak, (3) panduan sebutan, intonasi dan jeda, (4) aktiviti bercerita lisan, (5) cadangan visual dan audio, dan (6) rubrik pentaksiran lisan. Jangan mendakwa cerita adaptasi sebagai teks asal atau mengada-adakan sumber. Bezakan kandungan cerita daripada cadangan pedagogi. Pastikan aktiviti utama mengukur kebolehan murid bercerita dengan sebutan dan intonasi yang sesuai.</w:t>
      </w:r>
    </w:p>
    <w:p>
      <w:pPr>
        <w:pStyle w:val="Heading1"/>
      </w:pPr>
      <w:r>
        <w:t>13. Semakan Sumber Sebelum Digunakan</w:t>
      </w:r>
    </w:p>
    <w:p>
      <w:pPr>
        <w:pStyle w:val="ListBullet"/>
      </w:pPr>
      <w:r>
        <w:t>Muat naik DSKP rasmi yang digunakan oleh pensyarah atau sekolah dan semak semula teks SK/SP.</w:t>
      </w:r>
    </w:p>
    <w:p>
      <w:pPr>
        <w:pStyle w:val="ListBullet"/>
      </w:pPr>
      <w:r>
        <w:t>Gunakan teks cerita daripada buku atau sumber yang boleh dikenal pasti; catat pengarang, penerbit dan tahun jika tersedia.</w:t>
      </w:r>
    </w:p>
    <w:p>
      <w:pPr>
        <w:pStyle w:val="ListBullet"/>
      </w:pPr>
      <w:r>
        <w:t>Gunakan sumber Dewan Bahasa dan Pustaka atau rujukan fonologi yang boleh dipercayai untuk semakan bahasa.</w:t>
      </w:r>
    </w:p>
    <w:p>
      <w:pPr>
        <w:pStyle w:val="ListBullet"/>
      </w:pPr>
      <w:r>
        <w:t>Jika menggunakan gambar, audio atau teks pihak lain, patuhi syarat penggunaan dan hak cipta.</w:t>
      </w:r>
    </w:p>
    <w:p>
      <w:pPr>
        <w:pStyle w:val="ListBullet"/>
      </w:pPr>
      <w:r>
        <w:t>Nota ini ialah bahan sokongan yang disediakan untuk tujuan perancangan pengajaran; ia bukan sumber rasmi KPM.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