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b/>
          <w:bCs/>
          <w:sz w:val="24"/>
          <w:szCs w:val="24"/>
        </w:rPr>
        <w:t xml:space="preserve">Synthesized Practice Interview</w:t>
      </w:r>
    </w:p>
    <w:p>
      <w:pPr>
        <w:spacing w:after="200"/>
      </w:pP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I’d love to hear about a relationship in your life that’s changed recently – something that’s been on your mind.</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Oh, that’s easy. My best friend from college. We had a falling out about a year ago and we just recently started talking again.</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Tell me about the falling out. What happened?</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She didn’t come to my wedding. She said she would and then backed out two weeks before with this vague excuse. And I was hurt, but I didn’t say anything because I don’t like conflict. I just… went quiet. Stopped texting first. And she did the same. So we just kind of evaporated.</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You said you went quiet. What was happening internally during that time?</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So much. [laugh] I was having whole arguments with her in my head. Like full conversations that never happened. I’d be in the shower composing these devastating texts that I’d never send. And underneath all of that, I was just really sad. Because she was the person I would’ve called </w:t>
      </w:r>
      <w:r>
        <w:rPr>
          <w:rFonts w:ascii="Arial" w:cs="Arial" w:eastAsia="Arial" w:hAnsi="Arial"/>
          <w:i/>
          <w:iCs/>
          <w:sz w:val="22"/>
          <w:szCs w:val="22"/>
        </w:rPr>
        <w:t xml:space="preserve">about</w:t>
      </w:r>
      <w:r>
        <w:rPr>
          <w:rFonts w:ascii="Arial" w:cs="Arial" w:eastAsia="Arial" w:hAnsi="Arial"/>
          <w:sz w:val="22"/>
          <w:szCs w:val="22"/>
        </w:rPr>
        <w:t xml:space="preserve"> this kind of thing.</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What made you start talking again?</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She texted me on my birthday. Just “Happy birthday,” nothing big. And I sat there staring at my phone for like ten minutes. My husband was like, “Just respond.” And I almost didn’t, because I have this thing where – [pause] if I feel like I was the one who was wronged, I need the other person to acknowledge it before I can move on. Like, that’s my line.</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So what did you do?</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wrote back “Thank you.” Two words. And then she called me the next day, and we talked for two hours. She told me the real reason she missed the wedding was she was going through a miscarriage and couldn’t face being at a celebration. And I just felt… [voice catches] I felt so ashamed that I’d made it about me. I’d spent a year being angry about something that was never about me at all.</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 has the friendship been since that conversation?</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Different. Better, in a way. We’re more honest now. I told her, “I need you to tell me things even when they’re hard.” And she said the same back to me. I think before, we had this friendship where everything was easy and fun, and we didn’t know how to do the hard parts. Now we’re 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2026-05-27T22:57:08.186Z</dcterms:created>
  <dcterms:modified xsi:type="dcterms:W3CDTF">2026-05-27T22:57:08.186Z</dcterms:modified>
</cp:coreProperties>
</file>

<file path=docProps/custom.xml><?xml version="1.0" encoding="utf-8"?>
<Properties xmlns="http://schemas.openxmlformats.org/officeDocument/2006/custom-properties" xmlns:vt="http://schemas.openxmlformats.org/officeDocument/2006/docPropsVTypes"/>
</file>