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520"/>
        <w:gridCol w:w="2520"/>
        <w:gridCol w:w="2520"/>
        <w:gridCol w:w="2520"/>
      </w:tblGrid>
      <w:tr>
        <w:tc>
          <w:tcPr>
            <w:tcW w:type="dxa" w:w="2520"/>
            <w:shd w:fill="4285F4"/>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c>
          <w:tcPr>
            <w:tcW w:type="dxa" w:w="2520"/>
            <w:shd w:fill="EA4335"/>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c>
          <w:tcPr>
            <w:tcW w:type="dxa" w:w="2520"/>
            <w:shd w:fill="FBBC04"/>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c>
          <w:tcPr>
            <w:tcW w:type="dxa" w:w="2520"/>
            <w:shd w:fill="34A853"/>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r>
    </w:tbl>
    <w:p>
      <w:pPr>
        <w:spacing w:before="280" w:after="40"/>
      </w:pPr>
      <w:r>
        <w:rPr>
          <w:rFonts w:ascii="Arial" w:hAnsi="Arial"/>
          <w:b/>
          <w:color w:val="1A73E8"/>
          <w:sz w:val="19"/>
        </w:rPr>
        <w:t>GOOGLE CLOUD ENTERPRISE ARCHITECTURE &amp; ADVISORY</w:t>
      </w:r>
    </w:p>
    <w:p>
      <w:pPr>
        <w:spacing w:before="40" w:after="120"/>
      </w:pPr>
      <w:r>
        <w:rPr>
          <w:rFonts w:ascii="Arial" w:hAnsi="Arial"/>
          <w:b/>
          <w:color w:val="202124"/>
          <w:sz w:val="44"/>
        </w:rPr>
        <w:t>Agentic GRC: Autonomous Compliance Readiness Accelerator</w:t>
      </w:r>
    </w:p>
    <w:p>
      <w:pPr>
        <w:spacing w:before="0" w:after="240"/>
      </w:pPr>
      <w:r>
        <w:rPr>
          <w:rFonts w:ascii="Arial" w:hAnsi="Arial"/>
          <w:color w:val="5F6368"/>
          <w:sz w:val="23"/>
        </w:rPr>
        <w:t>Executive Presentation Deck, CISO Briefing &amp; Board Risk Committee Master Blueprint for NotebookLLM</w:t>
      </w:r>
    </w:p>
    <w:tbl>
      <w:tblPr>
        <w:tblW w:type="auto" w:w="0"/>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4" w:space="0" w:color="DADCE0"/>
          <w:insideV w:val="single" w:sz="4" w:space="0" w:color="DADCE0"/>
        </w:tblBorders>
      </w:tblPr>
      <w:tblGrid>
        <w:gridCol w:w="5040"/>
        <w:gridCol w:w="5040"/>
      </w:tblGrid>
      <w:tr>
        <w:tc>
          <w:tcPr>
            <w:tcW w:type="dxa" w:w="3168"/>
            <w:shd w:fill="F8F9FA"/>
            <w:tcMar>
              <w:top w:w="60" w:type="dxa"/>
              <w:bottom w:w="60" w:type="dxa"/>
              <w:left w:w="100" w:type="dxa"/>
              <w:right w:w="100" w:type="dxa"/>
            </w:tcMar>
          </w:tcPr>
          <w:p>
            <w:r>
              <w:rPr>
                <w:rFonts w:ascii="Arial" w:hAnsi="Arial"/>
                <w:b/>
                <w:color w:val="5F6368"/>
                <w:sz w:val="17"/>
              </w:rPr>
              <w:t>DOCUMENT TITLE</w:t>
            </w:r>
          </w:p>
        </w:tc>
        <w:tc>
          <w:tcPr>
            <w:tcW w:type="dxa" w:w="6912"/>
            <w:shd w:fill="FFFFFF"/>
            <w:tcMar>
              <w:top w:w="60" w:type="dxa"/>
              <w:bottom w:w="60" w:type="dxa"/>
              <w:left w:w="100" w:type="dxa"/>
              <w:right w:w="100" w:type="dxa"/>
            </w:tcMar>
          </w:tcPr>
          <w:p>
            <w:r>
              <w:rPr>
                <w:rFonts w:ascii="Arial" w:hAnsi="Arial"/>
                <w:color w:val="202124"/>
                <w:sz w:val="18"/>
              </w:rPr>
              <w:t>Executive Presentation &amp; Board Briefing Deck Source</w:t>
            </w:r>
          </w:p>
        </w:tc>
      </w:tr>
      <w:tr>
        <w:tc>
          <w:tcPr>
            <w:tcW w:type="dxa" w:w="3168"/>
            <w:shd w:fill="F8F9FA"/>
            <w:tcMar>
              <w:top w:w="60" w:type="dxa"/>
              <w:bottom w:w="60" w:type="dxa"/>
              <w:left w:w="100" w:type="dxa"/>
              <w:right w:w="100" w:type="dxa"/>
            </w:tcMar>
          </w:tcPr>
          <w:p>
            <w:r>
              <w:rPr>
                <w:rFonts w:ascii="Arial" w:hAnsi="Arial"/>
                <w:b/>
                <w:color w:val="5F6368"/>
                <w:sz w:val="17"/>
              </w:rPr>
              <w:t>TARGET PLATFORM</w:t>
            </w:r>
          </w:p>
        </w:tc>
        <w:tc>
          <w:tcPr>
            <w:tcW w:type="dxa" w:w="6912"/>
            <w:shd w:fill="FFFFFF"/>
            <w:tcMar>
              <w:top w:w="60" w:type="dxa"/>
              <w:bottom w:w="60" w:type="dxa"/>
              <w:left w:w="100" w:type="dxa"/>
              <w:right w:w="100" w:type="dxa"/>
            </w:tcMar>
          </w:tcPr>
          <w:p>
            <w:r>
              <w:rPr>
                <w:rFonts w:ascii="Arial" w:hAnsi="Arial"/>
                <w:color w:val="202124"/>
                <w:sz w:val="18"/>
              </w:rPr>
              <w:t>Gemini Enterprise Agent Platform (GEAP) &amp; Google Cloud Run</w:t>
            </w:r>
          </w:p>
        </w:tc>
      </w:tr>
      <w:tr>
        <w:tc>
          <w:tcPr>
            <w:tcW w:type="dxa" w:w="3168"/>
            <w:shd w:fill="F8F9FA"/>
            <w:tcMar>
              <w:top w:w="60" w:type="dxa"/>
              <w:bottom w:w="60" w:type="dxa"/>
              <w:left w:w="100" w:type="dxa"/>
              <w:right w:w="100" w:type="dxa"/>
            </w:tcMar>
          </w:tcPr>
          <w:p>
            <w:r>
              <w:rPr>
                <w:rFonts w:ascii="Arial" w:hAnsi="Arial"/>
                <w:b/>
                <w:color w:val="5F6368"/>
                <w:sz w:val="17"/>
              </w:rPr>
              <w:t>PRIMARY STANDARD</w:t>
            </w:r>
          </w:p>
        </w:tc>
        <w:tc>
          <w:tcPr>
            <w:tcW w:type="dxa" w:w="6912"/>
            <w:shd w:fill="FFFFFF"/>
            <w:tcMar>
              <w:top w:w="60" w:type="dxa"/>
              <w:bottom w:w="60" w:type="dxa"/>
              <w:left w:w="100" w:type="dxa"/>
              <w:right w:w="100" w:type="dxa"/>
            </w:tcMar>
          </w:tcPr>
          <w:p>
            <w:r>
              <w:rPr>
                <w:rFonts w:ascii="Arial" w:hAnsi="Arial"/>
                <w:color w:val="202124"/>
                <w:sz w:val="18"/>
              </w:rPr>
              <w:t>ISO/IEC 27001:2022 &amp; Amd 1:2024 (Complete 93 Controls Covered)</w:t>
            </w:r>
          </w:p>
        </w:tc>
      </w:tr>
      <w:tr>
        <w:tc>
          <w:tcPr>
            <w:tcW w:type="dxa" w:w="3168"/>
            <w:shd w:fill="F8F9FA"/>
            <w:tcMar>
              <w:top w:w="60" w:type="dxa"/>
              <w:bottom w:w="60" w:type="dxa"/>
              <w:left w:w="100" w:type="dxa"/>
              <w:right w:w="100" w:type="dxa"/>
            </w:tcMar>
          </w:tcPr>
          <w:p>
            <w:r>
              <w:rPr>
                <w:rFonts w:ascii="Arial" w:hAnsi="Arial"/>
                <w:b/>
                <w:color w:val="5F6368"/>
                <w:sz w:val="17"/>
              </w:rPr>
              <w:t>TEST VERIFICATION</w:t>
            </w:r>
          </w:p>
        </w:tc>
        <w:tc>
          <w:tcPr>
            <w:tcW w:type="dxa" w:w="6912"/>
            <w:shd w:fill="FFFFFF"/>
            <w:tcMar>
              <w:top w:w="60" w:type="dxa"/>
              <w:bottom w:w="60" w:type="dxa"/>
              <w:left w:w="100" w:type="dxa"/>
              <w:right w:w="100" w:type="dxa"/>
            </w:tcMar>
          </w:tcPr>
          <w:p>
            <w:r>
              <w:rPr>
                <w:rFonts w:ascii="Arial" w:hAnsi="Arial"/>
                <w:color w:val="202124"/>
                <w:sz w:val="18"/>
              </w:rPr>
              <w:t>225 Automated Unit &amp; Integration Tests (100% Passing Suite)</w:t>
            </w:r>
          </w:p>
        </w:tc>
      </w:tr>
      <w:tr>
        <w:tc>
          <w:tcPr>
            <w:tcW w:type="dxa" w:w="3168"/>
            <w:shd w:fill="F8F9FA"/>
            <w:tcMar>
              <w:top w:w="60" w:type="dxa"/>
              <w:bottom w:w="60" w:type="dxa"/>
              <w:left w:w="100" w:type="dxa"/>
              <w:right w:w="100" w:type="dxa"/>
            </w:tcMar>
          </w:tcPr>
          <w:p>
            <w:r>
              <w:rPr>
                <w:rFonts w:ascii="Arial" w:hAnsi="Arial"/>
                <w:b/>
                <w:color w:val="5F6368"/>
                <w:sz w:val="17"/>
              </w:rPr>
              <w:t>DEPLOYMENT SCOPE</w:t>
            </w:r>
          </w:p>
        </w:tc>
        <w:tc>
          <w:tcPr>
            <w:tcW w:type="dxa" w:w="6912"/>
            <w:shd w:fill="FFFFFF"/>
            <w:tcMar>
              <w:top w:w="60" w:type="dxa"/>
              <w:bottom w:w="60" w:type="dxa"/>
              <w:left w:w="100" w:type="dxa"/>
              <w:right w:w="100" w:type="dxa"/>
            </w:tcMar>
          </w:tcPr>
          <w:p>
            <w:r>
              <w:rPr>
                <w:rFonts w:ascii="Arial" w:hAnsi="Arial"/>
                <w:color w:val="202124"/>
                <w:sz w:val="18"/>
              </w:rPr>
              <w:t>Google Cloud Organization Level (Cross-Folder / Multi-Project Discovery)</w:t>
            </w:r>
          </w:p>
        </w:tc>
      </w:tr>
      <w:tr>
        <w:tc>
          <w:tcPr>
            <w:tcW w:type="dxa" w:w="3168"/>
            <w:shd w:fill="F8F9FA"/>
            <w:tcMar>
              <w:top w:w="60" w:type="dxa"/>
              <w:bottom w:w="60" w:type="dxa"/>
              <w:left w:w="100" w:type="dxa"/>
              <w:right w:w="100" w:type="dxa"/>
            </w:tcMar>
          </w:tcPr>
          <w:p>
            <w:r>
              <w:rPr>
                <w:rFonts w:ascii="Arial" w:hAnsi="Arial"/>
                <w:b/>
                <w:color w:val="5F6368"/>
                <w:sz w:val="17"/>
              </w:rPr>
              <w:t>PRIMARY AUDIENCE</w:t>
            </w:r>
          </w:p>
        </w:tc>
        <w:tc>
          <w:tcPr>
            <w:tcW w:type="dxa" w:w="6912"/>
            <w:shd w:fill="FFFFFF"/>
            <w:tcMar>
              <w:top w:w="60" w:type="dxa"/>
              <w:bottom w:w="60" w:type="dxa"/>
              <w:left w:w="100" w:type="dxa"/>
              <w:right w:w="100" w:type="dxa"/>
            </w:tcMar>
          </w:tcPr>
          <w:p>
            <w:r>
              <w:rPr>
                <w:rFonts w:ascii="Arial" w:hAnsi="Arial"/>
                <w:color w:val="202124"/>
                <w:sz w:val="18"/>
              </w:rPr>
              <w:t>CISOs, CIOs, Board Risk Committees, Lead Compliance Advisors</w:t>
            </w:r>
          </w:p>
        </w:tc>
      </w:tr>
      <w:tr>
        <w:tc>
          <w:tcPr>
            <w:tcW w:type="dxa" w:w="3168"/>
            <w:shd w:fill="F8F9FA"/>
            <w:tcMar>
              <w:top w:w="60" w:type="dxa"/>
              <w:bottom w:w="60" w:type="dxa"/>
              <w:left w:w="100" w:type="dxa"/>
              <w:right w:w="100" w:type="dxa"/>
            </w:tcMar>
          </w:tcPr>
          <w:p>
            <w:r>
              <w:rPr>
                <w:rFonts w:ascii="Arial" w:hAnsi="Arial"/>
                <w:b/>
                <w:color w:val="5F6368"/>
                <w:sz w:val="17"/>
              </w:rPr>
              <w:t>DOCUMENT CLASSIFICATION</w:t>
            </w:r>
          </w:p>
        </w:tc>
        <w:tc>
          <w:tcPr>
            <w:tcW w:type="dxa" w:w="6912"/>
            <w:shd w:fill="FFFFFF"/>
            <w:tcMar>
              <w:top w:w="60" w:type="dxa"/>
              <w:bottom w:w="60" w:type="dxa"/>
              <w:left w:w="100" w:type="dxa"/>
              <w:right w:w="100" w:type="dxa"/>
            </w:tcMar>
          </w:tcPr>
          <w:p>
            <w:r>
              <w:rPr>
                <w:rFonts w:ascii="Arial" w:hAnsi="Arial"/>
                <w:color w:val="202124"/>
                <w:sz w:val="18"/>
              </w:rPr>
              <w:t>Google Cloud Enterprise Technical Architecture / Executive Advisory</w:t>
            </w:r>
          </w:p>
        </w:tc>
      </w:tr>
    </w:tbl>
    <w:p>
      <w:pPr>
        <w:spacing w:after="160"/>
      </w:pPr>
    </w:p>
    <w:tbl>
      <w:tblPr>
        <w:tblW w:type="auto" w:w="0"/>
        <w:jc w:val="center"/>
        <w:tblLook w:firstColumn="1" w:firstRow="1" w:lastColumn="0" w:lastRow="0" w:noHBand="0" w:noVBand="1" w:val="04A0"/>
      </w:tblPr>
      <w:tblGrid>
        <w:gridCol w:w="10080"/>
      </w:tblGrid>
      <w:tr>
        <w:tc>
          <w:tcPr>
            <w:tcW w:type="dxa" w:w="10080"/>
            <w:shd w:fill="FCE8E6"/>
            <w:tcMar>
              <w:top w:w="120" w:type="dxa"/>
              <w:bottom w:w="120" w:type="dxa"/>
              <w:left w:w="180" w:type="dxa"/>
              <w:right w:w="140" w:type="dxa"/>
            </w:tcMar>
            <w:tcBorders>
              <w:left w:val="single" w:sz="24" w:space="0" w:color="D93025"/>
              <w:top w:val="none"/>
              <w:right w:val="none"/>
              <w:bottom w:val="none"/>
            </w:tcBorders>
          </w:tcPr>
          <w:p>
            <w:pPr>
              <w:spacing w:before="40" w:after="40" w:line="276" w:lineRule="auto"/>
            </w:pPr>
            <w:r>
              <w:rPr>
                <w:rFonts w:ascii="Arial" w:hAnsi="Arial"/>
                <w:b/>
                <w:color w:val="D93025"/>
                <w:sz w:val="19"/>
              </w:rPr>
              <w:t xml:space="preserve">[LEGAL &amp; COMPLIANCE DISCLAIMER] </w:t>
            </w:r>
            <w:r>
              <w:rPr>
                <w:rFonts w:ascii="Arial" w:hAnsi="Arial"/>
                <w:color w:val="202124"/>
                <w:sz w:val="18"/>
              </w:rPr>
              <w:t>Google Cloud does not conduct formal audits or issue compliance certifications. The Agentic Compliance Readiness Accelerator is an advisory, continuous assessment, and technical evidence readiness framework. It automates technical evidence collection, inspects live cloud security telemetry, and identifies posture gaps to assist enterprise organizations in preparing for accredited third-party certification audits.</w:t>
            </w:r>
          </w:p>
        </w:tc>
      </w:tr>
    </w:tbl>
    <w:p>
      <w:pPr>
        <w:spacing w:after="80"/>
      </w:pPr>
    </w:p>
    <w:p>
      <w:pPr>
        <w:spacing w:before="160" w:after="80"/>
      </w:pPr>
      <w:r>
        <w:rPr>
          <w:rFonts w:ascii="Arial" w:hAnsi="Arial"/>
          <w:b/>
          <w:color w:val="1A73E8"/>
          <w:sz w:val="26"/>
        </w:rPr>
        <w:t>Table of Contents</w:t>
      </w:r>
    </w:p>
    <w:tbl>
      <w:tblPr>
        <w:tblW w:type="auto" w:w="0"/>
        <w:tblLook w:firstColumn="1" w:firstRow="1" w:lastColumn="0" w:lastRow="0" w:noHBand="0" w:noVBand="1" w:val="04A0"/>
        <w:tblBorders>
          <w:top w:val="single" w:sz="6" w:space="0" w:color="E8EAED"/>
          <w:left w:val="single" w:sz="6" w:space="0" w:color="E8EAED"/>
          <w:bottom w:val="single" w:sz="6" w:space="0" w:color="E8EAED"/>
          <w:right w:val="single" w:sz="6" w:space="0" w:color="E8EAED"/>
          <w:insideH w:val="single" w:sz="4" w:space="0" w:color="E8EAED"/>
          <w:insideV w:val="single" w:sz="4" w:space="0" w:color="E8EAED"/>
        </w:tblBorders>
      </w:tblPr>
      <w:tblGrid>
        <w:gridCol w:w="5040"/>
        <w:gridCol w:w="5040"/>
      </w:tblGrid>
      <w:tr>
        <w:tc>
          <w:tcPr>
            <w:tcW w:type="dxa" w:w="1728"/>
            <w:shd w:fill="F8F9FA"/>
            <w:tcMar>
              <w:top w:w="40" w:type="dxa"/>
              <w:bottom w:w="40" w:type="dxa"/>
              <w:left w:w="80" w:type="dxa"/>
              <w:right w:w="80" w:type="dxa"/>
            </w:tcMar>
          </w:tcPr>
          <w:p>
            <w:r>
              <w:rPr>
                <w:rFonts w:ascii="Arial" w:hAnsi="Arial"/>
                <w:b/>
                <w:color w:val="1A73E8"/>
                <w:sz w:val="17"/>
              </w:rPr>
              <w:t>Section 1</w:t>
            </w:r>
          </w:p>
        </w:tc>
        <w:tc>
          <w:tcPr>
            <w:tcW w:type="dxa" w:w="8352"/>
            <w:shd w:fill="FFFFFF"/>
            <w:tcMar>
              <w:top w:w="40" w:type="dxa"/>
              <w:bottom w:w="40" w:type="dxa"/>
              <w:left w:w="80" w:type="dxa"/>
              <w:right w:w="80" w:type="dxa"/>
            </w:tcMar>
          </w:tcPr>
          <w:p>
            <w:r>
              <w:rPr>
                <w:rFonts w:ascii="Arial" w:hAnsi="Arial"/>
                <w:color w:val="202124"/>
                <w:sz w:val="17"/>
              </w:rPr>
              <w:t>Executive Summary: The Paradigm Shift in Cloud Governance</w:t>
            </w:r>
          </w:p>
        </w:tc>
      </w:tr>
      <w:tr>
        <w:tc>
          <w:tcPr>
            <w:tcW w:type="dxa" w:w="1728"/>
            <w:shd w:fill="F8F9FA"/>
            <w:tcMar>
              <w:top w:w="40" w:type="dxa"/>
              <w:bottom w:w="40" w:type="dxa"/>
              <w:left w:w="80" w:type="dxa"/>
              <w:right w:w="80" w:type="dxa"/>
            </w:tcMar>
          </w:tcPr>
          <w:p>
            <w:r>
              <w:rPr>
                <w:rFonts w:ascii="Arial" w:hAnsi="Arial"/>
                <w:b/>
                <w:color w:val="1A73E8"/>
                <w:sz w:val="17"/>
              </w:rPr>
              <w:t>Section 2</w:t>
            </w:r>
          </w:p>
        </w:tc>
        <w:tc>
          <w:tcPr>
            <w:tcW w:type="dxa" w:w="8352"/>
            <w:shd w:fill="FFFFFF"/>
            <w:tcMar>
              <w:top w:w="40" w:type="dxa"/>
              <w:bottom w:w="40" w:type="dxa"/>
              <w:left w:w="80" w:type="dxa"/>
              <w:right w:w="80" w:type="dxa"/>
            </w:tcMar>
          </w:tcPr>
          <w:p>
            <w:r>
              <w:rPr>
                <w:rFonts w:ascii="Arial" w:hAnsi="Arial"/>
                <w:color w:val="202124"/>
                <w:sz w:val="17"/>
              </w:rPr>
              <w:t>Slide 1: The Problem — 'The Spreadsheet Drag' and Compliance Decay</w:t>
            </w:r>
          </w:p>
        </w:tc>
      </w:tr>
      <w:tr>
        <w:tc>
          <w:tcPr>
            <w:tcW w:type="dxa" w:w="1728"/>
            <w:shd w:fill="F8F9FA"/>
            <w:tcMar>
              <w:top w:w="40" w:type="dxa"/>
              <w:bottom w:w="40" w:type="dxa"/>
              <w:left w:w="80" w:type="dxa"/>
              <w:right w:w="80" w:type="dxa"/>
            </w:tcMar>
          </w:tcPr>
          <w:p>
            <w:r>
              <w:rPr>
                <w:rFonts w:ascii="Arial" w:hAnsi="Arial"/>
                <w:b/>
                <w:color w:val="1A73E8"/>
                <w:sz w:val="17"/>
              </w:rPr>
              <w:t>Section 3</w:t>
            </w:r>
          </w:p>
        </w:tc>
        <w:tc>
          <w:tcPr>
            <w:tcW w:type="dxa" w:w="8352"/>
            <w:shd w:fill="FFFFFF"/>
            <w:tcMar>
              <w:top w:w="40" w:type="dxa"/>
              <w:bottom w:w="40" w:type="dxa"/>
              <w:left w:w="80" w:type="dxa"/>
              <w:right w:w="80" w:type="dxa"/>
            </w:tcMar>
          </w:tcPr>
          <w:p>
            <w:r>
              <w:rPr>
                <w:rFonts w:ascii="Arial" w:hAnsi="Arial"/>
                <w:color w:val="202124"/>
                <w:sz w:val="17"/>
              </w:rPr>
              <w:t>Slide 2: The Solution — Autonomous Multi-Agent Orchestration (GEAP)</w:t>
            </w:r>
          </w:p>
        </w:tc>
      </w:tr>
      <w:tr>
        <w:tc>
          <w:tcPr>
            <w:tcW w:type="dxa" w:w="1728"/>
            <w:shd w:fill="F8F9FA"/>
            <w:tcMar>
              <w:top w:w="40" w:type="dxa"/>
              <w:bottom w:w="40" w:type="dxa"/>
              <w:left w:w="80" w:type="dxa"/>
              <w:right w:w="80" w:type="dxa"/>
            </w:tcMar>
          </w:tcPr>
          <w:p>
            <w:r>
              <w:rPr>
                <w:rFonts w:ascii="Arial" w:hAnsi="Arial"/>
                <w:b/>
                <w:color w:val="1A73E8"/>
                <w:sz w:val="17"/>
              </w:rPr>
              <w:t>Section 4</w:t>
            </w:r>
          </w:p>
        </w:tc>
        <w:tc>
          <w:tcPr>
            <w:tcW w:type="dxa" w:w="8352"/>
            <w:shd w:fill="FFFFFF"/>
            <w:tcMar>
              <w:top w:w="40" w:type="dxa"/>
              <w:bottom w:w="40" w:type="dxa"/>
              <w:left w:w="80" w:type="dxa"/>
              <w:right w:w="80" w:type="dxa"/>
            </w:tcMar>
          </w:tcPr>
          <w:p>
            <w:r>
              <w:rPr>
                <w:rFonts w:ascii="Arial" w:hAnsi="Arial"/>
                <w:color w:val="202124"/>
                <w:sz w:val="17"/>
              </w:rPr>
              <w:t>Slide 3: The 4-Phase Autonomous Readiness Pipeline</w:t>
            </w:r>
          </w:p>
        </w:tc>
      </w:tr>
      <w:tr>
        <w:tc>
          <w:tcPr>
            <w:tcW w:type="dxa" w:w="1728"/>
            <w:shd w:fill="F8F9FA"/>
            <w:tcMar>
              <w:top w:w="40" w:type="dxa"/>
              <w:bottom w:w="40" w:type="dxa"/>
              <w:left w:w="80" w:type="dxa"/>
              <w:right w:w="80" w:type="dxa"/>
            </w:tcMar>
          </w:tcPr>
          <w:p>
            <w:r>
              <w:rPr>
                <w:rFonts w:ascii="Arial" w:hAnsi="Arial"/>
                <w:b/>
                <w:color w:val="1A73E8"/>
                <w:sz w:val="17"/>
              </w:rPr>
              <w:t>Section 5</w:t>
            </w:r>
          </w:p>
        </w:tc>
        <w:tc>
          <w:tcPr>
            <w:tcW w:type="dxa" w:w="8352"/>
            <w:shd w:fill="FFFFFF"/>
            <w:tcMar>
              <w:top w:w="40" w:type="dxa"/>
              <w:bottom w:w="40" w:type="dxa"/>
              <w:left w:w="80" w:type="dxa"/>
              <w:right w:w="80" w:type="dxa"/>
            </w:tcMar>
          </w:tcPr>
          <w:p>
            <w:r>
              <w:rPr>
                <w:rFonts w:ascii="Arial" w:hAnsi="Arial"/>
                <w:color w:val="202124"/>
                <w:sz w:val="17"/>
              </w:rPr>
              <w:t>Slide 4: Zero-Copy Data Grounding &amp; Identity Preservation</w:t>
            </w:r>
          </w:p>
        </w:tc>
      </w:tr>
      <w:tr>
        <w:tc>
          <w:tcPr>
            <w:tcW w:type="dxa" w:w="1728"/>
            <w:shd w:fill="F8F9FA"/>
            <w:tcMar>
              <w:top w:w="40" w:type="dxa"/>
              <w:bottom w:w="40" w:type="dxa"/>
              <w:left w:w="80" w:type="dxa"/>
              <w:right w:w="80" w:type="dxa"/>
            </w:tcMar>
          </w:tcPr>
          <w:p>
            <w:r>
              <w:rPr>
                <w:rFonts w:ascii="Arial" w:hAnsi="Arial"/>
                <w:b/>
                <w:color w:val="1A73E8"/>
                <w:sz w:val="17"/>
              </w:rPr>
              <w:t>Section 6</w:t>
            </w:r>
          </w:p>
        </w:tc>
        <w:tc>
          <w:tcPr>
            <w:tcW w:type="dxa" w:w="8352"/>
            <w:shd w:fill="FFFFFF"/>
            <w:tcMar>
              <w:top w:w="40" w:type="dxa"/>
              <w:bottom w:w="40" w:type="dxa"/>
              <w:left w:w="80" w:type="dxa"/>
              <w:right w:w="80" w:type="dxa"/>
            </w:tcMar>
          </w:tcPr>
          <w:p>
            <w:r>
              <w:rPr>
                <w:rFonts w:ascii="Arial" w:hAnsi="Arial"/>
                <w:color w:val="202124"/>
                <w:sz w:val="17"/>
              </w:rPr>
              <w:t>Slide 5: The Iron Triangle of Agentic Safety &amp; Governance</w:t>
            </w:r>
          </w:p>
        </w:tc>
      </w:tr>
      <w:tr>
        <w:tc>
          <w:tcPr>
            <w:tcW w:type="dxa" w:w="1728"/>
            <w:shd w:fill="F8F9FA"/>
            <w:tcMar>
              <w:top w:w="40" w:type="dxa"/>
              <w:bottom w:w="40" w:type="dxa"/>
              <w:left w:w="80" w:type="dxa"/>
              <w:right w:w="80" w:type="dxa"/>
            </w:tcMar>
          </w:tcPr>
          <w:p>
            <w:r>
              <w:rPr>
                <w:rFonts w:ascii="Arial" w:hAnsi="Arial"/>
                <w:b/>
                <w:color w:val="1A73E8"/>
                <w:sz w:val="17"/>
              </w:rPr>
              <w:t>Section 7</w:t>
            </w:r>
          </w:p>
        </w:tc>
        <w:tc>
          <w:tcPr>
            <w:tcW w:type="dxa" w:w="8352"/>
            <w:shd w:fill="FFFFFF"/>
            <w:tcMar>
              <w:top w:w="40" w:type="dxa"/>
              <w:bottom w:w="40" w:type="dxa"/>
              <w:left w:w="80" w:type="dxa"/>
              <w:right w:w="80" w:type="dxa"/>
            </w:tcMar>
          </w:tcPr>
          <w:p>
            <w:r>
              <w:rPr>
                <w:rFonts w:ascii="Arial" w:hAnsi="Arial"/>
                <w:color w:val="202124"/>
                <w:sz w:val="17"/>
              </w:rPr>
              <w:t>Slide 6: FinOps ROI — Gemini Context Caching Economics</w:t>
            </w:r>
          </w:p>
        </w:tc>
      </w:tr>
      <w:tr>
        <w:tc>
          <w:tcPr>
            <w:tcW w:type="dxa" w:w="1728"/>
            <w:shd w:fill="F8F9FA"/>
            <w:tcMar>
              <w:top w:w="40" w:type="dxa"/>
              <w:bottom w:w="40" w:type="dxa"/>
              <w:left w:w="80" w:type="dxa"/>
              <w:right w:w="80" w:type="dxa"/>
            </w:tcMar>
          </w:tcPr>
          <w:p>
            <w:r>
              <w:rPr>
                <w:rFonts w:ascii="Arial" w:hAnsi="Arial"/>
                <w:b/>
                <w:color w:val="1A73E8"/>
                <w:sz w:val="17"/>
              </w:rPr>
              <w:t>Section 8</w:t>
            </w:r>
          </w:p>
        </w:tc>
        <w:tc>
          <w:tcPr>
            <w:tcW w:type="dxa" w:w="8352"/>
            <w:shd w:fill="FFFFFF"/>
            <w:tcMar>
              <w:top w:w="40" w:type="dxa"/>
              <w:bottom w:w="40" w:type="dxa"/>
              <w:left w:w="80" w:type="dxa"/>
              <w:right w:w="80" w:type="dxa"/>
            </w:tcMar>
          </w:tcPr>
          <w:p>
            <w:r>
              <w:rPr>
                <w:rFonts w:ascii="Arial" w:hAnsi="Arial"/>
                <w:color w:val="202124"/>
                <w:sz w:val="17"/>
              </w:rPr>
              <w:t>Slide 7: Client Onboarding &amp; Dual Deployment Architecture Models</w:t>
            </w:r>
          </w:p>
        </w:tc>
      </w:tr>
      <w:tr>
        <w:tc>
          <w:tcPr>
            <w:tcW w:type="dxa" w:w="1728"/>
            <w:shd w:fill="F8F9FA"/>
            <w:tcMar>
              <w:top w:w="40" w:type="dxa"/>
              <w:bottom w:w="40" w:type="dxa"/>
              <w:left w:w="80" w:type="dxa"/>
              <w:right w:w="80" w:type="dxa"/>
            </w:tcMar>
          </w:tcPr>
          <w:p>
            <w:r>
              <w:rPr>
                <w:rFonts w:ascii="Arial" w:hAnsi="Arial"/>
                <w:b/>
                <w:color w:val="1A73E8"/>
                <w:sz w:val="17"/>
              </w:rPr>
              <w:t>Section 9</w:t>
            </w:r>
          </w:p>
        </w:tc>
        <w:tc>
          <w:tcPr>
            <w:tcW w:type="dxa" w:w="8352"/>
            <w:shd w:fill="FFFFFF"/>
            <w:tcMar>
              <w:top w:w="40" w:type="dxa"/>
              <w:bottom w:w="40" w:type="dxa"/>
              <w:left w:w="80" w:type="dxa"/>
              <w:right w:w="80" w:type="dxa"/>
            </w:tcMar>
          </w:tcPr>
          <w:p>
            <w:r>
              <w:rPr>
                <w:rFonts w:ascii="Arial" w:hAnsi="Arial"/>
                <w:color w:val="202124"/>
                <w:sz w:val="17"/>
              </w:rPr>
              <w:t>Slide 8: Multi-Framework Roadmap (SOC 2, PCI-DSS, NIST CSF 2.0)</w:t>
            </w:r>
          </w:p>
        </w:tc>
      </w:tr>
      <w:tr>
        <w:tc>
          <w:tcPr>
            <w:tcW w:type="dxa" w:w="1728"/>
            <w:shd w:fill="F8F9FA"/>
            <w:tcMar>
              <w:top w:w="40" w:type="dxa"/>
              <w:bottom w:w="40" w:type="dxa"/>
              <w:left w:w="80" w:type="dxa"/>
              <w:right w:w="80" w:type="dxa"/>
            </w:tcMar>
          </w:tcPr>
          <w:p>
            <w:r>
              <w:rPr>
                <w:rFonts w:ascii="Arial" w:hAnsi="Arial"/>
                <w:b/>
                <w:color w:val="1A73E8"/>
                <w:sz w:val="17"/>
              </w:rPr>
              <w:t>Section 10</w:t>
            </w:r>
          </w:p>
        </w:tc>
        <w:tc>
          <w:tcPr>
            <w:tcW w:type="dxa" w:w="8352"/>
            <w:shd w:fill="FFFFFF"/>
            <w:tcMar>
              <w:top w:w="40" w:type="dxa"/>
              <w:bottom w:w="40" w:type="dxa"/>
              <w:left w:w="80" w:type="dxa"/>
              <w:right w:w="80" w:type="dxa"/>
            </w:tcMar>
          </w:tcPr>
          <w:p>
            <w:r>
              <w:rPr>
                <w:rFonts w:ascii="Arial" w:hAnsi="Arial"/>
                <w:color w:val="202124"/>
                <w:sz w:val="17"/>
              </w:rPr>
              <w:t>Slide 9: Top 10 Executive &amp; Board Questions Answered</w:t>
            </w:r>
          </w:p>
        </w:tc>
      </w:tr>
    </w:tbl>
    <w:p>
      <w:pPr>
        <w:spacing w:after="160"/>
      </w:pPr>
    </w:p>
    <w:p>
      <w:pPr>
        <w:keepNext/>
        <w:spacing w:before="320" w:after="80"/>
        <w:pBdr>
          <w:bottom w:val="single" w:sz="6" w:space="2" w:color="DADCE0"/>
        </w:pBdr>
      </w:pPr>
      <w:r>
        <w:rPr>
          <w:rFonts w:ascii="Arial" w:hAnsi="Arial"/>
          <w:b/>
          <w:color w:val="1A73E8"/>
          <w:sz w:val="30"/>
        </w:rPr>
        <w:t>1. Executive Summary: The Paradigm Shift in Cloud Governance</w:t>
      </w:r>
    </w:p>
    <w:p>
      <w:pPr>
        <w:spacing w:before="40" w:after="80" w:line="276" w:lineRule="auto"/>
      </w:pPr>
      <w:r>
        <w:rPr>
          <w:rFonts w:ascii="Arial" w:hAnsi="Arial"/>
          <w:color w:val="202124"/>
          <w:sz w:val="19"/>
        </w:rPr>
        <w:t>For decades, enterprise compliance has operated on an outdated, reactive model: periodic point-in-time reviews. Once a year, organizations mobilize cross-functional engineering teams to take hundreds of manual console screenshots, extract stale CSV spreadsheets, and conduct exhaustive interviews. The result is 'compliance decay'—the organization is technically compliant on review day, but drifts into vulnerability and non-compliance within weeks.</w:t>
      </w:r>
    </w:p>
    <w:p>
      <w:pPr>
        <w:spacing w:before="40" w:after="80" w:line="276" w:lineRule="auto"/>
      </w:pPr>
      <w:r>
        <w:rPr>
          <w:rFonts w:ascii="Arial" w:hAnsi="Arial"/>
          <w:color w:val="202124"/>
          <w:sz w:val="19"/>
        </w:rPr>
        <w:t>Agentic GRC introduces a fundamental paradigm shift: Autonomous, Continuous Compliance Readiness. Powered by the Gemini Enterprise Agent Platform (GEAP) on Google Cloud, the system orchestrates specialized autonomous agents that query live Google Cloud APIs, inspect infrastructure-as-code (IaC) files, correlate security telemetry, and anchor tamper-evident evidence into an immutable cryptographic graph (SHA-256 Merkle DAG).</w:t>
      </w:r>
    </w:p>
    <w:p>
      <w:pPr>
        <w:keepNext/>
        <w:spacing w:before="320" w:after="80"/>
        <w:pBdr>
          <w:bottom w:val="single" w:sz="6" w:space="2" w:color="DADCE0"/>
        </w:pBdr>
      </w:pPr>
      <w:r>
        <w:rPr>
          <w:rFonts w:ascii="Arial" w:hAnsi="Arial"/>
          <w:b/>
          <w:color w:val="1A73E8"/>
          <w:sz w:val="30"/>
        </w:rPr>
        <w:t>2. Slide 1: The Problem — 'The Spreadsheet Drag' and Compliance Decay</w:t>
      </w:r>
    </w:p>
    <w:p>
      <w:pPr>
        <w:spacing w:before="20" w:after="60" w:line="276" w:lineRule="auto"/>
      </w:pPr>
      <w:r>
        <w:rPr>
          <w:rFonts w:ascii="Arial" w:hAnsi="Arial"/>
          <w:color w:val="1A73E8"/>
          <w:sz w:val="19"/>
        </w:rPr>
        <w:t xml:space="preserve">• </w:t>
      </w:r>
      <w:r>
        <w:rPr>
          <w:rFonts w:ascii="Arial" w:hAnsi="Arial"/>
          <w:b/>
          <w:color w:val="202124"/>
          <w:sz w:val="19"/>
        </w:rPr>
        <w:t xml:space="preserve">Hundreds of Engineering Hours Wasted: </w:t>
      </w:r>
      <w:r>
        <w:rPr>
          <w:rFonts w:ascii="Arial" w:hAnsi="Arial"/>
          <w:color w:val="3C4043"/>
          <w:sz w:val="19"/>
        </w:rPr>
        <w:t>Security and DevOps engineers spend up to 40% of their time collecting manual evidence rather than building and securing core business products.</w:t>
      </w:r>
    </w:p>
    <w:p>
      <w:pPr>
        <w:spacing w:before="20" w:after="60" w:line="276" w:lineRule="auto"/>
      </w:pPr>
      <w:r>
        <w:rPr>
          <w:rFonts w:ascii="Arial" w:hAnsi="Arial"/>
          <w:color w:val="1A73E8"/>
          <w:sz w:val="19"/>
        </w:rPr>
        <w:t xml:space="preserve">• </w:t>
      </w:r>
      <w:r>
        <w:rPr>
          <w:rFonts w:ascii="Arial" w:hAnsi="Arial"/>
          <w:b/>
          <w:color w:val="202124"/>
          <w:sz w:val="19"/>
        </w:rPr>
        <w:t xml:space="preserve">Compliance Decay &amp; Blind Spots: </w:t>
      </w:r>
      <w:r>
        <w:rPr>
          <w:rFonts w:ascii="Arial" w:hAnsi="Arial"/>
          <w:color w:val="3C4043"/>
          <w:sz w:val="19"/>
        </w:rPr>
        <w:t>Periodic reviews only evaluate a static snapshot. Critical misconfigurations (public storage buckets, over-privileged IAM keys, disabled KMS rotation) that emerge between cycles remain completely invisible.</w:t>
      </w:r>
    </w:p>
    <w:p>
      <w:pPr>
        <w:spacing w:before="20" w:after="60" w:line="276" w:lineRule="auto"/>
      </w:pPr>
      <w:r>
        <w:rPr>
          <w:rFonts w:ascii="Arial" w:hAnsi="Arial"/>
          <w:color w:val="1A73E8"/>
          <w:sz w:val="19"/>
        </w:rPr>
        <w:t xml:space="preserve">• </w:t>
      </w:r>
      <w:r>
        <w:rPr>
          <w:rFonts w:ascii="Arial" w:hAnsi="Arial"/>
          <w:b/>
          <w:color w:val="202124"/>
          <w:sz w:val="19"/>
        </w:rPr>
        <w:t xml:space="preserve">High External Consultancy Costs: </w:t>
      </w:r>
      <w:r>
        <w:rPr>
          <w:rFonts w:ascii="Arial" w:hAnsi="Arial"/>
          <w:color w:val="3C4043"/>
          <w:sz w:val="19"/>
        </w:rPr>
        <w:t>Traditional GRC readiness assessments cost hundreds of thousands of dollars per review cycle while yielding static, perishable PDF binders.</w:t>
      </w:r>
    </w:p>
    <w:p>
      <w:pPr>
        <w:spacing w:before="20" w:after="60" w:line="276" w:lineRule="auto"/>
      </w:pPr>
      <w:r>
        <w:rPr>
          <w:rFonts w:ascii="Arial" w:hAnsi="Arial"/>
          <w:color w:val="1A73E8"/>
          <w:sz w:val="19"/>
        </w:rPr>
        <w:t xml:space="preserve">• </w:t>
      </w:r>
      <w:r>
        <w:rPr>
          <w:rFonts w:ascii="Arial" w:hAnsi="Arial"/>
          <w:b/>
          <w:color w:val="202124"/>
          <w:sz w:val="19"/>
        </w:rPr>
        <w:t xml:space="preserve">Inconsistent Evidence Formats: </w:t>
      </w:r>
      <w:r>
        <w:rPr>
          <w:rFonts w:ascii="Arial" w:hAnsi="Arial"/>
          <w:color w:val="3C4043"/>
          <w:sz w:val="19"/>
        </w:rPr>
        <w:t>Manual evidence lacks cryptographic verifiability, forcing third-party certification bodies to re-request and cross-examine basic configurations.</w:t>
      </w:r>
    </w:p>
    <w:p>
      <w:pPr>
        <w:keepNext/>
        <w:spacing w:before="320" w:after="80"/>
        <w:pBdr>
          <w:bottom w:val="single" w:sz="6" w:space="2" w:color="DADCE0"/>
        </w:pBdr>
      </w:pPr>
      <w:r>
        <w:rPr>
          <w:rFonts w:ascii="Arial" w:hAnsi="Arial"/>
          <w:b/>
          <w:color w:val="1A73E8"/>
          <w:sz w:val="30"/>
        </w:rPr>
        <w:t>3. Slide 2: The Solution — Autonomous Multi-Agent Orchestration (GEAP)</w:t>
      </w:r>
    </w:p>
    <w:p>
      <w:pPr>
        <w:spacing w:before="40" w:after="80" w:line="276" w:lineRule="auto"/>
      </w:pPr>
      <w:r>
        <w:rPr>
          <w:rFonts w:ascii="Arial" w:hAnsi="Arial"/>
          <w:color w:val="202124"/>
          <w:sz w:val="19"/>
        </w:rPr>
        <w:t>The Agentic Compliance Readiness Accelerator replaces manual workflows with a coordinated fleet of autonomous AI agents operating natively on Google Cloud:</w:t>
      </w:r>
    </w:p>
    <w:tbl>
      <w:tblPr>
        <w:tblW w:type="auto" w:w="0"/>
        <w:jc w:val="center"/>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4" w:space="0" w:color="DADCE0"/>
          <w:insideV w:val="single" w:sz="4" w:space="0" w:color="DADCE0"/>
        </w:tblBorders>
      </w:tblPr>
      <w:tblGrid>
        <w:gridCol w:w="3360"/>
        <w:gridCol w:w="3360"/>
        <w:gridCol w:w="3360"/>
      </w:tblGrid>
      <w:tr>
        <w:tc>
          <w:tcPr>
            <w:tcW w:type="dxa" w:w="2592"/>
            <w:tcMar>
              <w:top w:w="80" w:type="dxa"/>
              <w:bottom w:w="80" w:type="dxa"/>
              <w:left w:w="120" w:type="dxa"/>
              <w:right w:w="120" w:type="dxa"/>
            </w:tcMar>
            <w:shd w:fill="1A73E8"/>
          </w:tcPr>
          <w:p>
            <w:pPr>
              <w:jc w:val="left"/>
            </w:pPr>
            <w:r>
              <w:rPr>
                <w:rFonts w:ascii="Arial" w:hAnsi="Arial"/>
                <w:b/>
                <w:color w:val="FFFFFF"/>
                <w:sz w:val="18"/>
              </w:rPr>
              <w:t>Agent / Subagent</w:t>
            </w:r>
          </w:p>
        </w:tc>
        <w:tc>
          <w:tcPr>
            <w:tcW w:type="dxa" w:w="2592"/>
            <w:tcMar>
              <w:top w:w="80" w:type="dxa"/>
              <w:bottom w:w="80" w:type="dxa"/>
              <w:left w:w="120" w:type="dxa"/>
              <w:right w:w="120" w:type="dxa"/>
            </w:tcMar>
            <w:shd w:fill="1A73E8"/>
          </w:tcPr>
          <w:p>
            <w:pPr>
              <w:jc w:val="left"/>
            </w:pPr>
            <w:r>
              <w:rPr>
                <w:rFonts w:ascii="Arial" w:hAnsi="Arial"/>
                <w:b/>
                <w:color w:val="FFFFFF"/>
                <w:sz w:val="18"/>
              </w:rPr>
              <w:t>Foundation Model / Engine</w:t>
            </w:r>
          </w:p>
        </w:tc>
        <w:tc>
          <w:tcPr>
            <w:tcW w:type="dxa" w:w="4176"/>
            <w:tcMar>
              <w:top w:w="80" w:type="dxa"/>
              <w:bottom w:w="80" w:type="dxa"/>
              <w:left w:w="120" w:type="dxa"/>
              <w:right w:w="120" w:type="dxa"/>
            </w:tcMar>
            <w:shd w:fill="1A73E8"/>
          </w:tcPr>
          <w:p>
            <w:pPr>
              <w:jc w:val="left"/>
            </w:pPr>
            <w:r>
              <w:rPr>
                <w:rFonts w:ascii="Arial" w:hAnsi="Arial"/>
                <w:b/>
                <w:color w:val="FFFFFF"/>
                <w:sz w:val="18"/>
              </w:rPr>
              <w:t>Core Function &amp; Governance Role</w:t>
            </w:r>
          </w:p>
        </w:tc>
      </w:tr>
      <w:tr>
        <w:tc>
          <w:tcPr>
            <w:tcW w:type="dxa" w:w="2592"/>
            <w:tcMar>
              <w:top w:w="80" w:type="dxa"/>
              <w:bottom w:w="80" w:type="dxa"/>
              <w:left w:w="120" w:type="dxa"/>
              <w:right w:w="120" w:type="dxa"/>
            </w:tcMar>
            <w:shd w:fill="FFFFFF"/>
          </w:tcPr>
          <w:p>
            <w:pPr>
              <w:spacing w:line="276" w:lineRule="auto"/>
            </w:pPr>
            <w:r>
              <w:rPr>
                <w:rFonts w:ascii="Arial" w:hAnsi="Arial"/>
                <w:color w:val="202124"/>
                <w:sz w:val="17"/>
              </w:rPr>
              <w:t>Supervisor / Lead Advisor</w:t>
            </w:r>
          </w:p>
        </w:tc>
        <w:tc>
          <w:tcPr>
            <w:tcW w:type="dxa" w:w="2592"/>
            <w:tcMar>
              <w:top w:w="80" w:type="dxa"/>
              <w:bottom w:w="80" w:type="dxa"/>
              <w:left w:w="120" w:type="dxa"/>
              <w:right w:w="120" w:type="dxa"/>
            </w:tcMar>
            <w:shd w:fill="FFFFFF"/>
          </w:tcPr>
          <w:p>
            <w:pPr>
              <w:spacing w:line="276" w:lineRule="auto"/>
            </w:pPr>
            <w:r>
              <w:rPr>
                <w:rFonts w:ascii="Arial" w:hAnsi="Arial"/>
                <w:color w:val="202124"/>
                <w:sz w:val="17"/>
              </w:rPr>
              <w:t>Gemini 2.5 Pro (Vertex AI)</w:t>
            </w:r>
          </w:p>
        </w:tc>
        <w:tc>
          <w:tcPr>
            <w:tcW w:type="dxa" w:w="4176"/>
            <w:tcMar>
              <w:top w:w="80" w:type="dxa"/>
              <w:bottom w:w="80" w:type="dxa"/>
              <w:left w:w="120" w:type="dxa"/>
              <w:right w:w="120" w:type="dxa"/>
            </w:tcMar>
            <w:shd w:fill="FFFFFF"/>
          </w:tcPr>
          <w:p>
            <w:pPr>
              <w:spacing w:line="276" w:lineRule="auto"/>
            </w:pPr>
            <w:r>
              <w:rPr>
                <w:rFonts w:ascii="Arial" w:hAnsi="Arial"/>
                <w:color w:val="202124"/>
                <w:sz w:val="17"/>
              </w:rPr>
              <w:t>Decomposes compliance objectives, delegates tasks to specialized subagents, enforces safety guardrails, and synthesizes executive dossiers.</w:t>
            </w:r>
          </w:p>
        </w:tc>
      </w:tr>
      <w:tr>
        <w:tc>
          <w:tcPr>
            <w:tcW w:type="dxa" w:w="2592"/>
            <w:tcMar>
              <w:top w:w="80" w:type="dxa"/>
              <w:bottom w:w="80" w:type="dxa"/>
              <w:left w:w="120" w:type="dxa"/>
              <w:right w:w="120" w:type="dxa"/>
            </w:tcMar>
            <w:shd w:fill="F8F9FA"/>
          </w:tcPr>
          <w:p>
            <w:pPr>
              <w:spacing w:line="276" w:lineRule="auto"/>
            </w:pPr>
            <w:r>
              <w:rPr>
                <w:rFonts w:ascii="Arial" w:hAnsi="Arial"/>
                <w:color w:val="202124"/>
                <w:sz w:val="17"/>
              </w:rPr>
              <w:t>Annex A Security Assessor</w:t>
            </w:r>
          </w:p>
        </w:tc>
        <w:tc>
          <w:tcPr>
            <w:tcW w:type="dxa" w:w="2592"/>
            <w:tcMar>
              <w:top w:w="80" w:type="dxa"/>
              <w:bottom w:w="80" w:type="dxa"/>
              <w:left w:w="120" w:type="dxa"/>
              <w:right w:w="120" w:type="dxa"/>
            </w:tcMar>
            <w:shd w:fill="F8F9FA"/>
          </w:tcPr>
          <w:p>
            <w:pPr>
              <w:spacing w:line="276" w:lineRule="auto"/>
            </w:pPr>
            <w:r>
              <w:rPr>
                <w:rFonts w:ascii="Arial" w:hAnsi="Arial"/>
                <w:color w:val="202124"/>
                <w:sz w:val="17"/>
              </w:rPr>
              <w:t>Gemini 2.5 Flash (Vertex AI)</w:t>
            </w:r>
          </w:p>
        </w:tc>
        <w:tc>
          <w:tcPr>
            <w:tcW w:type="dxa" w:w="4176"/>
            <w:tcMar>
              <w:top w:w="80" w:type="dxa"/>
              <w:bottom w:w="80" w:type="dxa"/>
              <w:left w:w="120" w:type="dxa"/>
              <w:right w:w="120" w:type="dxa"/>
            </w:tcMar>
            <w:shd w:fill="F8F9FA"/>
          </w:tcPr>
          <w:p>
            <w:pPr>
              <w:spacing w:line="276" w:lineRule="auto"/>
            </w:pPr>
            <w:r>
              <w:rPr>
                <w:rFonts w:ascii="Arial" w:hAnsi="Arial"/>
                <w:color w:val="202124"/>
                <w:sz w:val="17"/>
              </w:rPr>
              <w:t>Analyzes technical cloud configurations against all 93 controls of ISO/IEC 27001:2022 across Organizational, People, Physical, and Technological themes.</w:t>
            </w:r>
          </w:p>
        </w:tc>
      </w:tr>
      <w:tr>
        <w:tc>
          <w:tcPr>
            <w:tcW w:type="dxa" w:w="2592"/>
            <w:tcMar>
              <w:top w:w="80" w:type="dxa"/>
              <w:bottom w:w="80" w:type="dxa"/>
              <w:left w:w="120" w:type="dxa"/>
              <w:right w:w="120" w:type="dxa"/>
            </w:tcMar>
            <w:shd w:fill="FFFFFF"/>
          </w:tcPr>
          <w:p>
            <w:pPr>
              <w:spacing w:line="276" w:lineRule="auto"/>
            </w:pPr>
            <w:r>
              <w:rPr>
                <w:rFonts w:ascii="Arial" w:hAnsi="Arial"/>
                <w:color w:val="202124"/>
                <w:sz w:val="17"/>
              </w:rPr>
              <w:t>GCP Telemetry Reviewer</w:t>
            </w:r>
          </w:p>
        </w:tc>
        <w:tc>
          <w:tcPr>
            <w:tcW w:type="dxa" w:w="2592"/>
            <w:tcMar>
              <w:top w:w="80" w:type="dxa"/>
              <w:bottom w:w="80" w:type="dxa"/>
              <w:left w:w="120" w:type="dxa"/>
              <w:right w:w="120" w:type="dxa"/>
            </w:tcMar>
            <w:shd w:fill="FFFFFF"/>
          </w:tcPr>
          <w:p>
            <w:pPr>
              <w:spacing w:line="276" w:lineRule="auto"/>
            </w:pPr>
            <w:r>
              <w:rPr>
                <w:rFonts w:ascii="Arial" w:hAnsi="Arial"/>
                <w:color w:val="202124"/>
                <w:sz w:val="17"/>
              </w:rPr>
              <w:t>Deterministic Python SDK Tools</w:t>
            </w:r>
          </w:p>
        </w:tc>
        <w:tc>
          <w:tcPr>
            <w:tcW w:type="dxa" w:w="4176"/>
            <w:tcMar>
              <w:top w:w="80" w:type="dxa"/>
              <w:bottom w:w="80" w:type="dxa"/>
              <w:left w:w="120" w:type="dxa"/>
              <w:right w:w="120" w:type="dxa"/>
            </w:tcMar>
            <w:shd w:fill="FFFFFF"/>
          </w:tcPr>
          <w:p>
            <w:pPr>
              <w:spacing w:line="276" w:lineRule="auto"/>
            </w:pPr>
            <w:r>
              <w:rPr>
                <w:rFonts w:ascii="Arial" w:hAnsi="Arial"/>
                <w:color w:val="202124"/>
                <w:sz w:val="17"/>
              </w:rPr>
              <w:t>Queries live GCP APIs (Cloud Asset Inventory, Cloud KMS, Cloud Storage, IAM, SCC) with strictly read-only scopes. Zero hallucinations.</w:t>
            </w:r>
          </w:p>
        </w:tc>
      </w:tr>
      <w:tr>
        <w:tc>
          <w:tcPr>
            <w:tcW w:type="dxa" w:w="2592"/>
            <w:tcMar>
              <w:top w:w="80" w:type="dxa"/>
              <w:bottom w:w="80" w:type="dxa"/>
              <w:left w:w="120" w:type="dxa"/>
              <w:right w:w="120" w:type="dxa"/>
            </w:tcMar>
            <w:shd w:fill="F8F9FA"/>
          </w:tcPr>
          <w:p>
            <w:pPr>
              <w:spacing w:line="276" w:lineRule="auto"/>
            </w:pPr>
            <w:r>
              <w:rPr>
                <w:rFonts w:ascii="Arial" w:hAnsi="Arial"/>
                <w:color w:val="202124"/>
                <w:sz w:val="17"/>
              </w:rPr>
              <w:t>FinOps &amp; Token Tracker</w:t>
            </w:r>
          </w:p>
        </w:tc>
        <w:tc>
          <w:tcPr>
            <w:tcW w:type="dxa" w:w="2592"/>
            <w:tcMar>
              <w:top w:w="80" w:type="dxa"/>
              <w:bottom w:w="80" w:type="dxa"/>
              <w:left w:w="120" w:type="dxa"/>
              <w:right w:w="120" w:type="dxa"/>
            </w:tcMar>
            <w:shd w:fill="F8F9FA"/>
          </w:tcPr>
          <w:p>
            <w:pPr>
              <w:spacing w:line="276" w:lineRule="auto"/>
            </w:pPr>
            <w:r>
              <w:rPr>
                <w:rFonts w:ascii="Arial" w:hAnsi="Arial"/>
                <w:color w:val="202124"/>
                <w:sz w:val="17"/>
              </w:rPr>
              <w:t>Gemini 2.5 Flash (Vertex AI)</w:t>
            </w:r>
          </w:p>
        </w:tc>
        <w:tc>
          <w:tcPr>
            <w:tcW w:type="dxa" w:w="4176"/>
            <w:tcMar>
              <w:top w:w="80" w:type="dxa"/>
              <w:bottom w:w="80" w:type="dxa"/>
              <w:left w:w="120" w:type="dxa"/>
              <w:right w:w="120" w:type="dxa"/>
            </w:tcMar>
            <w:shd w:fill="F8F9FA"/>
          </w:tcPr>
          <w:p>
            <w:pPr>
              <w:spacing w:line="276" w:lineRule="auto"/>
            </w:pPr>
            <w:r>
              <w:rPr>
                <w:rFonts w:ascii="Arial" w:hAnsi="Arial"/>
                <w:color w:val="202124"/>
                <w:sz w:val="17"/>
              </w:rPr>
              <w:t>Tracks token usage per turn, calculates Gemini Context Caching hit ratios, and provides real-time cost transparency in USD ($) and BRL (R$).</w:t>
            </w:r>
          </w:p>
        </w:tc>
      </w:tr>
      <w:tr>
        <w:tc>
          <w:tcPr>
            <w:tcW w:type="dxa" w:w="2592"/>
            <w:tcMar>
              <w:top w:w="80" w:type="dxa"/>
              <w:bottom w:w="80" w:type="dxa"/>
              <w:left w:w="120" w:type="dxa"/>
              <w:right w:w="120" w:type="dxa"/>
            </w:tcMar>
            <w:shd w:fill="FFFFFF"/>
          </w:tcPr>
          <w:p>
            <w:pPr>
              <w:spacing w:line="276" w:lineRule="auto"/>
            </w:pPr>
            <w:r>
              <w:rPr>
                <w:rFonts w:ascii="Arial" w:hAnsi="Arial"/>
                <w:color w:val="202124"/>
                <w:sz w:val="17"/>
              </w:rPr>
              <w:t>Climate Resilience Advisor</w:t>
            </w:r>
          </w:p>
        </w:tc>
        <w:tc>
          <w:tcPr>
            <w:tcW w:type="dxa" w:w="2592"/>
            <w:tcMar>
              <w:top w:w="80" w:type="dxa"/>
              <w:bottom w:w="80" w:type="dxa"/>
              <w:left w:w="120" w:type="dxa"/>
              <w:right w:w="120" w:type="dxa"/>
            </w:tcMar>
            <w:shd w:fill="FFFFFF"/>
          </w:tcPr>
          <w:p>
            <w:pPr>
              <w:spacing w:line="276" w:lineRule="auto"/>
            </w:pPr>
            <w:r>
              <w:rPr>
                <w:rFonts w:ascii="Arial" w:hAnsi="Arial"/>
                <w:color w:val="202124"/>
                <w:sz w:val="17"/>
              </w:rPr>
              <w:t>Gemini 2.5 Flash (Vertex AI)</w:t>
            </w:r>
          </w:p>
        </w:tc>
        <w:tc>
          <w:tcPr>
            <w:tcW w:type="dxa" w:w="4176"/>
            <w:tcMar>
              <w:top w:w="80" w:type="dxa"/>
              <w:bottom w:w="80" w:type="dxa"/>
              <w:left w:w="120" w:type="dxa"/>
              <w:right w:w="120" w:type="dxa"/>
            </w:tcMar>
            <w:shd w:fill="FFFFFF"/>
          </w:tcPr>
          <w:p>
            <w:pPr>
              <w:spacing w:line="276" w:lineRule="auto"/>
            </w:pPr>
            <w:r>
              <w:rPr>
                <w:rFonts w:ascii="Arial" w:hAnsi="Arial"/>
                <w:color w:val="202124"/>
                <w:sz w:val="17"/>
              </w:rPr>
              <w:t>Evaluates infrastructure geographic distribution, carbon intensity, and environmental risks in strict adherence to ISO 27001:2022/Amd 1:2024.</w:t>
            </w:r>
          </w:p>
        </w:tc>
      </w:tr>
    </w:tbl>
    <w:p>
      <w:pPr>
        <w:keepNext/>
        <w:spacing w:before="320" w:after="80"/>
        <w:pBdr>
          <w:bottom w:val="single" w:sz="6" w:space="2" w:color="DADCE0"/>
        </w:pBdr>
      </w:pPr>
      <w:r>
        <w:rPr>
          <w:rFonts w:ascii="Arial" w:hAnsi="Arial"/>
          <w:b/>
          <w:color w:val="1A73E8"/>
          <w:sz w:val="30"/>
        </w:rPr>
        <w:t>4. Slide 3: The 4-Phase Autonomous Readiness Pipeline</w:t>
      </w:r>
    </w:p>
    <w:p>
      <w:pPr>
        <w:spacing w:before="40" w:after="80" w:line="276" w:lineRule="auto"/>
      </w:pPr>
      <w:r>
        <w:rPr>
          <w:rFonts w:ascii="Arial" w:hAnsi="Arial"/>
          <w:color w:val="202124"/>
          <w:sz w:val="19"/>
        </w:rPr>
        <w:t>The platform executes a deterministic 4-phase assessment workflow:</w:t>
      </w:r>
    </w:p>
    <w:p>
      <w:pPr>
        <w:spacing w:before="20" w:after="60" w:line="276" w:lineRule="auto"/>
      </w:pPr>
      <w:r>
        <w:rPr>
          <w:rFonts w:ascii="Arial" w:hAnsi="Arial"/>
          <w:color w:val="1A73E8"/>
          <w:sz w:val="19"/>
        </w:rPr>
        <w:t xml:space="preserve">• </w:t>
      </w:r>
      <w:r>
        <w:rPr>
          <w:rFonts w:ascii="Arial" w:hAnsi="Arial"/>
          <w:b/>
          <w:color w:val="202124"/>
          <w:sz w:val="19"/>
        </w:rPr>
        <w:t xml:space="preserve">Phase 1: Asset Discovery &amp; IAM Assessment: </w:t>
      </w:r>
      <w:r>
        <w:rPr>
          <w:rFonts w:ascii="Arial" w:hAnsi="Arial"/>
          <w:color w:val="3C4043"/>
          <w:sz w:val="19"/>
        </w:rPr>
        <w:t>Traverses all folders and projects in the Google Cloud Organization via Cloud Asset Inventory. Evaluates Cloud IAM policies against least privilege.</w:t>
      </w:r>
    </w:p>
    <w:p>
      <w:pPr>
        <w:spacing w:before="20" w:after="60" w:line="276" w:lineRule="auto"/>
      </w:pPr>
      <w:r>
        <w:rPr>
          <w:rFonts w:ascii="Arial" w:hAnsi="Arial"/>
          <w:color w:val="1A73E8"/>
          <w:sz w:val="19"/>
        </w:rPr>
        <w:t xml:space="preserve">• </w:t>
      </w:r>
      <w:r>
        <w:rPr>
          <w:rFonts w:ascii="Arial" w:hAnsi="Arial"/>
          <w:b/>
          <w:color w:val="202124"/>
          <w:sz w:val="19"/>
        </w:rPr>
        <w:t xml:space="preserve">Phase 2: Security &amp; Network Telemetry Analysis: </w:t>
      </w:r>
      <w:r>
        <w:rPr>
          <w:rFonts w:ascii="Arial" w:hAnsi="Arial"/>
          <w:color w:val="3C4043"/>
          <w:sz w:val="19"/>
        </w:rPr>
        <w:t>Inspects Cloud KMS HSM key rotation cycles, Cloud Storage PAP/UBLA, VPC firewall ingress boundaries, and Security Command Center posture.</w:t>
      </w:r>
    </w:p>
    <w:p>
      <w:pPr>
        <w:spacing w:before="20" w:after="60" w:line="276" w:lineRule="auto"/>
      </w:pPr>
      <w:r>
        <w:rPr>
          <w:rFonts w:ascii="Arial" w:hAnsi="Arial"/>
          <w:color w:val="1A73E8"/>
          <w:sz w:val="19"/>
        </w:rPr>
        <w:t xml:space="preserve">• </w:t>
      </w:r>
      <w:r>
        <w:rPr>
          <w:rFonts w:ascii="Arial" w:hAnsi="Arial"/>
          <w:b/>
          <w:color w:val="202124"/>
          <w:sz w:val="19"/>
        </w:rPr>
        <w:t xml:space="preserve">Phase 3: Policy Integration &amp; Zero-Copy Grounding: </w:t>
      </w:r>
      <w:r>
        <w:rPr>
          <w:rFonts w:ascii="Arial" w:hAnsi="Arial"/>
          <w:color w:val="3C4043"/>
          <w:sz w:val="19"/>
        </w:rPr>
        <w:t>Connects directly to Google Drive, Microsoft SharePoint, and Jira to extract corporate ISMS policies in ephemeral memory with zero permanent data replication.</w:t>
      </w:r>
    </w:p>
    <w:p>
      <w:pPr>
        <w:spacing w:before="20" w:after="60" w:line="276" w:lineRule="auto"/>
      </w:pPr>
      <w:r>
        <w:rPr>
          <w:rFonts w:ascii="Arial" w:hAnsi="Arial"/>
          <w:color w:val="1A73E8"/>
          <w:sz w:val="19"/>
        </w:rPr>
        <w:t xml:space="preserve">• </w:t>
      </w:r>
      <w:r>
        <w:rPr>
          <w:rFonts w:ascii="Arial" w:hAnsi="Arial"/>
          <w:b/>
          <w:color w:val="202124"/>
          <w:sz w:val="19"/>
        </w:rPr>
        <w:t xml:space="preserve">Phase 4: Synthesis, Merkle Anchoring &amp; Reporting: </w:t>
      </w:r>
      <w:r>
        <w:rPr>
          <w:rFonts w:ascii="Arial" w:hAnsi="Arial"/>
          <w:color w:val="3C4043"/>
          <w:sz w:val="19"/>
        </w:rPr>
        <w:t>Calculates readiness scores, generates ISO Stage 2 readiness dossiers, and anchors all findings into a tamper-evident SHA-256 Merkle DAG.</w:t>
      </w:r>
    </w:p>
    <w:p>
      <w:pPr>
        <w:keepNext/>
        <w:spacing w:before="320" w:after="80"/>
        <w:pBdr>
          <w:bottom w:val="single" w:sz="6" w:space="2" w:color="DADCE0"/>
        </w:pBdr>
      </w:pPr>
      <w:r>
        <w:rPr>
          <w:rFonts w:ascii="Arial" w:hAnsi="Arial"/>
          <w:b/>
          <w:color w:val="1A73E8"/>
          <w:sz w:val="30"/>
        </w:rPr>
        <w:t>5. Slide 4: Zero-Copy Data Grounding &amp; Identity Preservation</w:t>
      </w:r>
    </w:p>
    <w:p>
      <w:pPr>
        <w:spacing w:before="40" w:after="80" w:line="276" w:lineRule="auto"/>
      </w:pPr>
      <w:r>
        <w:rPr>
          <w:rFonts w:ascii="Arial" w:hAnsi="Arial"/>
          <w:color w:val="202124"/>
          <w:sz w:val="19"/>
        </w:rPr>
        <w:t>Enterprise data residency and zero-retention requirements are strictly honored through Zero-Copy architecture:</w:t>
      </w:r>
    </w:p>
    <w:p>
      <w:pPr>
        <w:spacing w:before="20" w:after="60" w:line="276" w:lineRule="auto"/>
      </w:pPr>
      <w:r>
        <w:rPr>
          <w:rFonts w:ascii="Arial" w:hAnsi="Arial"/>
          <w:color w:val="1A73E8"/>
          <w:sz w:val="19"/>
        </w:rPr>
        <w:t xml:space="preserve">• </w:t>
      </w:r>
      <w:r>
        <w:rPr>
          <w:rFonts w:ascii="Arial" w:hAnsi="Arial"/>
          <w:b/>
          <w:color w:val="202124"/>
          <w:sz w:val="19"/>
        </w:rPr>
        <w:t xml:space="preserve">Direct API Ingestion: </w:t>
      </w:r>
      <w:r>
        <w:rPr>
          <w:rFonts w:ascii="Arial" w:hAnsi="Arial"/>
          <w:color w:val="3C4043"/>
          <w:sz w:val="19"/>
        </w:rPr>
        <w:t>Policies and architecture documents are fetched in real-time from source repositories (Drive, SharePoint, Jira).</w:t>
      </w:r>
    </w:p>
    <w:p>
      <w:pPr>
        <w:spacing w:before="20" w:after="60" w:line="276" w:lineRule="auto"/>
      </w:pPr>
      <w:r>
        <w:rPr>
          <w:rFonts w:ascii="Arial" w:hAnsi="Arial"/>
          <w:color w:val="1A73E8"/>
          <w:sz w:val="19"/>
        </w:rPr>
        <w:t xml:space="preserve">• </w:t>
      </w:r>
      <w:r>
        <w:rPr>
          <w:rFonts w:ascii="Arial" w:hAnsi="Arial"/>
          <w:b/>
          <w:color w:val="202124"/>
          <w:sz w:val="19"/>
        </w:rPr>
        <w:t xml:space="preserve">Ephemeral Memory Only: </w:t>
      </w:r>
      <w:r>
        <w:rPr>
          <w:rFonts w:ascii="Arial" w:hAnsi="Arial"/>
          <w:color w:val="3C4043"/>
          <w:sz w:val="19"/>
        </w:rPr>
        <w:t>Document contents are processed in volatile container memory during the session turn and immediately flushed upon response completion.</w:t>
      </w:r>
    </w:p>
    <w:p>
      <w:pPr>
        <w:spacing w:before="20" w:after="60" w:line="276" w:lineRule="auto"/>
      </w:pPr>
      <w:r>
        <w:rPr>
          <w:rFonts w:ascii="Arial" w:hAnsi="Arial"/>
          <w:color w:val="1A73E8"/>
          <w:sz w:val="19"/>
        </w:rPr>
        <w:t xml:space="preserve">• </w:t>
      </w:r>
      <w:r>
        <w:rPr>
          <w:rFonts w:ascii="Arial" w:hAnsi="Arial"/>
          <w:b/>
          <w:color w:val="202124"/>
          <w:sz w:val="19"/>
        </w:rPr>
        <w:t xml:space="preserve">User Identity Preservation: </w:t>
      </w:r>
      <w:r>
        <w:rPr>
          <w:rFonts w:ascii="Arial" w:hAnsi="Arial"/>
          <w:color w:val="3C4043"/>
          <w:sz w:val="19"/>
        </w:rPr>
        <w:t>Access tokens are passed via BeyondCorp IAP. The platform never operates as a high-privilege service account reading all files.</w:t>
      </w:r>
    </w:p>
    <w:p>
      <w:pPr>
        <w:keepNext/>
        <w:spacing w:before="320" w:after="80"/>
        <w:pBdr>
          <w:bottom w:val="single" w:sz="6" w:space="2" w:color="DADCE0"/>
        </w:pBdr>
      </w:pPr>
      <w:r>
        <w:rPr>
          <w:rFonts w:ascii="Arial" w:hAnsi="Arial"/>
          <w:b/>
          <w:color w:val="1A73E8"/>
          <w:sz w:val="30"/>
        </w:rPr>
        <w:t>6. Slide 5: The Iron Triangle of Agentic Safety &amp; Governance</w:t>
      </w:r>
    </w:p>
    <w:p>
      <w:pPr>
        <w:spacing w:before="40" w:after="80" w:line="276" w:lineRule="auto"/>
      </w:pPr>
      <w:r>
        <w:rPr>
          <w:rFonts w:ascii="Arial" w:hAnsi="Arial"/>
          <w:color w:val="202124"/>
          <w:sz w:val="19"/>
        </w:rPr>
        <w:t>Autonomous agents operate inside a rigorous 3-sided security perimeter:</w:t>
      </w:r>
    </w:p>
    <w:p>
      <w:pPr>
        <w:spacing w:before="20" w:after="60" w:line="276" w:lineRule="auto"/>
      </w:pPr>
      <w:r>
        <w:rPr>
          <w:rFonts w:ascii="Arial" w:hAnsi="Arial"/>
          <w:color w:val="1A73E8"/>
          <w:sz w:val="19"/>
        </w:rPr>
        <w:t xml:space="preserve">• </w:t>
      </w:r>
      <w:r>
        <w:rPr>
          <w:rFonts w:ascii="Arial" w:hAnsi="Arial"/>
          <w:b/>
          <w:color w:val="202124"/>
          <w:sz w:val="19"/>
        </w:rPr>
        <w:t xml:space="preserve">Side 1: Model Armor Ingress/Egress Guardrails: </w:t>
      </w:r>
      <w:r>
        <w:rPr>
          <w:rFonts w:ascii="Arial" w:hAnsi="Arial"/>
          <w:color w:val="3C4043"/>
          <w:sz w:val="19"/>
        </w:rPr>
        <w:t>Inspects all user prompts to block prompt injections, jailbreaks, and PII leakage. Evaluates all LLM outputs before display.</w:t>
      </w:r>
    </w:p>
    <w:p>
      <w:pPr>
        <w:spacing w:before="20" w:after="60" w:line="276" w:lineRule="auto"/>
      </w:pPr>
      <w:r>
        <w:rPr>
          <w:rFonts w:ascii="Arial" w:hAnsi="Arial"/>
          <w:color w:val="1A73E8"/>
          <w:sz w:val="19"/>
        </w:rPr>
        <w:t xml:space="preserve">• </w:t>
      </w:r>
      <w:r>
        <w:rPr>
          <w:rFonts w:ascii="Arial" w:hAnsi="Arial"/>
          <w:b/>
          <w:color w:val="202124"/>
          <w:sz w:val="19"/>
        </w:rPr>
        <w:t xml:space="preserve">Side 2: Zero-Mutation Sandboxes: </w:t>
      </w:r>
      <w:r>
        <w:rPr>
          <w:rFonts w:ascii="Arial" w:hAnsi="Arial"/>
          <w:color w:val="3C4043"/>
          <w:sz w:val="19"/>
        </w:rPr>
        <w:t>Strictly read-only enforcement. The agent cannot modify firewalls, alter IAM roles, delete resources, or write cloud configuration.</w:t>
      </w:r>
    </w:p>
    <w:p>
      <w:pPr>
        <w:spacing w:before="20" w:after="60" w:line="276" w:lineRule="auto"/>
      </w:pPr>
      <w:r>
        <w:rPr>
          <w:rFonts w:ascii="Arial" w:hAnsi="Arial"/>
          <w:color w:val="1A73E8"/>
          <w:sz w:val="19"/>
        </w:rPr>
        <w:t xml:space="preserve">• </w:t>
      </w:r>
      <w:r>
        <w:rPr>
          <w:rFonts w:ascii="Arial" w:hAnsi="Arial"/>
          <w:b/>
          <w:color w:val="202124"/>
          <w:sz w:val="19"/>
        </w:rPr>
        <w:t xml:space="preserve">Side 3: BeyondCorp Identity-Aware Proxy (IAP): </w:t>
      </w:r>
      <w:r>
        <w:rPr>
          <w:rFonts w:ascii="Arial" w:hAnsi="Arial"/>
          <w:color w:val="3C4043"/>
          <w:sz w:val="19"/>
        </w:rPr>
        <w:t>Enterprise perimeter authentication backed by Google Workspace SSO, cryptographic JWT assertion verification, and granular RBAC.</w:t>
      </w:r>
    </w:p>
    <w:p>
      <w:pPr>
        <w:keepNext/>
        <w:spacing w:before="320" w:after="80"/>
        <w:pBdr>
          <w:bottom w:val="single" w:sz="6" w:space="2" w:color="DADCE0"/>
        </w:pBdr>
      </w:pPr>
      <w:r>
        <w:rPr>
          <w:rFonts w:ascii="Arial" w:hAnsi="Arial"/>
          <w:b/>
          <w:color w:val="1A73E8"/>
          <w:sz w:val="30"/>
        </w:rPr>
        <w:t>7. Slide 6: FinOps ROI — Gemini Context Caching Economics</w:t>
      </w:r>
    </w:p>
    <w:p>
      <w:pPr>
        <w:spacing w:before="40" w:after="80" w:line="276" w:lineRule="auto"/>
      </w:pPr>
      <w:r>
        <w:rPr>
          <w:rFonts w:ascii="Arial" w:hAnsi="Arial"/>
          <w:color w:val="202124"/>
          <w:sz w:val="19"/>
        </w:rPr>
        <w:t>Enterprise compliance reviews require reading extensive technical documentation. Gemini Context Caching on Vertex AI delivers massive operational efficiencies:</w:t>
      </w:r>
    </w:p>
    <w:p>
      <w:pPr>
        <w:spacing w:before="20" w:after="60" w:line="276" w:lineRule="auto"/>
      </w:pPr>
      <w:r>
        <w:rPr>
          <w:rFonts w:ascii="Arial" w:hAnsi="Arial"/>
          <w:color w:val="1A73E8"/>
          <w:sz w:val="19"/>
        </w:rPr>
        <w:t xml:space="preserve">• </w:t>
      </w:r>
      <w:r>
        <w:rPr>
          <w:rFonts w:ascii="Arial" w:hAnsi="Arial"/>
          <w:b/>
          <w:color w:val="202124"/>
          <w:sz w:val="19"/>
        </w:rPr>
        <w:t xml:space="preserve">73% Input Token Cost Reduction: </w:t>
      </w:r>
      <w:r>
        <w:rPr>
          <w:rFonts w:ascii="Arial" w:hAnsi="Arial"/>
          <w:color w:val="3C4043"/>
          <w:sz w:val="19"/>
        </w:rPr>
        <w:t>Static compliance standards (the 93 ISO controls) and baseline client policies are cached in Vertex AI memory.</w:t>
      </w:r>
    </w:p>
    <w:p>
      <w:pPr>
        <w:spacing w:before="20" w:after="60" w:line="276" w:lineRule="auto"/>
      </w:pPr>
      <w:r>
        <w:rPr>
          <w:rFonts w:ascii="Arial" w:hAnsi="Arial"/>
          <w:color w:val="1A73E8"/>
          <w:sz w:val="19"/>
        </w:rPr>
        <w:t xml:space="preserve">• </w:t>
      </w:r>
      <w:r>
        <w:rPr>
          <w:rFonts w:ascii="Arial" w:hAnsi="Arial"/>
          <w:b/>
          <w:color w:val="202124"/>
          <w:sz w:val="19"/>
        </w:rPr>
        <w:t xml:space="preserve">Sub-Second Response Latency: </w:t>
      </w:r>
      <w:r>
        <w:rPr>
          <w:rFonts w:ascii="Arial" w:hAnsi="Arial"/>
          <w:color w:val="3C4043"/>
          <w:sz w:val="19"/>
        </w:rPr>
        <w:t>Cached token contexts bypass pre-fill tokenization, cutting response latency by up to 60%.</w:t>
      </w:r>
    </w:p>
    <w:p>
      <w:pPr>
        <w:spacing w:before="20" w:after="60" w:line="276" w:lineRule="auto"/>
      </w:pPr>
      <w:r>
        <w:rPr>
          <w:rFonts w:ascii="Arial" w:hAnsi="Arial"/>
          <w:color w:val="1A73E8"/>
          <w:sz w:val="19"/>
        </w:rPr>
        <w:t xml:space="preserve">• </w:t>
      </w:r>
      <w:r>
        <w:rPr>
          <w:rFonts w:ascii="Arial" w:hAnsi="Arial"/>
          <w:b/>
          <w:color w:val="202124"/>
          <w:sz w:val="19"/>
        </w:rPr>
        <w:t xml:space="preserve">Real-Time Telemetry &amp; Transparency: </w:t>
      </w:r>
      <w:r>
        <w:rPr>
          <w:rFonts w:ascii="Arial" w:hAnsi="Arial"/>
          <w:color w:val="3C4043"/>
          <w:sz w:val="19"/>
        </w:rPr>
        <w:t>The platform dashboard displays instantaneous prompt tokens, cached tokens, output tokens, and dollar cost per turn.</w:t>
      </w:r>
    </w:p>
    <w:p>
      <w:pPr>
        <w:keepNext/>
        <w:spacing w:before="320" w:after="80"/>
        <w:pBdr>
          <w:bottom w:val="single" w:sz="6" w:space="2" w:color="DADCE0"/>
        </w:pBdr>
      </w:pPr>
      <w:r>
        <w:rPr>
          <w:rFonts w:ascii="Arial" w:hAnsi="Arial"/>
          <w:b/>
          <w:color w:val="1A73E8"/>
          <w:sz w:val="30"/>
        </w:rPr>
        <w:t>8. Slide 7: Client Onboarding &amp; Dual Deployment Architecture Models</w:t>
      </w:r>
    </w:p>
    <w:p>
      <w:pPr>
        <w:spacing w:before="40" w:after="80" w:line="276" w:lineRule="auto"/>
      </w:pPr>
      <w:r>
        <w:rPr>
          <w:rFonts w:ascii="Arial" w:hAnsi="Arial"/>
          <w:color w:val="202124"/>
          <w:sz w:val="19"/>
        </w:rPr>
        <w:t>Organizations choose between two delivery models based on compliance and regulatory posture:</w:t>
      </w:r>
    </w:p>
    <w:p>
      <w:pPr>
        <w:spacing w:before="20" w:after="60" w:line="276" w:lineRule="auto"/>
      </w:pPr>
      <w:r>
        <w:rPr>
          <w:rFonts w:ascii="Arial" w:hAnsi="Arial"/>
          <w:color w:val="1A73E8"/>
          <w:sz w:val="19"/>
        </w:rPr>
        <w:t xml:space="preserve">• </w:t>
      </w:r>
      <w:r>
        <w:rPr>
          <w:rFonts w:ascii="Arial" w:hAnsi="Arial"/>
          <w:b/>
          <w:color w:val="202124"/>
          <w:sz w:val="19"/>
        </w:rPr>
        <w:t xml:space="preserve">Model A: Central Advisor (SaaS Hub): </w:t>
      </w:r>
      <w:r>
        <w:rPr>
          <w:rFonts w:ascii="Arial" w:hAnsi="Arial"/>
          <w:color w:val="3C4043"/>
          <w:sz w:val="19"/>
        </w:rPr>
        <w:t>Hosted in Google Cloud Run. The client executes a 5-minute Cloud Shell bootstrap script granting time-boxed read-only IAM roles.</w:t>
      </w:r>
    </w:p>
    <w:p>
      <w:pPr>
        <w:spacing w:before="20" w:after="60" w:line="276" w:lineRule="auto"/>
      </w:pPr>
      <w:r>
        <w:rPr>
          <w:rFonts w:ascii="Arial" w:hAnsi="Arial"/>
          <w:color w:val="1A73E8"/>
          <w:sz w:val="19"/>
        </w:rPr>
        <w:t xml:space="preserve">• </w:t>
      </w:r>
      <w:r>
        <w:rPr>
          <w:rFonts w:ascii="Arial" w:hAnsi="Arial"/>
          <w:b/>
          <w:color w:val="202124"/>
          <w:sz w:val="19"/>
        </w:rPr>
        <w:t xml:space="preserve">Model B: Dedicated In-Client Tenant: </w:t>
      </w:r>
      <w:r>
        <w:rPr>
          <w:rFonts w:ascii="Arial" w:hAnsi="Arial"/>
          <w:color w:val="3C4043"/>
          <w:sz w:val="19"/>
        </w:rPr>
        <w:t>Provisioned entirely within the client's own Google Cloud Organization via Terraform. Data and telemetry never leave client perimeter.</w:t>
      </w:r>
    </w:p>
    <w:p>
      <w:pPr>
        <w:keepNext/>
        <w:spacing w:before="320" w:after="80"/>
        <w:pBdr>
          <w:bottom w:val="single" w:sz="6" w:space="2" w:color="DADCE0"/>
        </w:pBdr>
      </w:pPr>
      <w:r>
        <w:rPr>
          <w:rFonts w:ascii="Arial" w:hAnsi="Arial"/>
          <w:b/>
          <w:color w:val="1A73E8"/>
          <w:sz w:val="30"/>
        </w:rPr>
        <w:t>9. Slide 8: Multi-Framework Roadmap (SOC 2, PCI-DSS, NIST CSF 2.0)</w:t>
      </w:r>
    </w:p>
    <w:p>
      <w:pPr>
        <w:spacing w:before="40" w:after="80" w:line="276" w:lineRule="auto"/>
      </w:pPr>
      <w:r>
        <w:rPr>
          <w:rFonts w:ascii="Arial" w:hAnsi="Arial"/>
          <w:color w:val="202124"/>
          <w:sz w:val="19"/>
        </w:rPr>
        <w:t>While ISO/IEC 27001:2022 serves as the primary foundational specification, the Agentic GRC architecture is designed for multi-framework compliance mapping:</w:t>
      </w:r>
    </w:p>
    <w:p>
      <w:pPr>
        <w:spacing w:before="20" w:after="60" w:line="276" w:lineRule="auto"/>
      </w:pPr>
      <w:r>
        <w:rPr>
          <w:rFonts w:ascii="Arial" w:hAnsi="Arial"/>
          <w:color w:val="1A73E8"/>
          <w:sz w:val="19"/>
        </w:rPr>
        <w:t xml:space="preserve">• </w:t>
      </w:r>
      <w:r>
        <w:rPr>
          <w:rFonts w:ascii="Arial" w:hAnsi="Arial"/>
          <w:b/>
          <w:color w:val="202124"/>
          <w:sz w:val="19"/>
        </w:rPr>
        <w:t xml:space="preserve">SOC 2 Type II: </w:t>
      </w:r>
      <w:r>
        <w:rPr>
          <w:rFonts w:ascii="Arial" w:hAnsi="Arial"/>
          <w:color w:val="3C4043"/>
          <w:sz w:val="19"/>
        </w:rPr>
        <w:t>Direct mapping to Trust Services Criteria (Security, Availability, Confidentiality, Processing Integrity, Privacy).</w:t>
      </w:r>
    </w:p>
    <w:p>
      <w:pPr>
        <w:spacing w:before="20" w:after="60" w:line="276" w:lineRule="auto"/>
      </w:pPr>
      <w:r>
        <w:rPr>
          <w:rFonts w:ascii="Arial" w:hAnsi="Arial"/>
          <w:color w:val="1A73E8"/>
          <w:sz w:val="19"/>
        </w:rPr>
        <w:t xml:space="preserve">• </w:t>
      </w:r>
      <w:r>
        <w:rPr>
          <w:rFonts w:ascii="Arial" w:hAnsi="Arial"/>
          <w:b/>
          <w:color w:val="202124"/>
          <w:sz w:val="19"/>
        </w:rPr>
        <w:t xml:space="preserve">PCI-DSS v4.0: </w:t>
      </w:r>
      <w:r>
        <w:rPr>
          <w:rFonts w:ascii="Arial" w:hAnsi="Arial"/>
          <w:color w:val="3C4043"/>
          <w:sz w:val="19"/>
        </w:rPr>
        <w:t>Automated telemetry verification of cardholder data environment (CDE) segmentation, CMEK encryption, and logging.</w:t>
      </w:r>
    </w:p>
    <w:p>
      <w:pPr>
        <w:spacing w:before="20" w:after="60" w:line="276" w:lineRule="auto"/>
      </w:pPr>
      <w:r>
        <w:rPr>
          <w:rFonts w:ascii="Arial" w:hAnsi="Arial"/>
          <w:color w:val="1A73E8"/>
          <w:sz w:val="19"/>
        </w:rPr>
        <w:t xml:space="preserve">• </w:t>
      </w:r>
      <w:r>
        <w:rPr>
          <w:rFonts w:ascii="Arial" w:hAnsi="Arial"/>
          <w:b/>
          <w:color w:val="202124"/>
          <w:sz w:val="19"/>
        </w:rPr>
        <w:t xml:space="preserve">NIST CSF 2.0: </w:t>
      </w:r>
      <w:r>
        <w:rPr>
          <w:rFonts w:ascii="Arial" w:hAnsi="Arial"/>
          <w:color w:val="3C4043"/>
          <w:sz w:val="19"/>
        </w:rPr>
        <w:t>Structured crosswalk across Identify, Protect, Detect, Respond, Recover, and Govern (GV) functions.</w:t>
      </w:r>
    </w:p>
    <w:p>
      <w:pPr>
        <w:keepNext/>
        <w:spacing w:before="320" w:after="80"/>
        <w:pBdr>
          <w:bottom w:val="single" w:sz="6" w:space="2" w:color="DADCE0"/>
        </w:pBdr>
      </w:pPr>
      <w:r>
        <w:rPr>
          <w:rFonts w:ascii="Arial" w:hAnsi="Arial"/>
          <w:b/>
          <w:color w:val="1A73E8"/>
          <w:sz w:val="30"/>
        </w:rPr>
        <w:t>10. Slide 9: Top 10 Executive &amp; Board Questions Answered</w:t>
      </w:r>
    </w:p>
    <w:p>
      <w:pPr>
        <w:spacing w:before="20" w:after="60" w:line="276" w:lineRule="auto"/>
      </w:pPr>
      <w:r>
        <w:rPr>
          <w:rFonts w:ascii="Arial" w:hAnsi="Arial"/>
          <w:color w:val="1A73E8"/>
          <w:sz w:val="19"/>
        </w:rPr>
        <w:t xml:space="preserve">• </w:t>
      </w:r>
      <w:r>
        <w:rPr>
          <w:rFonts w:ascii="Arial" w:hAnsi="Arial"/>
          <w:b/>
          <w:color w:val="202124"/>
          <w:sz w:val="19"/>
        </w:rPr>
        <w:t xml:space="preserve">Q1: Does Google Cloud certify our environment? </w:t>
      </w:r>
      <w:r>
        <w:rPr>
          <w:rFonts w:ascii="Arial" w:hAnsi="Arial"/>
          <w:color w:val="3C4043"/>
          <w:sz w:val="19"/>
        </w:rPr>
        <w:t>No. Google Cloud provides advisory readiness tooling. Accredited third-party certification bodies conduct formal certification audits.</w:t>
      </w:r>
    </w:p>
    <w:p>
      <w:pPr>
        <w:spacing w:before="20" w:after="60" w:line="276" w:lineRule="auto"/>
      </w:pPr>
      <w:r>
        <w:rPr>
          <w:rFonts w:ascii="Arial" w:hAnsi="Arial"/>
          <w:color w:val="1A73E8"/>
          <w:sz w:val="19"/>
        </w:rPr>
        <w:t xml:space="preserve">• </w:t>
      </w:r>
      <w:r>
        <w:rPr>
          <w:rFonts w:ascii="Arial" w:hAnsi="Arial"/>
          <w:b/>
          <w:color w:val="202124"/>
          <w:sz w:val="19"/>
        </w:rPr>
        <w:t xml:space="preserve">Q2: Can the agent break our production infrastructure? </w:t>
      </w:r>
      <w:r>
        <w:rPr>
          <w:rFonts w:ascii="Arial" w:hAnsi="Arial"/>
          <w:color w:val="3C4043"/>
          <w:sz w:val="19"/>
        </w:rPr>
        <w:t>No. All tools are strictly read-only and mathematically incapable of issuing mutative API calls.</w:t>
      </w:r>
    </w:p>
    <w:p>
      <w:pPr>
        <w:spacing w:before="20" w:after="60" w:line="276" w:lineRule="auto"/>
      </w:pPr>
      <w:r>
        <w:rPr>
          <w:rFonts w:ascii="Arial" w:hAnsi="Arial"/>
          <w:color w:val="1A73E8"/>
          <w:sz w:val="19"/>
        </w:rPr>
        <w:t xml:space="preserve">• </w:t>
      </w:r>
      <w:r>
        <w:rPr>
          <w:rFonts w:ascii="Arial" w:hAnsi="Arial"/>
          <w:b/>
          <w:color w:val="202124"/>
          <w:sz w:val="19"/>
        </w:rPr>
        <w:t xml:space="preserve">Q3: Where is our compliance evidence stored? </w:t>
      </w:r>
      <w:r>
        <w:rPr>
          <w:rFonts w:ascii="Arial" w:hAnsi="Arial"/>
          <w:color w:val="3C4043"/>
          <w:sz w:val="19"/>
        </w:rPr>
        <w:t>Evidence files reside in your designated Google Drive folder. Ephemeral evidence nodes form a cryptographic SHA-256 Merkle DAG.</w:t>
      </w:r>
    </w:p>
    <w:p>
      <w:pPr>
        <w:spacing w:before="20" w:after="60" w:line="276" w:lineRule="auto"/>
      </w:pPr>
      <w:r>
        <w:rPr>
          <w:rFonts w:ascii="Arial" w:hAnsi="Arial"/>
          <w:color w:val="1A73E8"/>
          <w:sz w:val="19"/>
        </w:rPr>
        <w:t xml:space="preserve">• </w:t>
      </w:r>
      <w:r>
        <w:rPr>
          <w:rFonts w:ascii="Arial" w:hAnsi="Arial"/>
          <w:b/>
          <w:color w:val="202124"/>
          <w:sz w:val="19"/>
        </w:rPr>
        <w:t xml:space="preserve">Q4: How does the system handle climate risk? </w:t>
      </w:r>
      <w:r>
        <w:rPr>
          <w:rFonts w:ascii="Arial" w:hAnsi="Arial"/>
          <w:color w:val="3C4043"/>
          <w:sz w:val="19"/>
        </w:rPr>
        <w:t>In full compliance with ISO 27001:2022/Amd 1:2024, the Climate Resilience Advisor verifies regional redundancy and carbon footprint data.</w:t>
      </w:r>
    </w:p>
    <w:p>
      <w:pPr>
        <w:spacing w:before="20" w:after="60" w:line="276" w:lineRule="auto"/>
      </w:pPr>
      <w:r>
        <w:rPr>
          <w:rFonts w:ascii="Arial" w:hAnsi="Arial"/>
          <w:color w:val="1A73E8"/>
          <w:sz w:val="19"/>
        </w:rPr>
        <w:t xml:space="preserve">• </w:t>
      </w:r>
      <w:r>
        <w:rPr>
          <w:rFonts w:ascii="Arial" w:hAnsi="Arial"/>
          <w:b/>
          <w:color w:val="202124"/>
          <w:sz w:val="19"/>
        </w:rPr>
        <w:t xml:space="preserve">Q5: How do we revoke access when the review ends? </w:t>
      </w:r>
      <w:r>
        <w:rPr>
          <w:rFonts w:ascii="Arial" w:hAnsi="Arial"/>
          <w:color w:val="3C4043"/>
          <w:sz w:val="19"/>
        </w:rPr>
        <w:t>Execute the provided 3-command gcloud script or click 'Disconnect' in the portal. Disconnecting stops live scans while preserving all historical reports.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DADCE0"/>
      </w:pBdr>
      <w:jc w:val="left"/>
    </w:pPr>
    <w:r>
      <w:rPr>
        <w:rFonts w:ascii="Arial" w:hAnsi="Arial"/>
        <w:color w:val="5F6368"/>
        <w:sz w:val="17"/>
      </w:rPr>
      <w:t>Google Cloud Enterprise Architecture — Compliance &amp; Security Advisory Blueprint</w:t>
      <w:tab/>
      <w:tab/>
      <w:t xml:space="preserve">Page </w:t>
    </w:r>
    <w:r>
      <w:rPr>
        <w:rFonts w:ascii="Arial" w:hAnsi="Arial"/>
        <w:color w:val="5F6368"/>
        <w:sz w:val="17"/>
      </w:rPr>
      <w:fldChar w:fldCharType="begin"/>
      <w:instrText xml:space="preserve"> PAGE </w:instrText>
      <w:fldChar w:fldCharType="separate"/>
      <w:fldChar w:fldCharType="end"/>
    </w:r>
    <w:r>
      <w:rPr>
        <w:rFonts w:ascii="Arial" w:hAnsi="Arial"/>
        <w:color w:val="5F6368"/>
        <w:sz w:val="17"/>
      </w:rPr>
      <w:t xml:space="preserve"> of </w:t>
    </w:r>
    <w:r>
      <w:rPr>
        <w:rFonts w:ascii="Arial" w:hAnsi="Arial"/>
        <w:color w:val="5F6368"/>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ADCE0"/>
      </w:pBdr>
    </w:pPr>
    <w:r>
      <w:rPr>
        <w:rFonts w:ascii="Arial" w:hAnsi="Arial"/>
        <w:b/>
        <w:color w:val="1A73E8"/>
        <w:sz w:val="17"/>
      </w:rPr>
      <w:t>Google Cloud</w:t>
    </w:r>
    <w:r>
      <w:rPr>
        <w:rFonts w:ascii="Arial" w:hAnsi="Arial"/>
        <w:color w:val="5F6368"/>
        <w:sz w:val="17"/>
      </w:rPr>
      <w:t xml:space="preserve">  |  Executive Presentation &amp; Board Briefing Deck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