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520"/>
        <w:gridCol w:w="2520"/>
        <w:gridCol w:w="2520"/>
        <w:gridCol w:w="2520"/>
      </w:tblGrid>
      <w:tr>
        <w:tc>
          <w:tcPr>
            <w:tcW w:type="dxa" w:w="2520"/>
            <w:shd w:fill="4285F4"/>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c>
          <w:tcPr>
            <w:tcW w:type="dxa" w:w="2520"/>
            <w:shd w:fill="EA4335"/>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c>
          <w:tcPr>
            <w:tcW w:type="dxa" w:w="2520"/>
            <w:shd w:fill="FBBC04"/>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c>
          <w:tcPr>
            <w:tcW w:type="dxa" w:w="2520"/>
            <w:shd w:fill="34A853"/>
            <w:tcMar>
              <w:top w:w="40" w:type="dxa"/>
              <w:bottom w:w="40" w:type="dxa"/>
              <w:left w:w="0" w:type="dxa"/>
              <w:right w:w="0" w:type="dxa"/>
            </w:tcMar>
            <w:tcBorders>
              <w:left w:val="none"/>
              <w:top w:val="none"/>
              <w:right w:val="none"/>
              <w:bottom w:val="none"/>
            </w:tcBorders>
          </w:tcPr>
          <w:p>
            <w:pPr>
              <w:spacing w:before="0" w:after="0" w:line="40" w:lineRule="exact"/>
            </w:pPr>
            <w:r>
              <w:rPr>
                <w:sz w:val="4"/>
              </w:rPr>
            </w:r>
          </w:p>
        </w:tc>
      </w:tr>
    </w:tbl>
    <w:p>
      <w:pPr>
        <w:spacing w:before="280" w:after="40"/>
      </w:pPr>
      <w:r>
        <w:rPr>
          <w:rFonts w:ascii="Arial" w:hAnsi="Arial"/>
          <w:b/>
          <w:color w:val="1A73E8"/>
          <w:sz w:val="19"/>
        </w:rPr>
        <w:t>GOOGLE CLOUD ENTERPRISE ARCHITECTURE &amp; ADVISORY</w:t>
      </w:r>
    </w:p>
    <w:p>
      <w:pPr>
        <w:spacing w:before="40" w:after="120"/>
      </w:pPr>
      <w:r>
        <w:rPr>
          <w:rFonts w:ascii="Arial" w:hAnsi="Arial"/>
          <w:b/>
          <w:color w:val="202124"/>
          <w:sz w:val="44"/>
        </w:rPr>
        <w:t>Technical Design Document (TDD): Agentic GRC Engine</w:t>
      </w:r>
    </w:p>
    <w:p>
      <w:pPr>
        <w:spacing w:before="0" w:after="240"/>
      </w:pPr>
      <w:r>
        <w:rPr>
          <w:rFonts w:ascii="Arial" w:hAnsi="Arial"/>
          <w:color w:val="5F6368"/>
          <w:sz w:val="23"/>
        </w:rPr>
        <w:t>Autonomous Multi-Agent Orchestration, StreamableHTTP MCP Protocol &amp; Zero-Copy Architecture</w:t>
      </w:r>
    </w:p>
    <w:tbl>
      <w:tblPr>
        <w:tblW w:type="auto" w:w="0"/>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4" w:space="0" w:color="DADCE0"/>
          <w:insideV w:val="single" w:sz="4" w:space="0" w:color="DADCE0"/>
        </w:tblBorders>
      </w:tblPr>
      <w:tblGrid>
        <w:gridCol w:w="5040"/>
        <w:gridCol w:w="5040"/>
      </w:tblGrid>
      <w:tr>
        <w:tc>
          <w:tcPr>
            <w:tcW w:type="dxa" w:w="3168"/>
            <w:shd w:fill="F8F9FA"/>
            <w:tcMar>
              <w:top w:w="60" w:type="dxa"/>
              <w:bottom w:w="60" w:type="dxa"/>
              <w:left w:w="100" w:type="dxa"/>
              <w:right w:w="100" w:type="dxa"/>
            </w:tcMar>
          </w:tcPr>
          <w:p>
            <w:r>
              <w:rPr>
                <w:rFonts w:ascii="Arial" w:hAnsi="Arial"/>
                <w:b/>
                <w:color w:val="5F6368"/>
                <w:sz w:val="17"/>
              </w:rPr>
              <w:t>DOCUMENT TITLE</w:t>
            </w:r>
          </w:p>
        </w:tc>
        <w:tc>
          <w:tcPr>
            <w:tcW w:type="dxa" w:w="6912"/>
            <w:shd w:fill="FFFFFF"/>
            <w:tcMar>
              <w:top w:w="60" w:type="dxa"/>
              <w:bottom w:w="60" w:type="dxa"/>
              <w:left w:w="100" w:type="dxa"/>
              <w:right w:w="100" w:type="dxa"/>
            </w:tcMar>
          </w:tcPr>
          <w:p>
            <w:r>
              <w:rPr>
                <w:rFonts w:ascii="Arial" w:hAnsi="Arial"/>
                <w:color w:val="202124"/>
                <w:sz w:val="18"/>
              </w:rPr>
              <w:t>Technical Design Document: Agentic GRC &amp; GEAP Blueprint</w:t>
            </w:r>
          </w:p>
        </w:tc>
      </w:tr>
      <w:tr>
        <w:tc>
          <w:tcPr>
            <w:tcW w:type="dxa" w:w="3168"/>
            <w:shd w:fill="F8F9FA"/>
            <w:tcMar>
              <w:top w:w="60" w:type="dxa"/>
              <w:bottom w:w="60" w:type="dxa"/>
              <w:left w:w="100" w:type="dxa"/>
              <w:right w:w="100" w:type="dxa"/>
            </w:tcMar>
          </w:tcPr>
          <w:p>
            <w:r>
              <w:rPr>
                <w:rFonts w:ascii="Arial" w:hAnsi="Arial"/>
                <w:b/>
                <w:color w:val="5F6368"/>
                <w:sz w:val="17"/>
              </w:rPr>
              <w:t>DOCUMENT VERSION</w:t>
            </w:r>
          </w:p>
        </w:tc>
        <w:tc>
          <w:tcPr>
            <w:tcW w:type="dxa" w:w="6912"/>
            <w:shd w:fill="FFFFFF"/>
            <w:tcMar>
              <w:top w:w="60" w:type="dxa"/>
              <w:bottom w:w="60" w:type="dxa"/>
              <w:left w:w="100" w:type="dxa"/>
              <w:right w:w="100" w:type="dxa"/>
            </w:tcMar>
          </w:tcPr>
          <w:p>
            <w:r>
              <w:rPr>
                <w:rFonts w:ascii="Arial" w:hAnsi="Arial"/>
                <w:color w:val="202124"/>
                <w:sz w:val="18"/>
              </w:rPr>
              <w:t>1.0 (Production Release / Enterprise Architecture)</w:t>
            </w:r>
          </w:p>
        </w:tc>
      </w:tr>
      <w:tr>
        <w:tc>
          <w:tcPr>
            <w:tcW w:type="dxa" w:w="3168"/>
            <w:shd w:fill="F8F9FA"/>
            <w:tcMar>
              <w:top w:w="60" w:type="dxa"/>
              <w:bottom w:w="60" w:type="dxa"/>
              <w:left w:w="100" w:type="dxa"/>
              <w:right w:w="100" w:type="dxa"/>
            </w:tcMar>
          </w:tcPr>
          <w:p>
            <w:r>
              <w:rPr>
                <w:rFonts w:ascii="Arial" w:hAnsi="Arial"/>
                <w:b/>
                <w:color w:val="5F6368"/>
                <w:sz w:val="17"/>
              </w:rPr>
              <w:t>STATUS</w:t>
            </w:r>
          </w:p>
        </w:tc>
        <w:tc>
          <w:tcPr>
            <w:tcW w:type="dxa" w:w="6912"/>
            <w:shd w:fill="FFFFFF"/>
            <w:tcMar>
              <w:top w:w="60" w:type="dxa"/>
              <w:bottom w:w="60" w:type="dxa"/>
              <w:left w:w="100" w:type="dxa"/>
              <w:right w:w="100" w:type="dxa"/>
            </w:tcMar>
          </w:tcPr>
          <w:p>
            <w:r>
              <w:rPr>
                <w:rFonts w:ascii="Arial" w:hAnsi="Arial"/>
                <w:color w:val="202124"/>
                <w:sz w:val="18"/>
              </w:rPr>
              <w:t>APPROVED / PRODUCTION-READY</w:t>
            </w:r>
          </w:p>
        </w:tc>
      </w:tr>
      <w:tr>
        <w:tc>
          <w:tcPr>
            <w:tcW w:type="dxa" w:w="3168"/>
            <w:shd w:fill="F8F9FA"/>
            <w:tcMar>
              <w:top w:w="60" w:type="dxa"/>
              <w:bottom w:w="60" w:type="dxa"/>
              <w:left w:w="100" w:type="dxa"/>
              <w:right w:w="100" w:type="dxa"/>
            </w:tcMar>
          </w:tcPr>
          <w:p>
            <w:r>
              <w:rPr>
                <w:rFonts w:ascii="Arial" w:hAnsi="Arial"/>
                <w:b/>
                <w:color w:val="5F6368"/>
                <w:sz w:val="17"/>
              </w:rPr>
              <w:t>LEAD ARCHITECT</w:t>
            </w:r>
          </w:p>
        </w:tc>
        <w:tc>
          <w:tcPr>
            <w:tcW w:type="dxa" w:w="6912"/>
            <w:shd w:fill="FFFFFF"/>
            <w:tcMar>
              <w:top w:w="60" w:type="dxa"/>
              <w:bottom w:w="60" w:type="dxa"/>
              <w:left w:w="100" w:type="dxa"/>
              <w:right w:w="100" w:type="dxa"/>
            </w:tcMar>
          </w:tcPr>
          <w:p>
            <w:r>
              <w:rPr>
                <w:rFonts w:ascii="Arial" w:hAnsi="Arial"/>
                <w:color w:val="202124"/>
                <w:sz w:val="18"/>
              </w:rPr>
              <w:t>Joabson Saccomani (Cloud Security Specialist - jsaccomani@google.com)</w:t>
            </w:r>
          </w:p>
        </w:tc>
      </w:tr>
      <w:tr>
        <w:tc>
          <w:tcPr>
            <w:tcW w:type="dxa" w:w="3168"/>
            <w:shd w:fill="F8F9FA"/>
            <w:tcMar>
              <w:top w:w="60" w:type="dxa"/>
              <w:bottom w:w="60" w:type="dxa"/>
              <w:left w:w="100" w:type="dxa"/>
              <w:right w:w="100" w:type="dxa"/>
            </w:tcMar>
          </w:tcPr>
          <w:p>
            <w:r>
              <w:rPr>
                <w:rFonts w:ascii="Arial" w:hAnsi="Arial"/>
                <w:b/>
                <w:color w:val="5F6368"/>
                <w:sz w:val="17"/>
              </w:rPr>
              <w:t>REVIEWING BODY</w:t>
            </w:r>
          </w:p>
        </w:tc>
        <w:tc>
          <w:tcPr>
            <w:tcW w:type="dxa" w:w="6912"/>
            <w:shd w:fill="FFFFFF"/>
            <w:tcMar>
              <w:top w:w="60" w:type="dxa"/>
              <w:bottom w:w="60" w:type="dxa"/>
              <w:left w:w="100" w:type="dxa"/>
              <w:right w:w="100" w:type="dxa"/>
            </w:tcMar>
          </w:tcPr>
          <w:p>
            <w:r>
              <w:rPr>
                <w:rFonts w:ascii="Arial" w:hAnsi="Arial"/>
                <w:color w:val="202124"/>
                <w:sz w:val="18"/>
              </w:rPr>
              <w:t>Google Cloud Security Architecture Council / Enterprise Architecture</w:t>
            </w:r>
          </w:p>
        </w:tc>
      </w:tr>
      <w:tr>
        <w:tc>
          <w:tcPr>
            <w:tcW w:type="dxa" w:w="3168"/>
            <w:shd w:fill="F8F9FA"/>
            <w:tcMar>
              <w:top w:w="60" w:type="dxa"/>
              <w:bottom w:w="60" w:type="dxa"/>
              <w:left w:w="100" w:type="dxa"/>
              <w:right w:w="100" w:type="dxa"/>
            </w:tcMar>
          </w:tcPr>
          <w:p>
            <w:r>
              <w:rPr>
                <w:rFonts w:ascii="Arial" w:hAnsi="Arial"/>
                <w:b/>
                <w:color w:val="5F6368"/>
                <w:sz w:val="17"/>
              </w:rPr>
              <w:t>TARGET PLATFORM</w:t>
            </w:r>
          </w:p>
        </w:tc>
        <w:tc>
          <w:tcPr>
            <w:tcW w:type="dxa" w:w="6912"/>
            <w:shd w:fill="FFFFFF"/>
            <w:tcMar>
              <w:top w:w="60" w:type="dxa"/>
              <w:bottom w:w="60" w:type="dxa"/>
              <w:left w:w="100" w:type="dxa"/>
              <w:right w:w="100" w:type="dxa"/>
            </w:tcMar>
          </w:tcPr>
          <w:p>
            <w:r>
              <w:rPr>
                <w:rFonts w:ascii="Arial" w:hAnsi="Arial"/>
                <w:color w:val="202124"/>
                <w:sz w:val="18"/>
              </w:rPr>
              <w:t>Google Cloud (Cloud Run, Vertex AI, BeyondCorp IAP, Model Armor, SCC)</w:t>
            </w:r>
          </w:p>
        </w:tc>
      </w:tr>
      <w:tr>
        <w:tc>
          <w:tcPr>
            <w:tcW w:type="dxa" w:w="3168"/>
            <w:shd w:fill="F8F9FA"/>
            <w:tcMar>
              <w:top w:w="60" w:type="dxa"/>
              <w:bottom w:w="60" w:type="dxa"/>
              <w:left w:w="100" w:type="dxa"/>
              <w:right w:w="100" w:type="dxa"/>
            </w:tcMar>
          </w:tcPr>
          <w:p>
            <w:r>
              <w:rPr>
                <w:rFonts w:ascii="Arial" w:hAnsi="Arial"/>
                <w:b/>
                <w:color w:val="5F6368"/>
                <w:sz w:val="17"/>
              </w:rPr>
              <w:t>AUTOMATED QUALITY</w:t>
            </w:r>
          </w:p>
        </w:tc>
        <w:tc>
          <w:tcPr>
            <w:tcW w:type="dxa" w:w="6912"/>
            <w:shd w:fill="FFFFFF"/>
            <w:tcMar>
              <w:top w:w="60" w:type="dxa"/>
              <w:bottom w:w="60" w:type="dxa"/>
              <w:left w:w="100" w:type="dxa"/>
              <w:right w:w="100" w:type="dxa"/>
            </w:tcMar>
          </w:tcPr>
          <w:p>
            <w:r>
              <w:rPr>
                <w:rFonts w:ascii="Arial" w:hAnsi="Arial"/>
                <w:color w:val="202124"/>
                <w:sz w:val="18"/>
              </w:rPr>
              <w:t>225 Automated Unit &amp; Integration Tests (100% Passing Suite)</w:t>
            </w:r>
          </w:p>
        </w:tc>
      </w:tr>
      <w:tr>
        <w:tc>
          <w:tcPr>
            <w:tcW w:type="dxa" w:w="3168"/>
            <w:shd w:fill="F8F9FA"/>
            <w:tcMar>
              <w:top w:w="60" w:type="dxa"/>
              <w:bottom w:w="60" w:type="dxa"/>
              <w:left w:w="100" w:type="dxa"/>
              <w:right w:w="100" w:type="dxa"/>
            </w:tcMar>
          </w:tcPr>
          <w:p>
            <w:r>
              <w:rPr>
                <w:rFonts w:ascii="Arial" w:hAnsi="Arial"/>
                <w:b/>
                <w:color w:val="5F6368"/>
                <w:sz w:val="17"/>
              </w:rPr>
              <w:t>CLASSIFICATION</w:t>
            </w:r>
          </w:p>
        </w:tc>
        <w:tc>
          <w:tcPr>
            <w:tcW w:type="dxa" w:w="6912"/>
            <w:shd w:fill="FFFFFF"/>
            <w:tcMar>
              <w:top w:w="60" w:type="dxa"/>
              <w:bottom w:w="60" w:type="dxa"/>
              <w:left w:w="100" w:type="dxa"/>
              <w:right w:w="100" w:type="dxa"/>
            </w:tcMar>
          </w:tcPr>
          <w:p>
            <w:r>
              <w:rPr>
                <w:rFonts w:ascii="Arial" w:hAnsi="Arial"/>
                <w:color w:val="202124"/>
                <w:sz w:val="18"/>
              </w:rPr>
              <w:t>Google Cloud Enterprise Technical Architecture</w:t>
            </w:r>
          </w:p>
        </w:tc>
      </w:tr>
    </w:tbl>
    <w:p>
      <w:pPr>
        <w:spacing w:after="160"/>
      </w:pPr>
    </w:p>
    <w:tbl>
      <w:tblPr>
        <w:tblW w:type="auto" w:w="0"/>
        <w:jc w:val="center"/>
        <w:tblLook w:firstColumn="1" w:firstRow="1" w:lastColumn="0" w:lastRow="0" w:noHBand="0" w:noVBand="1" w:val="04A0"/>
      </w:tblPr>
      <w:tblGrid>
        <w:gridCol w:w="10080"/>
      </w:tblGrid>
      <w:tr>
        <w:tc>
          <w:tcPr>
            <w:tcW w:type="dxa" w:w="10080"/>
            <w:shd w:fill="FCE8E6"/>
            <w:tcMar>
              <w:top w:w="120" w:type="dxa"/>
              <w:bottom w:w="120" w:type="dxa"/>
              <w:left w:w="180" w:type="dxa"/>
              <w:right w:w="140" w:type="dxa"/>
            </w:tcMar>
            <w:tcBorders>
              <w:left w:val="single" w:sz="24" w:space="0" w:color="D93025"/>
              <w:top w:val="none"/>
              <w:right w:val="none"/>
              <w:bottom w:val="none"/>
            </w:tcBorders>
          </w:tcPr>
          <w:p>
            <w:pPr>
              <w:spacing w:before="40" w:after="40" w:line="276" w:lineRule="auto"/>
            </w:pPr>
            <w:r>
              <w:rPr>
                <w:rFonts w:ascii="Arial" w:hAnsi="Arial"/>
                <w:b/>
                <w:color w:val="D93025"/>
                <w:sz w:val="19"/>
              </w:rPr>
              <w:t xml:space="preserve">[LEGAL &amp; COMPLIANCE DISCLAIMER] </w:t>
            </w:r>
            <w:r>
              <w:rPr>
                <w:rFonts w:ascii="Arial" w:hAnsi="Arial"/>
                <w:color w:val="202124"/>
                <w:sz w:val="18"/>
              </w:rPr>
              <w:t>Google Cloud does not conduct formal audits or issue compliance certifications. Agentic GRC is an advisory technical readiness platform designed to evaluate Google Cloud infrastructures against international standards. It automates technical evidence collection, inspects live cloud security telemetry, and identifies posture gaps in preparation for accredited third-party certification audits.</w:t>
            </w:r>
          </w:p>
        </w:tc>
      </w:tr>
    </w:tbl>
    <w:p>
      <w:pPr>
        <w:spacing w:after="80"/>
      </w:pPr>
    </w:p>
    <w:p>
      <w:pPr>
        <w:spacing w:before="160" w:after="80"/>
      </w:pPr>
      <w:r>
        <w:rPr>
          <w:rFonts w:ascii="Arial" w:hAnsi="Arial"/>
          <w:b/>
          <w:color w:val="1A73E8"/>
          <w:sz w:val="26"/>
        </w:rPr>
        <w:t>Table of Contents</w:t>
      </w:r>
    </w:p>
    <w:tbl>
      <w:tblPr>
        <w:tblW w:type="auto" w:w="0"/>
        <w:tblLook w:firstColumn="1" w:firstRow="1" w:lastColumn="0" w:lastRow="0" w:noHBand="0" w:noVBand="1" w:val="04A0"/>
        <w:tblBorders>
          <w:top w:val="single" w:sz="6" w:space="0" w:color="E8EAED"/>
          <w:left w:val="single" w:sz="6" w:space="0" w:color="E8EAED"/>
          <w:bottom w:val="single" w:sz="6" w:space="0" w:color="E8EAED"/>
          <w:right w:val="single" w:sz="6" w:space="0" w:color="E8EAED"/>
          <w:insideH w:val="single" w:sz="4" w:space="0" w:color="E8EAED"/>
          <w:insideV w:val="single" w:sz="4" w:space="0" w:color="E8EAED"/>
        </w:tblBorders>
      </w:tblPr>
      <w:tblGrid>
        <w:gridCol w:w="5040"/>
        <w:gridCol w:w="5040"/>
      </w:tblGrid>
      <w:tr>
        <w:tc>
          <w:tcPr>
            <w:tcW w:type="dxa" w:w="1728"/>
            <w:shd w:fill="F8F9FA"/>
            <w:tcMar>
              <w:top w:w="40" w:type="dxa"/>
              <w:bottom w:w="40" w:type="dxa"/>
              <w:left w:w="80" w:type="dxa"/>
              <w:right w:w="80" w:type="dxa"/>
            </w:tcMar>
          </w:tcPr>
          <w:p>
            <w:r>
              <w:rPr>
                <w:rFonts w:ascii="Arial" w:hAnsi="Arial"/>
                <w:b/>
                <w:color w:val="1A73E8"/>
                <w:sz w:val="17"/>
              </w:rPr>
              <w:t>Section 1</w:t>
            </w:r>
          </w:p>
        </w:tc>
        <w:tc>
          <w:tcPr>
            <w:tcW w:type="dxa" w:w="8352"/>
            <w:shd w:fill="FFFFFF"/>
            <w:tcMar>
              <w:top w:w="40" w:type="dxa"/>
              <w:bottom w:w="40" w:type="dxa"/>
              <w:left w:w="80" w:type="dxa"/>
              <w:right w:w="80" w:type="dxa"/>
            </w:tcMar>
          </w:tcPr>
          <w:p>
            <w:r>
              <w:rPr>
                <w:rFonts w:ascii="Arial" w:hAnsi="Arial"/>
                <w:color w:val="202124"/>
                <w:sz w:val="17"/>
              </w:rPr>
              <w:t>Executive Summary &amp; Architectural Context</w:t>
            </w:r>
          </w:p>
        </w:tc>
      </w:tr>
      <w:tr>
        <w:tc>
          <w:tcPr>
            <w:tcW w:type="dxa" w:w="1728"/>
            <w:shd w:fill="F8F9FA"/>
            <w:tcMar>
              <w:top w:w="40" w:type="dxa"/>
              <w:bottom w:w="40" w:type="dxa"/>
              <w:left w:w="80" w:type="dxa"/>
              <w:right w:w="80" w:type="dxa"/>
            </w:tcMar>
          </w:tcPr>
          <w:p>
            <w:r>
              <w:rPr>
                <w:rFonts w:ascii="Arial" w:hAnsi="Arial"/>
                <w:b/>
                <w:color w:val="1A73E8"/>
                <w:sz w:val="17"/>
              </w:rPr>
              <w:t>Section 2</w:t>
            </w:r>
          </w:p>
        </w:tc>
        <w:tc>
          <w:tcPr>
            <w:tcW w:type="dxa" w:w="8352"/>
            <w:shd w:fill="FFFFFF"/>
            <w:tcMar>
              <w:top w:w="40" w:type="dxa"/>
              <w:bottom w:w="40" w:type="dxa"/>
              <w:left w:w="80" w:type="dxa"/>
              <w:right w:w="80" w:type="dxa"/>
            </w:tcMar>
          </w:tcPr>
          <w:p>
            <w:r>
              <w:rPr>
                <w:rFonts w:ascii="Arial" w:hAnsi="Arial"/>
                <w:color w:val="202124"/>
                <w:sz w:val="17"/>
              </w:rPr>
              <w:t>High-Level Architectural Topology &amp; Defense Layers</w:t>
            </w:r>
          </w:p>
        </w:tc>
      </w:tr>
      <w:tr>
        <w:tc>
          <w:tcPr>
            <w:tcW w:type="dxa" w:w="1728"/>
            <w:shd w:fill="F8F9FA"/>
            <w:tcMar>
              <w:top w:w="40" w:type="dxa"/>
              <w:bottom w:w="40" w:type="dxa"/>
              <w:left w:w="80" w:type="dxa"/>
              <w:right w:w="80" w:type="dxa"/>
            </w:tcMar>
          </w:tcPr>
          <w:p>
            <w:r>
              <w:rPr>
                <w:rFonts w:ascii="Arial" w:hAnsi="Arial"/>
                <w:b/>
                <w:color w:val="1A73E8"/>
                <w:sz w:val="17"/>
              </w:rPr>
              <w:t>Section 3</w:t>
            </w:r>
          </w:p>
        </w:tc>
        <w:tc>
          <w:tcPr>
            <w:tcW w:type="dxa" w:w="8352"/>
            <w:shd w:fill="FFFFFF"/>
            <w:tcMar>
              <w:top w:w="40" w:type="dxa"/>
              <w:bottom w:w="40" w:type="dxa"/>
              <w:left w:w="80" w:type="dxa"/>
              <w:right w:w="80" w:type="dxa"/>
            </w:tcMar>
          </w:tcPr>
          <w:p>
            <w:r>
              <w:rPr>
                <w:rFonts w:ascii="Arial" w:hAnsi="Arial"/>
                <w:color w:val="202124"/>
                <w:sz w:val="17"/>
              </w:rPr>
              <w:t>Multi-Agent Execution Graph &amp; Subagent Specifications</w:t>
            </w:r>
          </w:p>
        </w:tc>
      </w:tr>
      <w:tr>
        <w:tc>
          <w:tcPr>
            <w:tcW w:type="dxa" w:w="1728"/>
            <w:shd w:fill="F8F9FA"/>
            <w:tcMar>
              <w:top w:w="40" w:type="dxa"/>
              <w:bottom w:w="40" w:type="dxa"/>
              <w:left w:w="80" w:type="dxa"/>
              <w:right w:w="80" w:type="dxa"/>
            </w:tcMar>
          </w:tcPr>
          <w:p>
            <w:r>
              <w:rPr>
                <w:rFonts w:ascii="Arial" w:hAnsi="Arial"/>
                <w:b/>
                <w:color w:val="1A73E8"/>
                <w:sz w:val="17"/>
              </w:rPr>
              <w:t>Section 4</w:t>
            </w:r>
          </w:p>
        </w:tc>
        <w:tc>
          <w:tcPr>
            <w:tcW w:type="dxa" w:w="8352"/>
            <w:shd w:fill="FFFFFF"/>
            <w:tcMar>
              <w:top w:w="40" w:type="dxa"/>
              <w:bottom w:w="40" w:type="dxa"/>
              <w:left w:w="80" w:type="dxa"/>
              <w:right w:w="80" w:type="dxa"/>
            </w:tcMar>
          </w:tcPr>
          <w:p>
            <w:r>
              <w:rPr>
                <w:rFonts w:ascii="Arial" w:hAnsi="Arial"/>
                <w:color w:val="202124"/>
                <w:sz w:val="17"/>
              </w:rPr>
              <w:t>StreamableHTTP Model Context Protocol (MCP) Interface</w:t>
            </w:r>
          </w:p>
        </w:tc>
      </w:tr>
      <w:tr>
        <w:tc>
          <w:tcPr>
            <w:tcW w:type="dxa" w:w="1728"/>
            <w:shd w:fill="F8F9FA"/>
            <w:tcMar>
              <w:top w:w="40" w:type="dxa"/>
              <w:bottom w:w="40" w:type="dxa"/>
              <w:left w:w="80" w:type="dxa"/>
              <w:right w:w="80" w:type="dxa"/>
            </w:tcMar>
          </w:tcPr>
          <w:p>
            <w:r>
              <w:rPr>
                <w:rFonts w:ascii="Arial" w:hAnsi="Arial"/>
                <w:b/>
                <w:color w:val="1A73E8"/>
                <w:sz w:val="17"/>
              </w:rPr>
              <w:t>Section 5</w:t>
            </w:r>
          </w:p>
        </w:tc>
        <w:tc>
          <w:tcPr>
            <w:tcW w:type="dxa" w:w="8352"/>
            <w:shd w:fill="FFFFFF"/>
            <w:tcMar>
              <w:top w:w="40" w:type="dxa"/>
              <w:bottom w:w="40" w:type="dxa"/>
              <w:left w:w="80" w:type="dxa"/>
              <w:right w:w="80" w:type="dxa"/>
            </w:tcMar>
          </w:tcPr>
          <w:p>
            <w:r>
              <w:rPr>
                <w:rFonts w:ascii="Arial" w:hAnsi="Arial"/>
                <w:color w:val="202124"/>
                <w:sz w:val="17"/>
              </w:rPr>
              <w:t>Deterministic Telemetry Engine vs LLM Hallucination</w:t>
            </w:r>
          </w:p>
        </w:tc>
      </w:tr>
      <w:tr>
        <w:tc>
          <w:tcPr>
            <w:tcW w:type="dxa" w:w="1728"/>
            <w:shd w:fill="F8F9FA"/>
            <w:tcMar>
              <w:top w:w="40" w:type="dxa"/>
              <w:bottom w:w="40" w:type="dxa"/>
              <w:left w:w="80" w:type="dxa"/>
              <w:right w:w="80" w:type="dxa"/>
            </w:tcMar>
          </w:tcPr>
          <w:p>
            <w:r>
              <w:rPr>
                <w:rFonts w:ascii="Arial" w:hAnsi="Arial"/>
                <w:b/>
                <w:color w:val="1A73E8"/>
                <w:sz w:val="17"/>
              </w:rPr>
              <w:t>Section 6</w:t>
            </w:r>
          </w:p>
        </w:tc>
        <w:tc>
          <w:tcPr>
            <w:tcW w:type="dxa" w:w="8352"/>
            <w:shd w:fill="FFFFFF"/>
            <w:tcMar>
              <w:top w:w="40" w:type="dxa"/>
              <w:bottom w:w="40" w:type="dxa"/>
              <w:left w:w="80" w:type="dxa"/>
              <w:right w:w="80" w:type="dxa"/>
            </w:tcMar>
          </w:tcPr>
          <w:p>
            <w:r>
              <w:rPr>
                <w:rFonts w:ascii="Arial" w:hAnsi="Arial"/>
                <w:color w:val="202124"/>
                <w:sz w:val="17"/>
              </w:rPr>
              <w:t>Zero-Copy Data Grounding &amp; Ephemeral Memory Management</w:t>
            </w:r>
          </w:p>
        </w:tc>
      </w:tr>
      <w:tr>
        <w:tc>
          <w:tcPr>
            <w:tcW w:type="dxa" w:w="1728"/>
            <w:shd w:fill="F8F9FA"/>
            <w:tcMar>
              <w:top w:w="40" w:type="dxa"/>
              <w:bottom w:w="40" w:type="dxa"/>
              <w:left w:w="80" w:type="dxa"/>
              <w:right w:w="80" w:type="dxa"/>
            </w:tcMar>
          </w:tcPr>
          <w:p>
            <w:r>
              <w:rPr>
                <w:rFonts w:ascii="Arial" w:hAnsi="Arial"/>
                <w:b/>
                <w:color w:val="1A73E8"/>
                <w:sz w:val="17"/>
              </w:rPr>
              <w:t>Section 7</w:t>
            </w:r>
          </w:p>
        </w:tc>
        <w:tc>
          <w:tcPr>
            <w:tcW w:type="dxa" w:w="8352"/>
            <w:shd w:fill="FFFFFF"/>
            <w:tcMar>
              <w:top w:w="40" w:type="dxa"/>
              <w:bottom w:w="40" w:type="dxa"/>
              <w:left w:w="80" w:type="dxa"/>
              <w:right w:w="80" w:type="dxa"/>
            </w:tcMar>
          </w:tcPr>
          <w:p>
            <w:r>
              <w:rPr>
                <w:rFonts w:ascii="Arial" w:hAnsi="Arial"/>
                <w:color w:val="202124"/>
                <w:sz w:val="17"/>
              </w:rPr>
              <w:t>Epistemic Evidence Graph &amp; Cryptographic SHA-256 Merkle DAG</w:t>
            </w:r>
          </w:p>
        </w:tc>
      </w:tr>
      <w:tr>
        <w:tc>
          <w:tcPr>
            <w:tcW w:type="dxa" w:w="1728"/>
            <w:shd w:fill="F8F9FA"/>
            <w:tcMar>
              <w:top w:w="40" w:type="dxa"/>
              <w:bottom w:w="40" w:type="dxa"/>
              <w:left w:w="80" w:type="dxa"/>
              <w:right w:w="80" w:type="dxa"/>
            </w:tcMar>
          </w:tcPr>
          <w:p>
            <w:r>
              <w:rPr>
                <w:rFonts w:ascii="Arial" w:hAnsi="Arial"/>
                <w:b/>
                <w:color w:val="1A73E8"/>
                <w:sz w:val="17"/>
              </w:rPr>
              <w:t>Section 8</w:t>
            </w:r>
          </w:p>
        </w:tc>
        <w:tc>
          <w:tcPr>
            <w:tcW w:type="dxa" w:w="8352"/>
            <w:shd w:fill="FFFFFF"/>
            <w:tcMar>
              <w:top w:w="40" w:type="dxa"/>
              <w:bottom w:w="40" w:type="dxa"/>
              <w:left w:w="80" w:type="dxa"/>
              <w:right w:w="80" w:type="dxa"/>
            </w:tcMar>
          </w:tcPr>
          <w:p>
            <w:r>
              <w:rPr>
                <w:rFonts w:ascii="Arial" w:hAnsi="Arial"/>
                <w:color w:val="202124"/>
                <w:sz w:val="17"/>
              </w:rPr>
              <w:t>Security Boundaries, SPIFFE Identity &amp; Zero-Mutation Sandboxes</w:t>
            </w:r>
          </w:p>
        </w:tc>
      </w:tr>
    </w:tbl>
    <w:p>
      <w:pPr>
        <w:spacing w:after="160"/>
      </w:pPr>
    </w:p>
    <w:p>
      <w:pPr>
        <w:keepNext/>
        <w:spacing w:before="320" w:after="80"/>
        <w:pBdr>
          <w:bottom w:val="single" w:sz="6" w:space="2" w:color="DADCE0"/>
        </w:pBdr>
      </w:pPr>
      <w:r>
        <w:rPr>
          <w:rFonts w:ascii="Arial" w:hAnsi="Arial"/>
          <w:b/>
          <w:color w:val="1A73E8"/>
          <w:sz w:val="30"/>
        </w:rPr>
        <w:t>1. Executive Summary &amp; Architectural Context</w:t>
      </w:r>
    </w:p>
    <w:p>
      <w:pPr>
        <w:spacing w:before="40" w:after="80" w:line="276" w:lineRule="auto"/>
      </w:pPr>
      <w:r>
        <w:rPr>
          <w:rFonts w:ascii="Arial" w:hAnsi="Arial"/>
          <w:color w:val="202124"/>
          <w:sz w:val="19"/>
        </w:rPr>
        <w:t>The Agentic Compliance Readiness Accelerator is an enterprise-grade, distributed AI orchestration engine running natively on Google Cloud Run. By decoupling deterministic cloud telemetry extraction from generative reasoning, the platform guarantees 100% data veracity, eliminating the hallucinations commonly associated with pure-LLM compliance analysis.</w:t>
      </w:r>
    </w:p>
    <w:p>
      <w:pPr>
        <w:keepNext/>
        <w:spacing w:before="320" w:after="80"/>
        <w:pBdr>
          <w:bottom w:val="single" w:sz="6" w:space="2" w:color="DADCE0"/>
        </w:pBdr>
      </w:pPr>
      <w:r>
        <w:rPr>
          <w:rFonts w:ascii="Arial" w:hAnsi="Arial"/>
          <w:b/>
          <w:color w:val="1A73E8"/>
          <w:sz w:val="30"/>
        </w:rPr>
        <w:t>2. High-Level Architectural Topology &amp; Defense Layers</w:t>
      </w:r>
    </w:p>
    <w:p>
      <w:pPr>
        <w:spacing w:before="40" w:after="80" w:line="276" w:lineRule="auto"/>
      </w:pPr>
      <w:r>
        <w:rPr>
          <w:rFonts w:ascii="Arial" w:hAnsi="Arial"/>
          <w:color w:val="202124"/>
          <w:sz w:val="19"/>
        </w:rPr>
        <w:t>The architecture implements a rigorous 5-layer defense topology:</w:t>
      </w:r>
    </w:p>
    <w:p>
      <w:pPr>
        <w:spacing w:before="20" w:after="60" w:line="276" w:lineRule="auto"/>
      </w:pPr>
      <w:r>
        <w:rPr>
          <w:rFonts w:ascii="Arial" w:hAnsi="Arial"/>
          <w:color w:val="1A73E8"/>
          <w:sz w:val="19"/>
        </w:rPr>
        <w:t xml:space="preserve">• </w:t>
      </w:r>
      <w:r>
        <w:rPr>
          <w:rFonts w:ascii="Arial" w:hAnsi="Arial"/>
          <w:b/>
          <w:color w:val="202124"/>
          <w:sz w:val="19"/>
        </w:rPr>
        <w:t xml:space="preserve">1. Ingress &amp; Identity Layer: </w:t>
      </w:r>
      <w:r>
        <w:rPr>
          <w:rFonts w:ascii="Arial" w:hAnsi="Arial"/>
          <w:color w:val="3C4043"/>
          <w:sz w:val="19"/>
        </w:rPr>
        <w:t>BeyondCorp IAP terminates client TLS, validates Google Workspace identity tokens, and passes authenticated assertions. Model Armor inspects inbound prompts to block prompt injection attacks.</w:t>
      </w:r>
    </w:p>
    <w:p>
      <w:pPr>
        <w:spacing w:before="20" w:after="60" w:line="276" w:lineRule="auto"/>
      </w:pPr>
      <w:r>
        <w:rPr>
          <w:rFonts w:ascii="Arial" w:hAnsi="Arial"/>
          <w:color w:val="1A73E8"/>
          <w:sz w:val="19"/>
        </w:rPr>
        <w:t xml:space="preserve">• </w:t>
      </w:r>
      <w:r>
        <w:rPr>
          <w:rFonts w:ascii="Arial" w:hAnsi="Arial"/>
          <w:b/>
          <w:color w:val="202124"/>
          <w:sz w:val="19"/>
        </w:rPr>
        <w:t xml:space="preserve">2. Multi-Agent Orchestration Layer: </w:t>
      </w:r>
      <w:r>
        <w:rPr>
          <w:rFonts w:ascii="Arial" w:hAnsi="Arial"/>
          <w:color w:val="3C4043"/>
          <w:sz w:val="19"/>
        </w:rPr>
        <w:t>Gemini Enterprise Agent Platform (GEAP) coordinates a supervisor agent and specialized subagents via typed tool calling.</w:t>
      </w:r>
    </w:p>
    <w:p>
      <w:pPr>
        <w:spacing w:before="20" w:after="60" w:line="276" w:lineRule="auto"/>
      </w:pPr>
      <w:r>
        <w:rPr>
          <w:rFonts w:ascii="Arial" w:hAnsi="Arial"/>
          <w:color w:val="1A73E8"/>
          <w:sz w:val="19"/>
        </w:rPr>
        <w:t xml:space="preserve">• </w:t>
      </w:r>
      <w:r>
        <w:rPr>
          <w:rFonts w:ascii="Arial" w:hAnsi="Arial"/>
          <w:b/>
          <w:color w:val="202124"/>
          <w:sz w:val="19"/>
        </w:rPr>
        <w:t xml:space="preserve">3. Deterministic Evidence Engine: </w:t>
      </w:r>
      <w:r>
        <w:rPr>
          <w:rFonts w:ascii="Arial" w:hAnsi="Arial"/>
          <w:color w:val="3C4043"/>
          <w:sz w:val="19"/>
        </w:rPr>
        <w:t>Direct Google Cloud Python SDK collectors query live GCP APIs (Cloud Asset Inventory, Cloud KMS, IAM, Security Command Center, Cloud Logging) rather than asking LLMs to infer configurations.</w:t>
      </w:r>
    </w:p>
    <w:p>
      <w:pPr>
        <w:spacing w:before="20" w:after="60" w:line="276" w:lineRule="auto"/>
      </w:pPr>
      <w:r>
        <w:rPr>
          <w:rFonts w:ascii="Arial" w:hAnsi="Arial"/>
          <w:color w:val="1A73E8"/>
          <w:sz w:val="19"/>
        </w:rPr>
        <w:t xml:space="preserve">• </w:t>
      </w:r>
      <w:r>
        <w:rPr>
          <w:rFonts w:ascii="Arial" w:hAnsi="Arial"/>
          <w:b/>
          <w:color w:val="202124"/>
          <w:sz w:val="19"/>
        </w:rPr>
        <w:t xml:space="preserve">4. Zero-Copy Connector Layer: </w:t>
      </w:r>
      <w:r>
        <w:rPr>
          <w:rFonts w:ascii="Arial" w:hAnsi="Arial"/>
          <w:color w:val="3C4043"/>
          <w:sz w:val="19"/>
        </w:rPr>
        <w:t>Direct read-only API connectors pull corporate policies from Google Drive, Microsoft SharePoint, and Jira using ephemeral user OAuth tokens.</w:t>
      </w:r>
    </w:p>
    <w:p>
      <w:pPr>
        <w:spacing w:before="20" w:after="60" w:line="276" w:lineRule="auto"/>
      </w:pPr>
      <w:r>
        <w:rPr>
          <w:rFonts w:ascii="Arial" w:hAnsi="Arial"/>
          <w:color w:val="1A73E8"/>
          <w:sz w:val="19"/>
        </w:rPr>
        <w:t xml:space="preserve">• </w:t>
      </w:r>
      <w:r>
        <w:rPr>
          <w:rFonts w:ascii="Arial" w:hAnsi="Arial"/>
          <w:b/>
          <w:color w:val="202124"/>
          <w:sz w:val="19"/>
        </w:rPr>
        <w:t xml:space="preserve">5. Cryptographic Evidence Graph: </w:t>
      </w:r>
      <w:r>
        <w:rPr>
          <w:rFonts w:ascii="Arial" w:hAnsi="Arial"/>
          <w:color w:val="3C4043"/>
          <w:sz w:val="19"/>
        </w:rPr>
        <w:t>An immutable Merkle DAG anchors each finding to live telemetry hashes, calculating a root hash for RFC 3161 verification.</w:t>
      </w:r>
    </w:p>
    <w:p>
      <w:pPr>
        <w:keepNext/>
        <w:spacing w:before="320" w:after="80"/>
        <w:pBdr>
          <w:bottom w:val="single" w:sz="6" w:space="2" w:color="DADCE0"/>
        </w:pBdr>
      </w:pPr>
      <w:r>
        <w:rPr>
          <w:rFonts w:ascii="Arial" w:hAnsi="Arial"/>
          <w:b/>
          <w:color w:val="1A73E8"/>
          <w:sz w:val="30"/>
        </w:rPr>
        <w:t>3. Multi-Agent Execution Graph &amp; Subagent Specifications</w:t>
      </w:r>
    </w:p>
    <w:tbl>
      <w:tblPr>
        <w:tblW w:type="auto" w:w="0"/>
        <w:jc w:val="center"/>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4" w:space="0" w:color="DADCE0"/>
          <w:insideV w:val="single" w:sz="4" w:space="0" w:color="DADCE0"/>
        </w:tblBorders>
      </w:tblPr>
      <w:tblGrid>
        <w:gridCol w:w="3360"/>
        <w:gridCol w:w="3360"/>
        <w:gridCol w:w="3360"/>
      </w:tblGrid>
      <w:tr>
        <w:tc>
          <w:tcPr>
            <w:tcW w:type="dxa" w:w="2592"/>
            <w:tcMar>
              <w:top w:w="80" w:type="dxa"/>
              <w:bottom w:w="80" w:type="dxa"/>
              <w:left w:w="120" w:type="dxa"/>
              <w:right w:w="120" w:type="dxa"/>
            </w:tcMar>
            <w:shd w:fill="1A73E8"/>
          </w:tcPr>
          <w:p>
            <w:pPr>
              <w:jc w:val="left"/>
            </w:pPr>
            <w:r>
              <w:rPr>
                <w:rFonts w:ascii="Arial" w:hAnsi="Arial"/>
                <w:b/>
                <w:color w:val="FFFFFF"/>
                <w:sz w:val="18"/>
              </w:rPr>
              <w:t>Subagent Name</w:t>
            </w:r>
          </w:p>
        </w:tc>
        <w:tc>
          <w:tcPr>
            <w:tcW w:type="dxa" w:w="2592"/>
            <w:tcMar>
              <w:top w:w="80" w:type="dxa"/>
              <w:bottom w:w="80" w:type="dxa"/>
              <w:left w:w="120" w:type="dxa"/>
              <w:right w:w="120" w:type="dxa"/>
            </w:tcMar>
            <w:shd w:fill="1A73E8"/>
          </w:tcPr>
          <w:p>
            <w:pPr>
              <w:jc w:val="left"/>
            </w:pPr>
            <w:r>
              <w:rPr>
                <w:rFonts w:ascii="Arial" w:hAnsi="Arial"/>
                <w:b/>
                <w:color w:val="FFFFFF"/>
                <w:sz w:val="18"/>
              </w:rPr>
              <w:t>Underlying Engine</w:t>
            </w:r>
          </w:p>
        </w:tc>
        <w:tc>
          <w:tcPr>
            <w:tcW w:type="dxa" w:w="4176"/>
            <w:tcMar>
              <w:top w:w="80" w:type="dxa"/>
              <w:bottom w:w="80" w:type="dxa"/>
              <w:left w:w="120" w:type="dxa"/>
              <w:right w:w="120" w:type="dxa"/>
            </w:tcMar>
            <w:shd w:fill="1A73E8"/>
          </w:tcPr>
          <w:p>
            <w:pPr>
              <w:jc w:val="left"/>
            </w:pPr>
            <w:r>
              <w:rPr>
                <w:rFonts w:ascii="Arial" w:hAnsi="Arial"/>
                <w:b/>
                <w:color w:val="FFFFFF"/>
                <w:sz w:val="18"/>
              </w:rPr>
              <w:t>Functional Scope</w:t>
            </w:r>
          </w:p>
        </w:tc>
      </w:tr>
      <w:tr>
        <w:tc>
          <w:tcPr>
            <w:tcW w:type="dxa" w:w="2592"/>
            <w:tcMar>
              <w:top w:w="80" w:type="dxa"/>
              <w:bottom w:w="80" w:type="dxa"/>
              <w:left w:w="120" w:type="dxa"/>
              <w:right w:w="120" w:type="dxa"/>
            </w:tcMar>
            <w:shd w:fill="FFFFFF"/>
          </w:tcPr>
          <w:p>
            <w:pPr>
              <w:spacing w:line="276" w:lineRule="auto"/>
            </w:pPr>
            <w:r>
              <w:rPr>
                <w:rFonts w:ascii="Arial" w:hAnsi="Arial"/>
                <w:color w:val="202124"/>
                <w:sz w:val="17"/>
              </w:rPr>
              <w:t>Supervisor / Lead Advisor</w:t>
            </w:r>
          </w:p>
        </w:tc>
        <w:tc>
          <w:tcPr>
            <w:tcW w:type="dxa" w:w="2592"/>
            <w:tcMar>
              <w:top w:w="80" w:type="dxa"/>
              <w:bottom w:w="80" w:type="dxa"/>
              <w:left w:w="120" w:type="dxa"/>
              <w:right w:w="120" w:type="dxa"/>
            </w:tcMar>
            <w:shd w:fill="FFFFFF"/>
          </w:tcPr>
          <w:p>
            <w:pPr>
              <w:spacing w:line="276" w:lineRule="auto"/>
            </w:pPr>
            <w:r>
              <w:rPr>
                <w:rFonts w:ascii="Arial" w:hAnsi="Arial"/>
                <w:color w:val="202124"/>
                <w:sz w:val="17"/>
              </w:rPr>
              <w:t>gemini-2.5-pro</w:t>
            </w:r>
          </w:p>
        </w:tc>
        <w:tc>
          <w:tcPr>
            <w:tcW w:type="dxa" w:w="4176"/>
            <w:tcMar>
              <w:top w:w="80" w:type="dxa"/>
              <w:bottom w:w="80" w:type="dxa"/>
              <w:left w:w="120" w:type="dxa"/>
              <w:right w:w="120" w:type="dxa"/>
            </w:tcMar>
            <w:shd w:fill="FFFFFF"/>
          </w:tcPr>
          <w:p>
            <w:pPr>
              <w:spacing w:line="276" w:lineRule="auto"/>
            </w:pPr>
            <w:r>
              <w:rPr>
                <w:rFonts w:ascii="Arial" w:hAnsi="Arial"/>
                <w:color w:val="202124"/>
                <w:sz w:val="17"/>
              </w:rPr>
              <w:t>Orchestrates multi-turn assessment dialogues, executes 4-phase readiness pipelines, delegates tasks, and compiles executive dossiers.</w:t>
            </w:r>
          </w:p>
        </w:tc>
      </w:tr>
      <w:tr>
        <w:tc>
          <w:tcPr>
            <w:tcW w:type="dxa" w:w="2592"/>
            <w:tcMar>
              <w:top w:w="80" w:type="dxa"/>
              <w:bottom w:w="80" w:type="dxa"/>
              <w:left w:w="120" w:type="dxa"/>
              <w:right w:w="120" w:type="dxa"/>
            </w:tcMar>
            <w:shd w:fill="F8F9FA"/>
          </w:tcPr>
          <w:p>
            <w:pPr>
              <w:spacing w:line="276" w:lineRule="auto"/>
            </w:pPr>
            <w:r>
              <w:rPr>
                <w:rFonts w:ascii="Arial" w:hAnsi="Arial"/>
                <w:color w:val="202124"/>
                <w:sz w:val="17"/>
              </w:rPr>
              <w:t>Annex A Security Assessor</w:t>
            </w:r>
          </w:p>
        </w:tc>
        <w:tc>
          <w:tcPr>
            <w:tcW w:type="dxa" w:w="2592"/>
            <w:tcMar>
              <w:top w:w="80" w:type="dxa"/>
              <w:bottom w:w="80" w:type="dxa"/>
              <w:left w:w="120" w:type="dxa"/>
              <w:right w:w="120" w:type="dxa"/>
            </w:tcMar>
            <w:shd w:fill="F8F9FA"/>
          </w:tcPr>
          <w:p>
            <w:pPr>
              <w:spacing w:line="276" w:lineRule="auto"/>
            </w:pPr>
            <w:r>
              <w:rPr>
                <w:rFonts w:ascii="Arial" w:hAnsi="Arial"/>
                <w:color w:val="202124"/>
                <w:sz w:val="17"/>
              </w:rPr>
              <w:t>gemini-2.5-flash</w:t>
            </w:r>
          </w:p>
        </w:tc>
        <w:tc>
          <w:tcPr>
            <w:tcW w:type="dxa" w:w="4176"/>
            <w:tcMar>
              <w:top w:w="80" w:type="dxa"/>
              <w:bottom w:w="80" w:type="dxa"/>
              <w:left w:w="120" w:type="dxa"/>
              <w:right w:w="120" w:type="dxa"/>
            </w:tcMar>
            <w:shd w:fill="F8F9FA"/>
          </w:tcPr>
          <w:p>
            <w:pPr>
              <w:spacing w:line="276" w:lineRule="auto"/>
            </w:pPr>
            <w:r>
              <w:rPr>
                <w:rFonts w:ascii="Arial" w:hAnsi="Arial"/>
                <w:color w:val="202124"/>
                <w:sz w:val="17"/>
              </w:rPr>
              <w:t>Maps technical telemetry and organizational policies to the 93 controls of ISO/IEC 27001:2022 across all 4 themes.</w:t>
            </w:r>
          </w:p>
        </w:tc>
      </w:tr>
      <w:tr>
        <w:tc>
          <w:tcPr>
            <w:tcW w:type="dxa" w:w="2592"/>
            <w:tcMar>
              <w:top w:w="80" w:type="dxa"/>
              <w:bottom w:w="80" w:type="dxa"/>
              <w:left w:w="120" w:type="dxa"/>
              <w:right w:w="120" w:type="dxa"/>
            </w:tcMar>
            <w:shd w:fill="FFFFFF"/>
          </w:tcPr>
          <w:p>
            <w:pPr>
              <w:spacing w:line="276" w:lineRule="auto"/>
            </w:pPr>
            <w:r>
              <w:rPr>
                <w:rFonts w:ascii="Arial" w:hAnsi="Arial"/>
                <w:color w:val="202124"/>
                <w:sz w:val="17"/>
              </w:rPr>
              <w:t>GCP Telemetry Reviewer</w:t>
            </w:r>
          </w:p>
        </w:tc>
        <w:tc>
          <w:tcPr>
            <w:tcW w:type="dxa" w:w="2592"/>
            <w:tcMar>
              <w:top w:w="80" w:type="dxa"/>
              <w:bottom w:w="80" w:type="dxa"/>
              <w:left w:w="120" w:type="dxa"/>
              <w:right w:w="120" w:type="dxa"/>
            </w:tcMar>
            <w:shd w:fill="FFFFFF"/>
          </w:tcPr>
          <w:p>
            <w:pPr>
              <w:spacing w:line="276" w:lineRule="auto"/>
            </w:pPr>
            <w:r>
              <w:rPr>
                <w:rFonts w:ascii="Arial" w:hAnsi="Arial"/>
                <w:color w:val="202124"/>
                <w:sz w:val="17"/>
              </w:rPr>
              <w:t>Deterministic Tool Collector</w:t>
            </w:r>
          </w:p>
        </w:tc>
        <w:tc>
          <w:tcPr>
            <w:tcW w:type="dxa" w:w="4176"/>
            <w:tcMar>
              <w:top w:w="80" w:type="dxa"/>
              <w:bottom w:w="80" w:type="dxa"/>
              <w:left w:w="120" w:type="dxa"/>
              <w:right w:w="120" w:type="dxa"/>
            </w:tcMar>
            <w:shd w:fill="FFFFFF"/>
          </w:tcPr>
          <w:p>
            <w:pPr>
              <w:spacing w:line="276" w:lineRule="auto"/>
            </w:pPr>
            <w:r>
              <w:rPr>
                <w:rFonts w:ascii="Arial" w:hAnsi="Arial"/>
                <w:color w:val="202124"/>
                <w:sz w:val="17"/>
              </w:rPr>
              <w:t>Executes real-time read-only inspection against GCP resources: Cloud KMS HSM 90-day rotation, Storage UBLA/PAP, and IAM privileges.</w:t>
            </w:r>
          </w:p>
        </w:tc>
      </w:tr>
      <w:tr>
        <w:tc>
          <w:tcPr>
            <w:tcW w:type="dxa" w:w="2592"/>
            <w:tcMar>
              <w:top w:w="80" w:type="dxa"/>
              <w:bottom w:w="80" w:type="dxa"/>
              <w:left w:w="120" w:type="dxa"/>
              <w:right w:w="120" w:type="dxa"/>
            </w:tcMar>
            <w:shd w:fill="F8F9FA"/>
          </w:tcPr>
          <w:p>
            <w:pPr>
              <w:spacing w:line="276" w:lineRule="auto"/>
            </w:pPr>
            <w:r>
              <w:rPr>
                <w:rFonts w:ascii="Arial" w:hAnsi="Arial"/>
                <w:color w:val="202124"/>
                <w:sz w:val="17"/>
              </w:rPr>
              <w:t>FinOps &amp; Token Tracker</w:t>
            </w:r>
          </w:p>
        </w:tc>
        <w:tc>
          <w:tcPr>
            <w:tcW w:type="dxa" w:w="2592"/>
            <w:tcMar>
              <w:top w:w="80" w:type="dxa"/>
              <w:bottom w:w="80" w:type="dxa"/>
              <w:left w:w="120" w:type="dxa"/>
              <w:right w:w="120" w:type="dxa"/>
            </w:tcMar>
            <w:shd w:fill="F8F9FA"/>
          </w:tcPr>
          <w:p>
            <w:pPr>
              <w:spacing w:line="276" w:lineRule="auto"/>
            </w:pPr>
            <w:r>
              <w:rPr>
                <w:rFonts w:ascii="Arial" w:hAnsi="Arial"/>
                <w:color w:val="202124"/>
                <w:sz w:val="17"/>
              </w:rPr>
              <w:t>gemini-2.5-flash</w:t>
            </w:r>
          </w:p>
        </w:tc>
        <w:tc>
          <w:tcPr>
            <w:tcW w:type="dxa" w:w="4176"/>
            <w:tcMar>
              <w:top w:w="80" w:type="dxa"/>
              <w:bottom w:w="80" w:type="dxa"/>
              <w:left w:w="120" w:type="dxa"/>
              <w:right w:w="120" w:type="dxa"/>
            </w:tcMar>
            <w:shd w:fill="F8F9FA"/>
          </w:tcPr>
          <w:p>
            <w:pPr>
              <w:spacing w:line="276" w:lineRule="auto"/>
            </w:pPr>
            <w:r>
              <w:rPr>
                <w:rFonts w:ascii="Arial" w:hAnsi="Arial"/>
                <w:color w:val="202124"/>
                <w:sz w:val="17"/>
              </w:rPr>
              <w:t>Monitors token consumption per assessment turn, tracks Vertex AI context caching hit ratios, and calculates exact financial cost in USD ($) and BRL (R$).</w:t>
            </w:r>
          </w:p>
        </w:tc>
      </w:tr>
      <w:tr>
        <w:tc>
          <w:tcPr>
            <w:tcW w:type="dxa" w:w="2592"/>
            <w:tcMar>
              <w:top w:w="80" w:type="dxa"/>
              <w:bottom w:w="80" w:type="dxa"/>
              <w:left w:w="120" w:type="dxa"/>
              <w:right w:w="120" w:type="dxa"/>
            </w:tcMar>
            <w:shd w:fill="FFFFFF"/>
          </w:tcPr>
          <w:p>
            <w:pPr>
              <w:spacing w:line="276" w:lineRule="auto"/>
            </w:pPr>
            <w:r>
              <w:rPr>
                <w:rFonts w:ascii="Arial" w:hAnsi="Arial"/>
                <w:color w:val="202124"/>
                <w:sz w:val="17"/>
              </w:rPr>
              <w:t>Climate Resilience Advisor</w:t>
            </w:r>
          </w:p>
        </w:tc>
        <w:tc>
          <w:tcPr>
            <w:tcW w:type="dxa" w:w="2592"/>
            <w:tcMar>
              <w:top w:w="80" w:type="dxa"/>
              <w:bottom w:w="80" w:type="dxa"/>
              <w:left w:w="120" w:type="dxa"/>
              <w:right w:w="120" w:type="dxa"/>
            </w:tcMar>
            <w:shd w:fill="FFFFFF"/>
          </w:tcPr>
          <w:p>
            <w:pPr>
              <w:spacing w:line="276" w:lineRule="auto"/>
            </w:pPr>
            <w:r>
              <w:rPr>
                <w:rFonts w:ascii="Arial" w:hAnsi="Arial"/>
                <w:color w:val="202124"/>
                <w:sz w:val="17"/>
              </w:rPr>
              <w:t>gemini-2.5-flash</w:t>
            </w:r>
          </w:p>
        </w:tc>
        <w:tc>
          <w:tcPr>
            <w:tcW w:type="dxa" w:w="4176"/>
            <w:tcMar>
              <w:top w:w="80" w:type="dxa"/>
              <w:bottom w:w="80" w:type="dxa"/>
              <w:left w:w="120" w:type="dxa"/>
              <w:right w:w="120" w:type="dxa"/>
            </w:tcMar>
            <w:shd w:fill="FFFFFF"/>
          </w:tcPr>
          <w:p>
            <w:pPr>
              <w:spacing w:line="276" w:lineRule="auto"/>
            </w:pPr>
            <w:r>
              <w:rPr>
                <w:rFonts w:ascii="Arial" w:hAnsi="Arial"/>
                <w:color w:val="202124"/>
                <w:sz w:val="17"/>
              </w:rPr>
              <w:t>Analyzes infrastructure regional distribution against environmental hazard maps, carbon intensity data, and climate risk resilience in alignment with ISO 27001:2022/Amd 1:2024.</w:t>
            </w:r>
          </w:p>
        </w:tc>
      </w:tr>
    </w:tbl>
    <w:p>
      <w:pPr>
        <w:keepNext/>
        <w:spacing w:before="320" w:after="80"/>
        <w:pBdr>
          <w:bottom w:val="single" w:sz="6" w:space="2" w:color="DADCE0"/>
        </w:pBdr>
      </w:pPr>
      <w:r>
        <w:rPr>
          <w:rFonts w:ascii="Arial" w:hAnsi="Arial"/>
          <w:b/>
          <w:color w:val="1A73E8"/>
          <w:sz w:val="30"/>
        </w:rPr>
        <w:t>4. StreamableHTTP Model Context Protocol (MCP) Interface</w:t>
      </w:r>
    </w:p>
    <w:p>
      <w:pPr>
        <w:spacing w:before="40" w:after="80" w:line="276" w:lineRule="auto"/>
      </w:pPr>
      <w:r>
        <w:rPr>
          <w:rFonts w:ascii="Arial" w:hAnsi="Arial"/>
          <w:color w:val="202124"/>
          <w:sz w:val="19"/>
        </w:rPr>
        <w:t>The backend exposes its deterministic capabilities via the open Model Context Protocol (MCP) using StreamableHTTP transport. This enables any MCP-compatible client (such as Claude Desktop, Cursor, or external orchestrators) to securely invoke GRC tools.</w:t>
      </w:r>
    </w:p>
    <w:tbl>
      <w:tblPr>
        <w:tblW w:type="auto" w:w="0"/>
        <w:jc w:val="center"/>
        <w:tblLook w:firstColumn="1" w:firstRow="1" w:lastColumn="0" w:lastRow="0" w:noHBand="0" w:noVBand="1" w:val="04A0"/>
      </w:tblPr>
      <w:tblGrid>
        <w:gridCol w:w="10080"/>
      </w:tblGrid>
      <w:tr>
        <w:tc>
          <w:tcPr>
            <w:tcW w:type="dxa" w:w="10080"/>
            <w:shd w:fill="F1F3F4"/>
            <w:tcMar>
              <w:top w:w="100" w:type="dxa"/>
              <w:bottom w:w="100" w:type="dxa"/>
              <w:left w:w="140" w:type="dxa"/>
              <w:right w:w="140" w:type="dxa"/>
            </w:tcMar>
            <w:tcBorders>
              <w:left w:val="single" w:sz="6" w:space="0" w:color="DADCE0"/>
              <w:top w:val="single" w:sz="6" w:space="0" w:color="DADCE0"/>
              <w:right w:val="single" w:sz="6" w:space="0" w:color="DADCE0"/>
              <w:bottom w:val="single" w:sz="6" w:space="0" w:color="DADCE0"/>
            </w:tcBorders>
          </w:tcPr>
          <w:p>
            <w:pPr>
              <w:spacing w:before="40" w:after="40"/>
            </w:pPr>
            <w:r>
              <w:rPr>
                <w:rFonts w:ascii="Consolas" w:hAnsi="Consolas"/>
                <w:color w:val="202124"/>
                <w:sz w:val="17"/>
              </w:rPr>
              <w:t>POST /mcp HTTP/1.1</w:t>
              <w:br/>
              <w:t>Host: agentic-grc-cd06.uc.r.appspot.com</w:t>
              <w:br/>
              <w:t>Content-Type: application/json</w:t>
              <w:br/>
              <w:t>Authorization: Bearer &lt;IAP_JWT_TOKEN&gt;</w:t>
              <w:br/>
              <w:br/>
              <w:t>{</w:t>
              <w:br/>
              <w:t xml:space="preserve">  "jsonrpc": "2.0",</w:t>
              <w:br/>
              <w:t xml:space="preserve">  "method": "tools/call",</w:t>
              <w:br/>
              <w:t xml:space="preserve">  "params": {</w:t>
              <w:br/>
              <w:t xml:space="preserve">    "name": "inspect_cloud_kms_key",</w:t>
              <w:br/>
              <w:t xml:space="preserve">    "arguments": {"key_name": "iso-master-key", "location": "global"}</w:t>
              <w:br/>
              <w:t xml:space="preserve">  },</w:t>
              <w:br/>
              <w:t xml:space="preserve">  "id": 101</w:t>
              <w:br/>
              <w:t>}</w:t>
            </w:r>
          </w:p>
        </w:tc>
      </w:tr>
    </w:tbl>
    <w:p>
      <w:pPr>
        <w:spacing w:after="80"/>
      </w:pPr>
    </w:p>
    <w:p>
      <w:pPr>
        <w:keepNext/>
        <w:spacing w:before="320" w:after="80"/>
        <w:pBdr>
          <w:bottom w:val="single" w:sz="6" w:space="2" w:color="DADCE0"/>
        </w:pBdr>
      </w:pPr>
      <w:r>
        <w:rPr>
          <w:rFonts w:ascii="Arial" w:hAnsi="Arial"/>
          <w:b/>
          <w:color w:val="1A73E8"/>
          <w:sz w:val="30"/>
        </w:rPr>
        <w:t>5. Deterministic Telemetry Engine vs LLM Hallucination</w:t>
      </w:r>
    </w:p>
    <w:p>
      <w:pPr>
        <w:spacing w:before="40" w:after="80" w:line="276" w:lineRule="auto"/>
      </w:pPr>
      <w:r>
        <w:rPr>
          <w:rFonts w:ascii="Arial" w:hAnsi="Arial"/>
          <w:color w:val="202124"/>
          <w:sz w:val="19"/>
        </w:rPr>
        <w:t>In high-stakes compliance and security reviews, generative hallucinations represent an unacceptable risk. Agentic GRC enforces a strict architectural boundary:</w:t>
      </w:r>
    </w:p>
    <w:p>
      <w:pPr>
        <w:spacing w:before="20" w:after="60" w:line="276" w:lineRule="auto"/>
      </w:pPr>
      <w:r>
        <w:rPr>
          <w:rFonts w:ascii="Arial" w:hAnsi="Arial"/>
          <w:color w:val="1A73E8"/>
          <w:sz w:val="19"/>
        </w:rPr>
        <w:t xml:space="preserve">• </w:t>
      </w:r>
      <w:r>
        <w:rPr>
          <w:rFonts w:ascii="Arial" w:hAnsi="Arial"/>
          <w:b/>
          <w:color w:val="202124"/>
          <w:sz w:val="19"/>
        </w:rPr>
        <w:t xml:space="preserve">Deterministic Truth: </w:t>
      </w:r>
      <w:r>
        <w:rPr>
          <w:rFonts w:ascii="Arial" w:hAnsi="Arial"/>
          <w:color w:val="3C4043"/>
          <w:sz w:val="19"/>
        </w:rPr>
        <w:t>Technical evidence (e.g. rotationPeriod, PAP, UBLA, IAM roles) is gathered directly via verified Google Cloud REST/gRPC SDK APIs. Results are validated against formal Pydantic schemas.</w:t>
      </w:r>
    </w:p>
    <w:p>
      <w:pPr>
        <w:spacing w:before="20" w:after="60" w:line="276" w:lineRule="auto"/>
      </w:pPr>
      <w:r>
        <w:rPr>
          <w:rFonts w:ascii="Arial" w:hAnsi="Arial"/>
          <w:color w:val="1A73E8"/>
          <w:sz w:val="19"/>
        </w:rPr>
        <w:t xml:space="preserve">• </w:t>
      </w:r>
      <w:r>
        <w:rPr>
          <w:rFonts w:ascii="Arial" w:hAnsi="Arial"/>
          <w:b/>
          <w:color w:val="202124"/>
          <w:sz w:val="19"/>
        </w:rPr>
        <w:t xml:space="preserve">Generative Reasoning: </w:t>
      </w:r>
      <w:r>
        <w:rPr>
          <w:rFonts w:ascii="Arial" w:hAnsi="Arial"/>
          <w:color w:val="3C4043"/>
          <w:sz w:val="19"/>
        </w:rPr>
        <w:t>Gemini models are exclusively employed for synthesis, gap analysis, natural language explanations, and cross-standard mapping.</w:t>
      </w:r>
    </w:p>
    <w:p>
      <w:pPr>
        <w:keepNext/>
        <w:spacing w:before="320" w:after="80"/>
        <w:pBdr>
          <w:bottom w:val="single" w:sz="6" w:space="2" w:color="DADCE0"/>
        </w:pBdr>
      </w:pPr>
      <w:r>
        <w:rPr>
          <w:rFonts w:ascii="Arial" w:hAnsi="Arial"/>
          <w:b/>
          <w:color w:val="1A73E8"/>
          <w:sz w:val="30"/>
        </w:rPr>
        <w:t>6. Zero-Copy Data Grounding &amp; Ephemeral Memory Management</w:t>
      </w:r>
    </w:p>
    <w:p>
      <w:pPr>
        <w:spacing w:before="40" w:after="80" w:line="276" w:lineRule="auto"/>
      </w:pPr>
      <w:r>
        <w:rPr>
          <w:rFonts w:ascii="Arial" w:hAnsi="Arial"/>
          <w:color w:val="202124"/>
          <w:sz w:val="19"/>
        </w:rPr>
        <w:t>Corporate security policies contain sensitive trade secrets and internal procedures. To eliminate data leakage:</w:t>
      </w:r>
    </w:p>
    <w:p>
      <w:pPr>
        <w:spacing w:before="20" w:after="60" w:line="276" w:lineRule="auto"/>
      </w:pPr>
      <w:r>
        <w:rPr>
          <w:rFonts w:ascii="Arial" w:hAnsi="Arial"/>
          <w:color w:val="1A73E8"/>
          <w:sz w:val="19"/>
        </w:rPr>
        <w:t xml:space="preserve">• </w:t>
      </w:r>
      <w:r>
        <w:rPr>
          <w:rFonts w:ascii="Arial" w:hAnsi="Arial"/>
          <w:b/>
          <w:color w:val="202124"/>
          <w:sz w:val="19"/>
        </w:rPr>
        <w:t xml:space="preserve">Zero Permanent Storage: </w:t>
      </w:r>
      <w:r>
        <w:rPr>
          <w:rFonts w:ascii="Arial" w:hAnsi="Arial"/>
          <w:color w:val="3C4043"/>
          <w:sz w:val="19"/>
        </w:rPr>
        <w:t>Policy documents fetched from Google Drive or SharePoint are never stored in databases, Cloud Storage, or persistent volumes.</w:t>
      </w:r>
    </w:p>
    <w:p>
      <w:pPr>
        <w:spacing w:before="20" w:after="60" w:line="276" w:lineRule="auto"/>
      </w:pPr>
      <w:r>
        <w:rPr>
          <w:rFonts w:ascii="Arial" w:hAnsi="Arial"/>
          <w:color w:val="1A73E8"/>
          <w:sz w:val="19"/>
        </w:rPr>
        <w:t xml:space="preserve">• </w:t>
      </w:r>
      <w:r>
        <w:rPr>
          <w:rFonts w:ascii="Arial" w:hAnsi="Arial"/>
          <w:b/>
          <w:color w:val="202124"/>
          <w:sz w:val="19"/>
        </w:rPr>
        <w:t xml:space="preserve">In-Memory Lifecycle: </w:t>
      </w:r>
      <w:r>
        <w:rPr>
          <w:rFonts w:ascii="Arial" w:hAnsi="Arial"/>
          <w:color w:val="3C4043"/>
          <w:sz w:val="19"/>
        </w:rPr>
        <w:t>Files are parsed in volatile RAM during the active assessment session and purged immediately after vector embedding generation.</w:t>
      </w:r>
    </w:p>
    <w:p>
      <w:pPr>
        <w:keepNext/>
        <w:spacing w:before="320" w:after="80"/>
        <w:pBdr>
          <w:bottom w:val="single" w:sz="6" w:space="2" w:color="DADCE0"/>
        </w:pBdr>
      </w:pPr>
      <w:r>
        <w:rPr>
          <w:rFonts w:ascii="Arial" w:hAnsi="Arial"/>
          <w:b/>
          <w:color w:val="1A73E8"/>
          <w:sz w:val="30"/>
        </w:rPr>
        <w:t>7. Epistemic Evidence Graph &amp; Cryptographic SHA-256 Merkle DAG</w:t>
      </w:r>
    </w:p>
    <w:p>
      <w:pPr>
        <w:spacing w:before="40" w:after="80" w:line="276" w:lineRule="auto"/>
      </w:pPr>
      <w:r>
        <w:rPr>
          <w:rFonts w:ascii="Arial" w:hAnsi="Arial"/>
          <w:color w:val="202124"/>
          <w:sz w:val="19"/>
        </w:rPr>
        <w:t>To provide third-party certification bodies with tamper-evident proof, all findings are recorded as immutable nodes in a Directed Acyclic Graph (DAG):</w:t>
      </w:r>
    </w:p>
    <w:p>
      <w:pPr>
        <w:spacing w:before="20" w:after="60" w:line="276" w:lineRule="auto"/>
      </w:pPr>
      <w:r>
        <w:rPr>
          <w:rFonts w:ascii="Arial" w:hAnsi="Arial"/>
          <w:color w:val="1A73E8"/>
          <w:sz w:val="19"/>
        </w:rPr>
        <w:t xml:space="preserve">• </w:t>
      </w:r>
      <w:r>
        <w:rPr>
          <w:rFonts w:ascii="Arial" w:hAnsi="Arial"/>
          <w:b/>
          <w:color w:val="202124"/>
          <w:sz w:val="19"/>
        </w:rPr>
        <w:t xml:space="preserve">Evidence Node: </w:t>
      </w:r>
      <w:r>
        <w:rPr>
          <w:rFonts w:ascii="Arial" w:hAnsi="Arial"/>
          <w:color w:val="3C4043"/>
          <w:sz w:val="19"/>
        </w:rPr>
        <w:t>Contains control_id, timestamp, raw telemetry payload, assessment verdict, and SHA-256 hash.</w:t>
      </w:r>
    </w:p>
    <w:p>
      <w:pPr>
        <w:spacing w:before="20" w:after="60" w:line="276" w:lineRule="auto"/>
      </w:pPr>
      <w:r>
        <w:rPr>
          <w:rFonts w:ascii="Arial" w:hAnsi="Arial"/>
          <w:color w:val="1A73E8"/>
          <w:sz w:val="19"/>
        </w:rPr>
        <w:t xml:space="preserve">• </w:t>
      </w:r>
      <w:r>
        <w:rPr>
          <w:rFonts w:ascii="Arial" w:hAnsi="Arial"/>
          <w:b/>
          <w:color w:val="202124"/>
          <w:sz w:val="19"/>
        </w:rPr>
        <w:t xml:space="preserve">Merkle Root Hash: </w:t>
      </w:r>
      <w:r>
        <w:rPr>
          <w:rFonts w:ascii="Arial" w:hAnsi="Arial"/>
          <w:color w:val="3C4043"/>
          <w:sz w:val="19"/>
        </w:rPr>
        <w:t>The hashes of all evidence nodes are combined into a master Merkle Root Hash: H_root = SHA-256(H_IAM + H_KMS + H_Storage + H_Policy).</w:t>
      </w:r>
    </w:p>
    <w:p>
      <w:pPr>
        <w:spacing w:before="20" w:after="60" w:line="276" w:lineRule="auto"/>
      </w:pPr>
      <w:r>
        <w:rPr>
          <w:rFonts w:ascii="Arial" w:hAnsi="Arial"/>
          <w:color w:val="1A73E8"/>
          <w:sz w:val="19"/>
        </w:rPr>
        <w:t xml:space="preserve">• </w:t>
      </w:r>
      <w:r>
        <w:rPr>
          <w:rFonts w:ascii="Arial" w:hAnsi="Arial"/>
          <w:b/>
          <w:color w:val="202124"/>
          <w:sz w:val="19"/>
        </w:rPr>
        <w:t xml:space="preserve">RFC 3161 Timestamping: </w:t>
      </w:r>
      <w:r>
        <w:rPr>
          <w:rFonts w:ascii="Arial" w:hAnsi="Arial"/>
          <w:color w:val="3C4043"/>
          <w:sz w:val="19"/>
        </w:rPr>
        <w:t>The root hash can be anchored to external trusted timestamping authorities to prove that configurations existed at a specific time without alteration.</w:t>
      </w:r>
    </w:p>
    <w:p>
      <w:pPr>
        <w:keepNext/>
        <w:spacing w:before="320" w:after="80"/>
        <w:pBdr>
          <w:bottom w:val="single" w:sz="6" w:space="2" w:color="DADCE0"/>
        </w:pBdr>
      </w:pPr>
      <w:r>
        <w:rPr>
          <w:rFonts w:ascii="Arial" w:hAnsi="Arial"/>
          <w:b/>
          <w:color w:val="1A73E8"/>
          <w:sz w:val="30"/>
        </w:rPr>
        <w:t>8. Security Boundaries, SPIFFE Identity &amp; Zero-Mutation Sandboxes</w:t>
      </w:r>
    </w:p>
    <w:p>
      <w:pPr>
        <w:spacing w:before="40" w:after="80" w:line="276" w:lineRule="auto"/>
      </w:pPr>
      <w:r>
        <w:rPr>
          <w:rFonts w:ascii="Arial" w:hAnsi="Arial"/>
          <w:color w:val="202124"/>
          <w:sz w:val="19"/>
        </w:rPr>
        <w:t>Every component operates under strict isolation:</w:t>
      </w:r>
    </w:p>
    <w:p>
      <w:pPr>
        <w:spacing w:before="20" w:after="60" w:line="276" w:lineRule="auto"/>
      </w:pPr>
      <w:r>
        <w:rPr>
          <w:rFonts w:ascii="Arial" w:hAnsi="Arial"/>
          <w:color w:val="1A73E8"/>
          <w:sz w:val="19"/>
        </w:rPr>
        <w:t xml:space="preserve">• </w:t>
      </w:r>
      <w:r>
        <w:rPr>
          <w:rFonts w:ascii="Arial" w:hAnsi="Arial"/>
          <w:b/>
          <w:color w:val="202124"/>
          <w:sz w:val="19"/>
        </w:rPr>
        <w:t xml:space="preserve">Workload Identity &amp; SPIFFE: </w:t>
      </w:r>
      <w:r>
        <w:rPr>
          <w:rFonts w:ascii="Arial" w:hAnsi="Arial"/>
          <w:color w:val="3C4043"/>
          <w:sz w:val="19"/>
        </w:rPr>
        <w:t>Cloud Run service accounts authenticate to Google Cloud APIs using short-lived OAuth tokens derived via Workload Identity.</w:t>
      </w:r>
    </w:p>
    <w:p>
      <w:pPr>
        <w:spacing w:before="20" w:after="60" w:line="276" w:lineRule="auto"/>
      </w:pPr>
      <w:r>
        <w:rPr>
          <w:rFonts w:ascii="Arial" w:hAnsi="Arial"/>
          <w:color w:val="1A73E8"/>
          <w:sz w:val="19"/>
        </w:rPr>
        <w:t xml:space="preserve">• </w:t>
      </w:r>
      <w:r>
        <w:rPr>
          <w:rFonts w:ascii="Arial" w:hAnsi="Arial"/>
          <w:b/>
          <w:color w:val="202124"/>
          <w:sz w:val="19"/>
        </w:rPr>
        <w:t xml:space="preserve">Zero-Mutation Guarantee: </w:t>
      </w:r>
      <w:r>
        <w:rPr>
          <w:rFonts w:ascii="Arial" w:hAnsi="Arial"/>
          <w:color w:val="3C4043"/>
          <w:sz w:val="19"/>
        </w:rPr>
        <w:t>IAM permissions granted to the advisor are strictly restricted to read-only roles (roles/viewer, roles/iam.securityReviewer, roles/resourcemanager.organizationViewer). Mutative verbs are mathematically rejected by IAM policy.</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DADCE0"/>
      </w:pBdr>
      <w:jc w:val="left"/>
    </w:pPr>
    <w:r>
      <w:rPr>
        <w:rFonts w:ascii="Arial" w:hAnsi="Arial"/>
        <w:color w:val="5F6368"/>
        <w:sz w:val="17"/>
      </w:rPr>
      <w:t>Google Cloud Enterprise Architecture — Compliance &amp; Security Advisory Blueprint</w:t>
      <w:tab/>
      <w:tab/>
      <w:t xml:space="preserve">Page </w:t>
    </w:r>
    <w:r>
      <w:rPr>
        <w:rFonts w:ascii="Arial" w:hAnsi="Arial"/>
        <w:color w:val="5F6368"/>
        <w:sz w:val="17"/>
      </w:rPr>
      <w:fldChar w:fldCharType="begin"/>
      <w:instrText xml:space="preserve"> PAGE </w:instrText>
      <w:fldChar w:fldCharType="separate"/>
      <w:fldChar w:fldCharType="end"/>
    </w:r>
    <w:r>
      <w:rPr>
        <w:rFonts w:ascii="Arial" w:hAnsi="Arial"/>
        <w:color w:val="5F6368"/>
        <w:sz w:val="17"/>
      </w:rPr>
      <w:t xml:space="preserve"> of </w:t>
    </w:r>
    <w:r>
      <w:rPr>
        <w:rFonts w:ascii="Arial" w:hAnsi="Arial"/>
        <w:color w:val="5F6368"/>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ADCE0"/>
      </w:pBdr>
    </w:pPr>
    <w:r>
      <w:rPr>
        <w:rFonts w:ascii="Arial" w:hAnsi="Arial"/>
        <w:b/>
        <w:color w:val="1A73E8"/>
        <w:sz w:val="17"/>
      </w:rPr>
      <w:t>Google Cloud</w:t>
    </w:r>
    <w:r>
      <w:rPr>
        <w:rFonts w:ascii="Arial" w:hAnsi="Arial"/>
        <w:color w:val="5F6368"/>
        <w:sz w:val="17"/>
      </w:rPr>
      <w:t xml:space="preserve">  |  Technical Architecture &amp; GEAP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