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285F4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EA4335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FBBC04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  <w:tc>
          <w:tcPr>
            <w:tcW w:type="dxa" w:w="2520"/>
            <w:shd w:fill="34A853"/>
            <w:tcMar>
              <w:top w:w="40" w:type="dxa"/>
              <w:bottom w:w="40" w:type="dxa"/>
              <w:left w:w="0" w:type="dxa"/>
              <w:right w:w="0" w:type="dxa"/>
            </w:tcMar>
            <w:tcBorders>
              <w:left w:val="none"/>
              <w:top w:val="none"/>
              <w:right w:val="none"/>
              <w:bottom w:val="none"/>
            </w:tcBorders>
          </w:tcPr>
          <w:p>
            <w:pPr>
              <w:spacing w:before="0" w:after="0" w:line="40" w:lineRule="exact"/>
            </w:pPr>
            <w:r>
              <w:rPr>
                <w:sz w:val="4"/>
              </w:rPr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1A73E8"/>
          <w:sz w:val="19"/>
        </w:rPr>
        <w:t>GOOGLE CLOUD ENTERPRISE ARCHITECTURE &amp; ADVISORY</w:t>
      </w:r>
    </w:p>
    <w:p>
      <w:pPr>
        <w:spacing w:before="40" w:after="120"/>
      </w:pPr>
      <w:r>
        <w:rPr>
          <w:rFonts w:ascii="Arial" w:hAnsi="Arial"/>
          <w:b/>
          <w:color w:val="202124"/>
          <w:sz w:val="44"/>
        </w:rPr>
        <w:t>ISO/IEC 27001:2022 &amp; Amd 1:2024 Controls Specification</w:t>
      </w:r>
    </w:p>
    <w:p>
      <w:pPr>
        <w:spacing w:before="0" w:after="240"/>
      </w:pPr>
      <w:r>
        <w:rPr>
          <w:rFonts w:ascii="Arial" w:hAnsi="Arial"/>
          <w:color w:val="5F6368"/>
          <w:sz w:val="23"/>
        </w:rPr>
        <w:t>Comprehensive 93-Control Mapping, Automated Telemetry Checks &amp; Tamper-Evident Anchoring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DOCUMENT TITLE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ISO/IEC 27001:2022 &amp; Amd 1:2024 Controls &amp; Readiness Specification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DOCUMENT VERSION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1.0 (Production Release / Enterprise Architecture)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STATUS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APPROVED / PRODUCTION-READY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STANDARD REFERENCE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ISO/IEC 27001:2022, ISO/IEC 27002:2022, ISO/IEC 27001:2022/Amd 1:2024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CONTROL SCOPE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All 93 Controls (A.5: 37, A.6: 8, A.7: 14, A.8: 34)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LEAD ARCHITECT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Joabson Saccomani (Cloud Security Specialist - jsaccomani@google.com)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VERIFICATION ENGINE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Deterministic GCP SDK Telemetry Correlated to Cryptographic Evidence Graph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5F6368"/>
                <w:sz w:val="17"/>
              </w:rPr>
              <w:t>CLASSIFICATION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02124"/>
                <w:sz w:val="18"/>
              </w:rPr>
              <w:t>Google Cloud Enterprise Technical Architecture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8E6"/>
            <w:tcMar>
              <w:top w:w="120" w:type="dxa"/>
              <w:bottom w:w="120" w:type="dxa"/>
              <w:left w:w="180" w:type="dxa"/>
              <w:right w:w="140" w:type="dxa"/>
            </w:tcMar>
            <w:tcBorders>
              <w:left w:val="single" w:sz="24" w:space="0" w:color="D93025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D93025"/>
                <w:sz w:val="19"/>
              </w:rPr>
              <w:t xml:space="preserve">[LEGAL &amp; COMPLIANCE DISCLAIMER] </w:t>
            </w:r>
            <w:r>
              <w:rPr>
                <w:rFonts w:ascii="Arial" w:hAnsi="Arial"/>
                <w:color w:val="202124"/>
                <w:sz w:val="18"/>
              </w:rPr>
              <w:t>Google Cloud does not issue ISO/IEC 27001 certifications or conduct accredited certification audits. This specification details the technical control mapping, automated cloud telemetry checks, and tamper-evident evidence collection mechanisms used to assess organizational cloud posture in preparation for accredited third-party certification audits.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A73E8"/>
          <w:sz w:val="2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8EAED"/>
          <w:left w:val="single" w:sz="6" w:space="0" w:color="E8EAED"/>
          <w:bottom w:val="single" w:sz="6" w:space="0" w:color="E8EAED"/>
          <w:right w:val="single" w:sz="6" w:space="0" w:color="E8EAED"/>
          <w:insideH w:val="single" w:sz="4" w:space="0" w:color="E8EAED"/>
          <w:insideV w:val="single" w:sz="4" w:space="0" w:color="E8EAED"/>
        </w:tblBorders>
      </w:tblPr>
      <w:tblGrid>
        <w:gridCol w:w="5040"/>
        <w:gridCol w:w="5040"/>
      </w:tblGrid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1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ISO/IEC 27001:2022 Structural Taxonomy &amp; 4-Theme Consolidation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2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Climate Action Amendment (ISO/IEC 27001:2022/Amd 1:2024)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3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Representative Technological Controls (Theme A.8) &amp; GCP Mapping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4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Organizational, People &amp; Physical Controls (Themes A.5, A.6, A.7)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5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Deterministic Telemetry Verification &amp; Evidence Node Schema</w:t>
            </w:r>
          </w:p>
        </w:tc>
      </w:tr>
      <w:tr>
        <w:tc>
          <w:tcPr>
            <w:tcW w:type="dxa" w:w="172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A73E8"/>
                <w:sz w:val="17"/>
              </w:rPr>
              <w:t>Section 6</w:t>
            </w:r>
          </w:p>
        </w:tc>
        <w:tc>
          <w:tcPr>
            <w:tcW w:type="dxa" w:w="83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202124"/>
                <w:sz w:val="17"/>
              </w:rPr>
              <w:t>Continuous Readiness Velocity &amp; Maturity Scoring Methodology</w:t>
            </w:r>
          </w:p>
        </w:tc>
      </w:tr>
    </w:tbl>
    <w:p>
      <w:pPr>
        <w:spacing w:after="160"/>
      </w:pP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1. ISO/IEC 27001:2022 Structural Taxonomy &amp; 4-Theme Consolidation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The 2022 edition of ISO/IEC 27001 modernized information security governance by consolidating 114 legacy controls into 93 controls organized across 4 clear operational themes: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Theme A.5: Organizational Controls (37 Controls): </w:t>
      </w:r>
      <w:r>
        <w:rPr>
          <w:rFonts w:ascii="Arial" w:hAnsi="Arial"/>
          <w:color w:val="3C4043"/>
          <w:sz w:val="19"/>
        </w:rPr>
        <w:t>Policies, roles, segregation of duties, supplier relationships (A.5.19-23), incident management (A.5.24-28), and cloud compliance.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Theme A.6: People Controls (8 Controls): </w:t>
      </w:r>
      <w:r>
        <w:rPr>
          <w:rFonts w:ascii="Arial" w:hAnsi="Arial"/>
          <w:color w:val="3C4043"/>
          <w:sz w:val="19"/>
        </w:rPr>
        <w:t>Screening, terms of employment, security awareness training, disciplinary actions, remote working, and event reporting.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Theme A.7: Physical Controls (14 Controls): </w:t>
      </w:r>
      <w:r>
        <w:rPr>
          <w:rFonts w:ascii="Arial" w:hAnsi="Arial"/>
          <w:color w:val="3C4043"/>
          <w:sz w:val="19"/>
        </w:rPr>
        <w:t>Physical perimeters, physical entry controls, equipment protection, clear desk and clear screen policies, and environmental threats.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Theme A.8: Technological Controls (34 Controls): </w:t>
      </w:r>
      <w:r>
        <w:rPr>
          <w:rFonts w:ascii="Arial" w:hAnsi="Arial"/>
          <w:color w:val="3C4043"/>
          <w:sz w:val="19"/>
        </w:rPr>
        <w:t>Privileged access rights (A.8.2), data leakage prevention (A.8.12), logging (A.8.16), network security (A.8.20), cryptography (A.8.24), and secure coding (A.8.28).</w:t>
      </w: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2. Climate Action Amendment (ISO/IEC 27001:2022/Amd 1:2024)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Published in February 2024, Amendment 1 introduces mandatory requirements to evaluate climate change risks within the ISMS context: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Clause 4.1 (Understanding the Organization &amp; Context): </w:t>
      </w:r>
      <w:r>
        <w:rPr>
          <w:rFonts w:ascii="Arial" w:hAnsi="Arial"/>
          <w:color w:val="3C4043"/>
          <w:sz w:val="19"/>
        </w:rPr>
        <w:t>The organization must determine whether climate change is a relevant issue to its information security posture.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Clause 4.2 (Understanding Needs of Interested Parties): </w:t>
      </w:r>
      <w:r>
        <w:rPr>
          <w:rFonts w:ascii="Arial" w:hAnsi="Arial"/>
          <w:color w:val="3C4043"/>
          <w:sz w:val="19"/>
        </w:rPr>
        <w:t>The organization must identify relevant interested party requirements related to climate change.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Automated Google Cloud Verification: </w:t>
      </w:r>
      <w:r>
        <w:rPr>
          <w:rFonts w:ascii="Arial" w:hAnsi="Arial"/>
          <w:color w:val="3C4043"/>
          <w:sz w:val="19"/>
        </w:rPr>
        <w:t>The Climate Resilience Advisor ingests Google Cloud Carbon Footprint metrics and verifies regional multi-region redundancy to ensure resilience against climate disruptions.</w:t>
      </w: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3. Representative Technological Controls (Theme A.8) &amp; GCP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Control ID &amp; Name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Google Cloud Telemetry Source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1A73E8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Deterministic Verification Heuristic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A.8.2 Privileged Access Rights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Cloud IAM API, Resource Manager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Assert zero individual user accounts have primitive Owner or Editor bindings; enforce PAM and conditional access.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A.8.12 Data Leakage Prevention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Cloud Storage API, Cloud DLP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Verify Uniform Bucket-Level Access (UBLA=True) and Public Access Prevention (PAP=enforced) on all Cloud Storage buckets.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A.8.16 Monitoring Activities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Cloud Logging API, Cloud Audit Logs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Verify Admin Read, Data Read, and Data Write audit logs are enabled on all critical services; check log sink integrity.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A.8.20 Network Security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Compute Engine API, Cloud Armor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Inspect VPC firewall rules; verify zero ingress rules allow 0.0.0.0/0 to ports 22, 3389, or unencrypted database ports.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A.8.24 Use of Cryptography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Cloud Key Management Service (KMS)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Verify customer-managed encryption keys (CMEK) use Cloud KMS HSM (FIPS 140-2 Level 3) with rotation period &lt;= 90 days.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A.8.28 Secure Coding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Binary Authorization, Cloud Build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20" w:type="dxa"/>
              <w:right w:w="120" w:type="dxa"/>
            </w:tcMar>
            <w:shd w:fill="F8F9FA"/>
          </w:tcPr>
          <w:p>
            <w:pPr>
              <w:spacing w:line="276" w:lineRule="auto"/>
            </w:pPr>
            <w:r>
              <w:rPr>
                <w:rFonts w:ascii="Arial" w:hAnsi="Arial"/>
                <w:color w:val="202124"/>
                <w:sz w:val="17"/>
              </w:rPr>
              <w:t>Assert Binary Authorization enforces cryptographically signed attestation before container images deploy to GKE or Cloud Run.</w:t>
            </w:r>
          </w:p>
        </w:tc>
      </w:tr>
    </w:tbl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4. Organizational, People &amp; Physical Controls (Themes A.5, A.6, A.7)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For non-cloud controls, the Annex A Security Assessor uses Zero-Copy grounding to inspect organizational documentation: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A.5.1 Policies for Information Security: </w:t>
      </w:r>
      <w:r>
        <w:rPr>
          <w:rFonts w:ascii="Arial" w:hAnsi="Arial"/>
          <w:color w:val="3C4043"/>
          <w:sz w:val="19"/>
        </w:rPr>
        <w:t>Evaluates employee handbook and ISMS policy documents for annual executive sign-off and versioning.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A.6.3 Information Security Awareness Training: </w:t>
      </w:r>
      <w:r>
        <w:rPr>
          <w:rFonts w:ascii="Arial" w:hAnsi="Arial"/>
          <w:color w:val="3C4043"/>
          <w:sz w:val="19"/>
        </w:rPr>
        <w:t>Cross-references Jira learning tickets and HR completion records to verify 100% staff training within 12 months.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A.7.4 Physical Security Monitoring: </w:t>
      </w:r>
      <w:r>
        <w:rPr>
          <w:rFonts w:ascii="Arial" w:hAnsi="Arial"/>
          <w:color w:val="3C4043"/>
          <w:sz w:val="19"/>
        </w:rPr>
        <w:t>Reviews Google Cloud datacenter SOC 2 and ISO 27001 compliance certifications via Google Cloud Compliance Reports Manager.</w:t>
      </w: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5. Deterministic Telemetry Verification &amp; Evidence Node Schema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Every telemetry check produces a standardized JSON evidence node: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3F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DADCE0"/>
              <w:top w:val="single" w:sz="6" w:space="0" w:color="DADCE0"/>
              <w:right w:val="single" w:sz="6" w:space="0" w:color="DADCE0"/>
              <w:bottom w:val="single" w:sz="6" w:space="0" w:color="DADCE0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202124"/>
                <w:sz w:val="17"/>
              </w:rPr>
              <w:t>{</w:t>
              <w:br/>
              <w:t xml:space="preserve">  "node_id": "EV-A8.24-KMS-09823",</w:t>
              <w:br/>
              <w:t xml:space="preserve">  "control_id": "A.8.24",</w:t>
              <w:br/>
              <w:t xml:space="preserve">  "theme": "Technological",</w:t>
              <w:br/>
              <w:t xml:space="preserve">  "target_resource": "projects/fnlab-sec-mgmt-8fa913/locations/global/keyRings/hsm-ring/cryptoKeys/cmek-master",</w:t>
              <w:br/>
              <w:t xml:space="preserve">  "telemetry": {</w:t>
              <w:br/>
              <w:t xml:space="preserve">    "algorithm": "GOOGLE_SYMMETRIC_ENCRYPTION",</w:t>
              <w:br/>
              <w:t xml:space="preserve">    "protectionLevel": "HSM",</w:t>
              <w:br/>
              <w:t xml:space="preserve">    "rotationPeriod": "7776000s",</w:t>
              <w:br/>
              <w:t xml:space="preserve">    "nextRotationTime": "2026-11-30T10:00:00Z"</w:t>
              <w:br/>
              <w:t xml:space="preserve">  },</w:t>
              <w:br/>
              <w:t xml:space="preserve">  "compliance_status": "COMPLIANT",</w:t>
              <w:br/>
              <w:t xml:space="preserve">  "sha256_hash": "a8f1...39b2"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20" w:after="80"/>
        <w:pBdr>
          <w:bottom w:val="single" w:sz="6" w:space="2" w:color="DADCE0"/>
        </w:pBdr>
      </w:pPr>
      <w:r>
        <w:rPr>
          <w:rFonts w:ascii="Arial" w:hAnsi="Arial"/>
          <w:b/>
          <w:color w:val="1A73E8"/>
          <w:sz w:val="30"/>
        </w:rPr>
        <w:t>6. Continuous Readiness Velocity &amp; Maturity Scoring Methodology</w:t>
      </w:r>
    </w:p>
    <w:p>
      <w:pPr>
        <w:spacing w:before="40" w:after="80" w:line="276" w:lineRule="auto"/>
      </w:pPr>
      <w:r>
        <w:rPr>
          <w:rFonts w:ascii="Arial" w:hAnsi="Arial"/>
          <w:color w:val="202124"/>
          <w:sz w:val="19"/>
        </w:rPr>
        <w:t>The platform computes an objective readiness index across 0% to 100%: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Compliant Controls (100% weight): </w:t>
      </w:r>
      <w:r>
        <w:rPr>
          <w:rFonts w:ascii="Arial" w:hAnsi="Arial"/>
          <w:color w:val="3C4043"/>
          <w:sz w:val="19"/>
        </w:rPr>
        <w:t>All deterministic telemetry checks and policy requirements verified.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Partial Controls (50% weight): </w:t>
      </w:r>
      <w:r>
        <w:rPr>
          <w:rFonts w:ascii="Arial" w:hAnsi="Arial"/>
          <w:color w:val="3C4043"/>
          <w:sz w:val="19"/>
        </w:rPr>
        <w:t>Policy exists but technical telemetry exhibits minor configuration drift.</w:t>
      </w:r>
    </w:p>
    <w:p>
      <w:pPr>
        <w:spacing w:before="20" w:after="60" w:line="276" w:lineRule="auto"/>
      </w:pPr>
      <w:r>
        <w:rPr>
          <w:rFonts w:ascii="Arial" w:hAnsi="Arial"/>
          <w:color w:val="1A73E8"/>
          <w:sz w:val="19"/>
        </w:rPr>
        <w:t xml:space="preserve">• </w:t>
      </w:r>
      <w:r>
        <w:rPr>
          <w:rFonts w:ascii="Arial" w:hAnsi="Arial"/>
          <w:b/>
          <w:color w:val="202124"/>
          <w:sz w:val="19"/>
        </w:rPr>
        <w:t xml:space="preserve">Non-Compliant Controls (0% weight): </w:t>
      </w:r>
      <w:r>
        <w:rPr>
          <w:rFonts w:ascii="Arial" w:hAnsi="Arial"/>
          <w:color w:val="3C4043"/>
          <w:sz w:val="19"/>
        </w:rPr>
        <w:t>Critical security gaps detected (e.g. unrotated keys, open buckets, missing MFA).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DADCE0"/>
      </w:pBdr>
      <w:jc w:val="left"/>
    </w:pPr>
    <w:r>
      <w:rPr>
        <w:rFonts w:ascii="Arial" w:hAnsi="Arial"/>
        <w:color w:val="5F6368"/>
        <w:sz w:val="17"/>
      </w:rPr>
      <w:t>Google Cloud Enterprise Architecture — Compliance &amp; Security Advisory Blueprint</w:t>
      <w:tab/>
      <w:tab/>
      <w:t xml:space="preserve">Page </w:t>
    </w:r>
    <w:r>
      <w:rPr>
        <w:rFonts w:ascii="Arial" w:hAnsi="Arial"/>
        <w:color w:val="5F6368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/>
        <w:color w:val="5F6368"/>
        <w:sz w:val="17"/>
      </w:rPr>
      <w:t xml:space="preserve"> of </w:t>
    </w:r>
    <w:r>
      <w:rPr>
        <w:rFonts w:ascii="Arial" w:hAnsi="Arial"/>
        <w:color w:val="5F6368"/>
        <w:sz w:val="17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ADCE0"/>
      </w:pBdr>
    </w:pPr>
    <w:r>
      <w:rPr>
        <w:rFonts w:ascii="Arial" w:hAnsi="Arial"/>
        <w:b/>
        <w:color w:val="1A73E8"/>
        <w:sz w:val="17"/>
      </w:rPr>
      <w:t>Google Cloud</w:t>
    </w:r>
    <w:r>
      <w:rPr>
        <w:rFonts w:ascii="Arial" w:hAnsi="Arial"/>
        <w:color w:val="5F6368"/>
        <w:sz w:val="17"/>
      </w:rPr>
      <w:t xml:space="preserve">  |  ISO 27001:2022 Controls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