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285F4"/>
            <w:tcMar>
              <w:top w:w="40" w:type="dxa"/>
              <w:bottom w:w="40" w:type="dxa"/>
              <w:left w:w="0" w:type="dxa"/>
              <w:right w:w="0" w:type="dxa"/>
            </w:tcMar>
            <w:tcBorders>
              <w:left w:val="none"/>
              <w:top w:val="none"/>
              <w:right w:val="none"/>
              <w:bottom w:val="none"/>
            </w:tcBorders>
          </w:tcPr>
          <w:p>
            <w:pPr>
              <w:spacing w:before="0" w:after="0" w:line="40" w:lineRule="exact"/>
            </w:pPr>
            <w:r>
              <w:rPr>
                <w:sz w:val="4"/>
              </w:rPr>
            </w:r>
          </w:p>
        </w:tc>
        <w:tc>
          <w:tcPr>
            <w:tcW w:type="dxa" w:w="2520"/>
            <w:shd w:fill="EA4335"/>
            <w:tcMar>
              <w:top w:w="40" w:type="dxa"/>
              <w:bottom w:w="40" w:type="dxa"/>
              <w:left w:w="0" w:type="dxa"/>
              <w:right w:w="0" w:type="dxa"/>
            </w:tcMar>
            <w:tcBorders>
              <w:left w:val="none"/>
              <w:top w:val="none"/>
              <w:right w:val="none"/>
              <w:bottom w:val="none"/>
            </w:tcBorders>
          </w:tcPr>
          <w:p>
            <w:pPr>
              <w:spacing w:before="0" w:after="0" w:line="40" w:lineRule="exact"/>
            </w:pPr>
            <w:r>
              <w:rPr>
                <w:sz w:val="4"/>
              </w:rPr>
            </w:r>
          </w:p>
        </w:tc>
        <w:tc>
          <w:tcPr>
            <w:tcW w:type="dxa" w:w="2520"/>
            <w:shd w:fill="FBBC04"/>
            <w:tcMar>
              <w:top w:w="40" w:type="dxa"/>
              <w:bottom w:w="40" w:type="dxa"/>
              <w:left w:w="0" w:type="dxa"/>
              <w:right w:w="0" w:type="dxa"/>
            </w:tcMar>
            <w:tcBorders>
              <w:left w:val="none"/>
              <w:top w:val="none"/>
              <w:right w:val="none"/>
              <w:bottom w:val="none"/>
            </w:tcBorders>
          </w:tcPr>
          <w:p>
            <w:pPr>
              <w:spacing w:before="0" w:after="0" w:line="40" w:lineRule="exact"/>
            </w:pPr>
            <w:r>
              <w:rPr>
                <w:sz w:val="4"/>
              </w:rPr>
            </w:r>
          </w:p>
        </w:tc>
        <w:tc>
          <w:tcPr>
            <w:tcW w:type="dxa" w:w="2520"/>
            <w:shd w:fill="34A853"/>
            <w:tcMar>
              <w:top w:w="40" w:type="dxa"/>
              <w:bottom w:w="40" w:type="dxa"/>
              <w:left w:w="0" w:type="dxa"/>
              <w:right w:w="0" w:type="dxa"/>
            </w:tcMar>
            <w:tcBorders>
              <w:left w:val="none"/>
              <w:top w:val="none"/>
              <w:right w:val="none"/>
              <w:bottom w:val="none"/>
            </w:tcBorders>
          </w:tcPr>
          <w:p>
            <w:pPr>
              <w:spacing w:before="0" w:after="0" w:line="40" w:lineRule="exact"/>
            </w:pPr>
            <w:r>
              <w:rPr>
                <w:sz w:val="4"/>
              </w:rPr>
            </w:r>
          </w:p>
        </w:tc>
      </w:tr>
    </w:tbl>
    <w:p>
      <w:pPr>
        <w:spacing w:before="280" w:after="40"/>
      </w:pPr>
      <w:r>
        <w:rPr>
          <w:rFonts w:ascii="Arial" w:hAnsi="Arial"/>
          <w:b/>
          <w:color w:val="1A73E8"/>
          <w:sz w:val="19"/>
        </w:rPr>
        <w:t>GOOGLE CLOUD ENTERPRISE ARCHITECTURE &amp; ADVISORY</w:t>
      </w:r>
    </w:p>
    <w:p>
      <w:pPr>
        <w:spacing w:before="40" w:after="120"/>
      </w:pPr>
      <w:r>
        <w:rPr>
          <w:rFonts w:ascii="Arial" w:hAnsi="Arial"/>
          <w:b/>
          <w:color w:val="202124"/>
          <w:sz w:val="44"/>
        </w:rPr>
        <w:t>Client Onboarding &amp; Operations Manual (Runbook)</w:t>
      </w:r>
    </w:p>
    <w:p>
      <w:pPr>
        <w:spacing w:before="0" w:after="240"/>
      </w:pPr>
      <w:r>
        <w:rPr>
          <w:rFonts w:ascii="Arial" w:hAnsi="Arial"/>
          <w:color w:val="5F6368"/>
          <w:sz w:val="23"/>
        </w:rPr>
        <w:t>Multi-Folder Organization Discovery, Cloud Shell Bootstrap &amp; Enterprise Tenancy Guide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4" w:space="0" w:color="DADCE0"/>
          <w:insideV w:val="single" w:sz="4" w:space="0" w:color="DADCE0"/>
        </w:tblBorders>
      </w:tblPr>
      <w:tblGrid>
        <w:gridCol w:w="5040"/>
        <w:gridCol w:w="5040"/>
      </w:tblGrid>
      <w:tr>
        <w:tc>
          <w:tcPr>
            <w:tcW w:type="dxa" w:w="31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5F6368"/>
                <w:sz w:val="17"/>
              </w:rPr>
              <w:t>DOCUMENT TITLE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02124"/>
                <w:sz w:val="18"/>
              </w:rPr>
              <w:t>Client Onboarding &amp; Operations Manual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5F6368"/>
                <w:sz w:val="17"/>
              </w:rPr>
              <w:t>DOCUMENT VERSION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02124"/>
                <w:sz w:val="18"/>
              </w:rPr>
              <w:t>1.0 (Production Release / Operational Runbook)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5F6368"/>
                <w:sz w:val="17"/>
              </w:rPr>
              <w:t>STATUS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02124"/>
                <w:sz w:val="18"/>
              </w:rPr>
              <w:t>APPROVED / PRODUCTION-READY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5F6368"/>
                <w:sz w:val="17"/>
              </w:rPr>
              <w:t>OPERATIONAL SCOPE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02124"/>
                <w:sz w:val="18"/>
              </w:rPr>
              <w:t>Model A (Central Advisor SaaS) &amp; Model B (Dedicated In-Client)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5F6368"/>
                <w:sz w:val="17"/>
              </w:rPr>
              <w:t>TOOLING SCRIPTS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02124"/>
                <w:sz w:val="18"/>
              </w:rPr>
              <w:t>gcp_onboard_bootstrap.sh, scripts/onboard_client.sh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5F6368"/>
                <w:sz w:val="17"/>
              </w:rPr>
              <w:t>IAM LEAST PRIVILEGE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02124"/>
                <w:sz w:val="18"/>
              </w:rPr>
              <w:t>Strictly Read-Only (roles/viewer, roles/iam.securityReviewer, roles/resourcemanager.organizationViewer)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5F6368"/>
                <w:sz w:val="17"/>
              </w:rPr>
              <w:t>LEAD ARCHITECT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02124"/>
                <w:sz w:val="18"/>
              </w:rPr>
              <w:t>Joabson Saccomani (Cloud Security Specialist - jsaccomani@google.com)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5F6368"/>
                <w:sz w:val="17"/>
              </w:rPr>
              <w:t>CLASSIFICATION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02124"/>
                <w:sz w:val="18"/>
              </w:rPr>
              <w:t>Google Cloud Enterprise Operational Runbook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8E6"/>
            <w:tcMar>
              <w:top w:w="120" w:type="dxa"/>
              <w:bottom w:w="120" w:type="dxa"/>
              <w:left w:w="180" w:type="dxa"/>
              <w:right w:w="140" w:type="dxa"/>
            </w:tcMar>
            <w:tcBorders>
              <w:left w:val="single" w:sz="24" w:space="0" w:color="D93025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D93025"/>
                <w:sz w:val="19"/>
              </w:rPr>
              <w:t xml:space="preserve">[LEGAL &amp; COMPLIANCE DISCLAIMER] </w:t>
            </w:r>
            <w:r>
              <w:rPr>
                <w:rFonts w:ascii="Arial" w:hAnsi="Arial"/>
                <w:color w:val="202124"/>
                <w:sz w:val="18"/>
              </w:rPr>
              <w:t>Google Cloud does not conduct formal audits or issue compliance certifications. This operations manual details the procedures for onboarding client Google Cloud environments in strictly Read-Only mode for continuous compliance readiness reviews and gap analysis.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Arial" w:hAnsi="Arial"/>
          <w:b/>
          <w:color w:val="1A73E8"/>
          <w:sz w:val="26"/>
        </w:rPr>
        <w:t>Table of Contents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8EAED"/>
          <w:left w:val="single" w:sz="6" w:space="0" w:color="E8EAED"/>
          <w:bottom w:val="single" w:sz="6" w:space="0" w:color="E8EAED"/>
          <w:right w:val="single" w:sz="6" w:space="0" w:color="E8EAED"/>
          <w:insideH w:val="single" w:sz="4" w:space="0" w:color="E8EAED"/>
          <w:insideV w:val="single" w:sz="4" w:space="0" w:color="E8EAED"/>
        </w:tblBorders>
      </w:tblPr>
      <w:tblGrid>
        <w:gridCol w:w="5040"/>
        <w:gridCol w:w="5040"/>
      </w:tblGrid>
      <w:tr>
        <w:tc>
          <w:tcPr>
            <w:tcW w:type="dxa" w:w="1728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73E8"/>
                <w:sz w:val="17"/>
              </w:rPr>
              <w:t>Section 1</w:t>
            </w:r>
          </w:p>
        </w:tc>
        <w:tc>
          <w:tcPr>
            <w:tcW w:type="dxa" w:w="835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02124"/>
                <w:sz w:val="17"/>
              </w:rPr>
              <w:t>Dual Deployment Architecture Models (SaaS vs In-Client)</w:t>
            </w:r>
          </w:p>
        </w:tc>
      </w:tr>
      <w:tr>
        <w:tc>
          <w:tcPr>
            <w:tcW w:type="dxa" w:w="1728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73E8"/>
                <w:sz w:val="17"/>
              </w:rPr>
              <w:t>Section 2</w:t>
            </w:r>
          </w:p>
        </w:tc>
        <w:tc>
          <w:tcPr>
            <w:tcW w:type="dxa" w:w="835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02124"/>
                <w:sz w:val="17"/>
              </w:rPr>
              <w:t>Step-by-Step Client Onboarding Walkthrough (Model A)</w:t>
            </w:r>
          </w:p>
        </w:tc>
      </w:tr>
      <w:tr>
        <w:tc>
          <w:tcPr>
            <w:tcW w:type="dxa" w:w="1728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73E8"/>
                <w:sz w:val="17"/>
              </w:rPr>
              <w:t>Section 3</w:t>
            </w:r>
          </w:p>
        </w:tc>
        <w:tc>
          <w:tcPr>
            <w:tcW w:type="dxa" w:w="835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02124"/>
                <w:sz w:val="17"/>
              </w:rPr>
              <w:t>Automated Project Discovery Across Organization Folders</w:t>
            </w:r>
          </w:p>
        </w:tc>
      </w:tr>
      <w:tr>
        <w:tc>
          <w:tcPr>
            <w:tcW w:type="dxa" w:w="1728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73E8"/>
                <w:sz w:val="17"/>
              </w:rPr>
              <w:t>Section 4</w:t>
            </w:r>
          </w:p>
        </w:tc>
        <w:tc>
          <w:tcPr>
            <w:tcW w:type="dxa" w:w="835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02124"/>
                <w:sz w:val="17"/>
              </w:rPr>
              <w:t>Model B (Dedicated In-Client Deployment) Setup Guide</w:t>
            </w:r>
          </w:p>
        </w:tc>
      </w:tr>
      <w:tr>
        <w:tc>
          <w:tcPr>
            <w:tcW w:type="dxa" w:w="1728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73E8"/>
                <w:sz w:val="17"/>
              </w:rPr>
              <w:t>Section 5</w:t>
            </w:r>
          </w:p>
        </w:tc>
        <w:tc>
          <w:tcPr>
            <w:tcW w:type="dxa" w:w="835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02124"/>
                <w:sz w:val="17"/>
              </w:rPr>
              <w:t>Operational Maintenance &amp; Least-Privilege Revocation</w:t>
            </w:r>
          </w:p>
        </w:tc>
      </w:tr>
      <w:tr>
        <w:tc>
          <w:tcPr>
            <w:tcW w:type="dxa" w:w="1728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73E8"/>
                <w:sz w:val="17"/>
              </w:rPr>
              <w:t>Section 6</w:t>
            </w:r>
          </w:p>
        </w:tc>
        <w:tc>
          <w:tcPr>
            <w:tcW w:type="dxa" w:w="835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02124"/>
                <w:sz w:val="17"/>
              </w:rPr>
              <w:t>Troubleshooting &amp; Frequently Asked Questions</w:t>
            </w:r>
          </w:p>
        </w:tc>
      </w:tr>
    </w:tbl>
    <w:p>
      <w:pPr>
        <w:spacing w:after="160"/>
      </w:pPr>
    </w:p>
    <w:p>
      <w:pPr>
        <w:keepNext/>
        <w:spacing w:before="320" w:after="80"/>
        <w:pBdr>
          <w:bottom w:val="single" w:sz="6" w:space="2" w:color="DADCE0"/>
        </w:pBdr>
      </w:pPr>
      <w:r>
        <w:rPr>
          <w:rFonts w:ascii="Arial" w:hAnsi="Arial"/>
          <w:b/>
          <w:color w:val="1A73E8"/>
          <w:sz w:val="30"/>
        </w:rPr>
        <w:t>1. Dual Deployment Architecture Models (SaaS vs In-Client)</w:t>
      </w:r>
    </w:p>
    <w:p>
      <w:pPr>
        <w:spacing w:before="40" w:after="80" w:line="276" w:lineRule="auto"/>
      </w:pPr>
      <w:r>
        <w:rPr>
          <w:rFonts w:ascii="Arial" w:hAnsi="Arial"/>
          <w:color w:val="202124"/>
          <w:sz w:val="19"/>
        </w:rPr>
        <w:t>Agentic GRC supports two enterprise deployment architectures based on client governance and data residency requirements: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1A73E8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Operational Dimension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fill="1A73E8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Model A: Central Advisor (SaaS Hub)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1A73E8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Model B: Dedicated In-Client Tenant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Infrastructure Location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Central Google Cloud Run instance hosted by advisory team.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Dedicated Google Cloud Project provisioned within client GCP Organization.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Customer Setup Burden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Zero infrastructure created in customer environment. 5-minute Cloud Shell script.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Terraform provisions project, KMS, service accounts, and Cloud Run.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IAM Access Model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Customer grants time-boxed Read-Only roles to consultant identity.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All service accounts reside internally within customer boundary.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Maintenance &amp; Updates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Continuous, zero-downtime updates delivered centrally.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Customer SecOps team manages Terraform state and container image lifecycle.</w:t>
            </w:r>
          </w:p>
        </w:tc>
      </w:tr>
    </w:tbl>
    <w:p>
      <w:pPr>
        <w:keepNext/>
        <w:spacing w:before="320" w:after="80"/>
        <w:pBdr>
          <w:bottom w:val="single" w:sz="6" w:space="2" w:color="DADCE0"/>
        </w:pBdr>
      </w:pPr>
      <w:r>
        <w:rPr>
          <w:rFonts w:ascii="Arial" w:hAnsi="Arial"/>
          <w:b/>
          <w:color w:val="1A73E8"/>
          <w:sz w:val="30"/>
        </w:rPr>
        <w:t>2. Step-by-Step Client Onboarding Walkthrough (Model A)</w:t>
      </w:r>
    </w:p>
    <w:p>
      <w:pPr>
        <w:spacing w:before="20" w:after="60" w:line="276" w:lineRule="auto"/>
      </w:pPr>
      <w:r>
        <w:rPr>
          <w:rFonts w:ascii="Arial" w:hAnsi="Arial"/>
          <w:color w:val="1A73E8"/>
          <w:sz w:val="19"/>
        </w:rPr>
        <w:t xml:space="preserve">• </w:t>
      </w:r>
      <w:r>
        <w:rPr>
          <w:rFonts w:ascii="Arial" w:hAnsi="Arial"/>
          <w:b/>
          <w:color w:val="202124"/>
          <w:sz w:val="19"/>
        </w:rPr>
        <w:t xml:space="preserve">Step 1: Generate Client Bootstrap Script: </w:t>
      </w:r>
      <w:r>
        <w:rPr>
          <w:rFonts w:ascii="Arial" w:hAnsi="Arial"/>
          <w:color w:val="3C4043"/>
          <w:sz w:val="19"/>
        </w:rPr>
        <w:t>The consultant opens the portal, clicks '+ Onboard New Client Workspace', enters the company name and consultant email, and clicks 'Download (.sh)' or 'Copy Script'.</w:t>
      </w:r>
    </w:p>
    <w:p>
      <w:pPr>
        <w:spacing w:before="20" w:after="60" w:line="276" w:lineRule="auto"/>
      </w:pPr>
      <w:r>
        <w:rPr>
          <w:rFonts w:ascii="Arial" w:hAnsi="Arial"/>
          <w:color w:val="1A73E8"/>
          <w:sz w:val="19"/>
        </w:rPr>
        <w:t xml:space="preserve">• </w:t>
      </w:r>
      <w:r>
        <w:rPr>
          <w:rFonts w:ascii="Arial" w:hAnsi="Arial"/>
          <w:b/>
          <w:color w:val="202124"/>
          <w:sz w:val="19"/>
        </w:rPr>
        <w:t xml:space="preserve">Step 2: Client Executes in Google Cloud Shell: </w:t>
      </w:r>
      <w:r>
        <w:rPr>
          <w:rFonts w:ascii="Arial" w:hAnsi="Arial"/>
          <w:color w:val="3C4043"/>
          <w:sz w:val="19"/>
        </w:rPr>
        <w:t>The client Organization Administrator pastes and executes gcp_onboard_bootstrap.sh in Google Cloud Shell (console.cloud.google.com).</w:t>
      </w:r>
    </w:p>
    <w:p>
      <w:pPr>
        <w:spacing w:before="20" w:after="60" w:line="276" w:lineRule="auto"/>
      </w:pPr>
      <w:r>
        <w:rPr>
          <w:rFonts w:ascii="Arial" w:hAnsi="Arial"/>
          <w:color w:val="1A73E8"/>
          <w:sz w:val="19"/>
        </w:rPr>
        <w:t xml:space="preserve">• </w:t>
      </w:r>
      <w:r>
        <w:rPr>
          <w:rFonts w:ascii="Arial" w:hAnsi="Arial"/>
          <w:b/>
          <w:color w:val="202124"/>
          <w:sz w:val="19"/>
        </w:rPr>
        <w:t xml:space="preserve">Step 3: Automated Organization &amp; Folder Discovery: </w:t>
      </w:r>
      <w:r>
        <w:rPr>
          <w:rFonts w:ascii="Arial" w:hAnsi="Arial"/>
          <w:color w:val="3C4043"/>
          <w:sz w:val="19"/>
        </w:rPr>
        <w:t>The script queries Cloud Asset Inventory, traversing all folders and projects across the enterprise hierarchy.</w:t>
      </w:r>
    </w:p>
    <w:p>
      <w:pPr>
        <w:spacing w:before="20" w:after="60" w:line="276" w:lineRule="auto"/>
      </w:pPr>
      <w:r>
        <w:rPr>
          <w:rFonts w:ascii="Arial" w:hAnsi="Arial"/>
          <w:color w:val="1A73E8"/>
          <w:sz w:val="19"/>
        </w:rPr>
        <w:t xml:space="preserve">• </w:t>
      </w:r>
      <w:r>
        <w:rPr>
          <w:rFonts w:ascii="Arial" w:hAnsi="Arial"/>
          <w:b/>
          <w:color w:val="202124"/>
          <w:sz w:val="19"/>
        </w:rPr>
        <w:t xml:space="preserve">Step 4: Strictly Read-Only IAM Role Binding: </w:t>
      </w:r>
      <w:r>
        <w:rPr>
          <w:rFonts w:ascii="Arial" w:hAnsi="Arial"/>
          <w:color w:val="3C4043"/>
          <w:sz w:val="19"/>
        </w:rPr>
        <w:t>The script applies least-privilege review roles (roles/viewer, roles/iam.securityReviewer, roles/resourcemanager.organizationViewer) to the consultant identity at the organization level.</w:t>
      </w:r>
    </w:p>
    <w:p>
      <w:pPr>
        <w:spacing w:before="20" w:after="60" w:line="276" w:lineRule="auto"/>
      </w:pPr>
      <w:r>
        <w:rPr>
          <w:rFonts w:ascii="Arial" w:hAnsi="Arial"/>
          <w:color w:val="1A73E8"/>
          <w:sz w:val="19"/>
        </w:rPr>
        <w:t xml:space="preserve">• </w:t>
      </w:r>
      <w:r>
        <w:rPr>
          <w:rFonts w:ascii="Arial" w:hAnsi="Arial"/>
          <w:b/>
          <w:color w:val="202124"/>
          <w:sz w:val="19"/>
        </w:rPr>
        <w:t xml:space="preserve">Step 5: Context Export to grc_onboarding_config.txt: </w:t>
      </w:r>
      <w:r>
        <w:rPr>
          <w:rFonts w:ascii="Arial" w:hAnsi="Arial"/>
          <w:color w:val="3C4043"/>
          <w:sz w:val="19"/>
        </w:rPr>
        <w:t>The script outputs a structured configuration file containing org_id, org_name, projects list, access duration, and timestamp.</w:t>
      </w:r>
    </w:p>
    <w:p>
      <w:pPr>
        <w:spacing w:before="20" w:after="60" w:line="276" w:lineRule="auto"/>
      </w:pPr>
      <w:r>
        <w:rPr>
          <w:rFonts w:ascii="Arial" w:hAnsi="Arial"/>
          <w:color w:val="1A73E8"/>
          <w:sz w:val="19"/>
        </w:rPr>
        <w:t xml:space="preserve">• </w:t>
      </w:r>
      <w:r>
        <w:rPr>
          <w:rFonts w:ascii="Arial" w:hAnsi="Arial"/>
          <w:b/>
          <w:color w:val="202124"/>
          <w:sz w:val="19"/>
        </w:rPr>
        <w:t xml:space="preserve">Step 6: Load from TXT &amp; Finalize Onboarding: </w:t>
      </w:r>
      <w:r>
        <w:rPr>
          <w:rFonts w:ascii="Arial" w:hAnsi="Arial"/>
          <w:color w:val="3C4043"/>
          <w:sz w:val="19"/>
        </w:rPr>
        <w:t>The consultant clicks 'Load from TXT' in the portal modal, reviews the auto-populated parameters, and clicks 'Connect Client'. The workspace is registered and active immediately.</w:t>
      </w:r>
    </w:p>
    <w:p>
      <w:pPr>
        <w:keepNext/>
        <w:spacing w:before="320" w:after="80"/>
        <w:pBdr>
          <w:bottom w:val="single" w:sz="6" w:space="2" w:color="DADCE0"/>
        </w:pBdr>
      </w:pPr>
      <w:r>
        <w:rPr>
          <w:rFonts w:ascii="Arial" w:hAnsi="Arial"/>
          <w:b/>
          <w:color w:val="1A73E8"/>
          <w:sz w:val="30"/>
        </w:rPr>
        <w:t>3. Automated Project Discovery Across Organization Folders</w:t>
      </w:r>
    </w:p>
    <w:p>
      <w:pPr>
        <w:spacing w:before="40" w:after="80" w:line="276" w:lineRule="auto"/>
      </w:pPr>
      <w:r>
        <w:rPr>
          <w:rFonts w:ascii="Arial" w:hAnsi="Arial"/>
          <w:color w:val="202124"/>
          <w:sz w:val="19"/>
        </w:rPr>
        <w:t>In large enterprises, projects are rarely at the organization root; they reside in deeply nested folders (e.g. Org &gt; Engineering &gt; Payments &gt; Production). Standard `gcloud projects list` commands fail to discover nested projects. Agentic GRC leverages Cloud Asset Inventory: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6" w:space="0" w:color="DADCE0"/>
              <w:top w:val="single" w:sz="6" w:space="0" w:color="DADCE0"/>
              <w:right w:val="single" w:sz="6" w:space="0" w:color="DADCE0"/>
              <w:bottom w:val="single" w:sz="6" w:space="0" w:color="DADCE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202124"/>
                <w:sz w:val="17"/>
              </w:rPr>
              <w:t>gcloud asset search-all-resources \</w:t>
              <w:br/>
              <w:t xml:space="preserve">  --scope="organizations/${ORG_ID}" \</w:t>
              <w:br/>
              <w:t xml:space="preserve">  --asset-types="cloudresourcemanager.googleapis.com/Project" \</w:t>
              <w:br/>
              <w:t xml:space="preserve">  --query="state:ACTIVE" \</w:t>
              <w:br/>
              <w:t xml:space="preserve">  --format="value(name)"</w:t>
            </w:r>
          </w:p>
        </w:tc>
      </w:tr>
    </w:tbl>
    <w:p>
      <w:pPr>
        <w:spacing w:after="80"/>
      </w:pPr>
    </w:p>
    <w:p>
      <w:pPr>
        <w:keepNext/>
        <w:spacing w:before="320" w:after="80"/>
        <w:pBdr>
          <w:bottom w:val="single" w:sz="6" w:space="2" w:color="DADCE0"/>
        </w:pBdr>
      </w:pPr>
      <w:r>
        <w:rPr>
          <w:rFonts w:ascii="Arial" w:hAnsi="Arial"/>
          <w:b/>
          <w:color w:val="1A73E8"/>
          <w:sz w:val="30"/>
        </w:rPr>
        <w:t>4. Model B (Dedicated In-Client Deployment) Setup Guide</w:t>
      </w:r>
    </w:p>
    <w:p>
      <w:pPr>
        <w:spacing w:before="40" w:after="80" w:line="276" w:lineRule="auto"/>
      </w:pPr>
      <w:r>
        <w:rPr>
          <w:rFonts w:ascii="Arial" w:hAnsi="Arial"/>
          <w:color w:val="202124"/>
          <w:sz w:val="19"/>
        </w:rPr>
        <w:t>For financial institutions and healthcare providers with strict zero-third-party egress mandates, Model B deploys the entire stack via Terraform inside the customer tenant:</w:t>
      </w:r>
    </w:p>
    <w:p>
      <w:pPr>
        <w:spacing w:before="20" w:after="60" w:line="276" w:lineRule="auto"/>
      </w:pPr>
      <w:r>
        <w:rPr>
          <w:rFonts w:ascii="Arial" w:hAnsi="Arial"/>
          <w:color w:val="1A73E8"/>
          <w:sz w:val="19"/>
        </w:rPr>
        <w:t xml:space="preserve">• </w:t>
      </w:r>
      <w:r>
        <w:rPr>
          <w:rFonts w:ascii="Arial" w:hAnsi="Arial"/>
          <w:b/>
          <w:color w:val="202124"/>
          <w:sz w:val="19"/>
        </w:rPr>
        <w:t xml:space="preserve">Module 1: VPC &amp; Cloud Run: </w:t>
      </w:r>
      <w:r>
        <w:rPr>
          <w:rFonts w:ascii="Arial" w:hAnsi="Arial"/>
          <w:color w:val="3C4043"/>
          <w:sz w:val="19"/>
        </w:rPr>
        <w:t>Provisions private Cloud Run instances with Internal Load Balancing and Cloud Armor WAF.</w:t>
      </w:r>
    </w:p>
    <w:p>
      <w:pPr>
        <w:spacing w:before="20" w:after="60" w:line="276" w:lineRule="auto"/>
      </w:pPr>
      <w:r>
        <w:rPr>
          <w:rFonts w:ascii="Arial" w:hAnsi="Arial"/>
          <w:color w:val="1A73E8"/>
          <w:sz w:val="19"/>
        </w:rPr>
        <w:t xml:space="preserve">• </w:t>
      </w:r>
      <w:r>
        <w:rPr>
          <w:rFonts w:ascii="Arial" w:hAnsi="Arial"/>
          <w:b/>
          <w:color w:val="202124"/>
          <w:sz w:val="19"/>
        </w:rPr>
        <w:t xml:space="preserve">Module 2: Cloud KMS &amp; Evidence Vault: </w:t>
      </w:r>
      <w:r>
        <w:rPr>
          <w:rFonts w:ascii="Arial" w:hAnsi="Arial"/>
          <w:color w:val="3C4043"/>
          <w:sz w:val="19"/>
        </w:rPr>
        <w:t>Deploys FIPS 140-2 Level 3 HSM keys for cryptographic signing of the Evidence Graph.</w:t>
      </w:r>
    </w:p>
    <w:p>
      <w:pPr>
        <w:spacing w:before="20" w:after="60" w:line="276" w:lineRule="auto"/>
      </w:pPr>
      <w:r>
        <w:rPr>
          <w:rFonts w:ascii="Arial" w:hAnsi="Arial"/>
          <w:color w:val="1A73E8"/>
          <w:sz w:val="19"/>
        </w:rPr>
        <w:t xml:space="preserve">• </w:t>
      </w:r>
      <w:r>
        <w:rPr>
          <w:rFonts w:ascii="Arial" w:hAnsi="Arial"/>
          <w:b/>
          <w:color w:val="202124"/>
          <w:sz w:val="19"/>
        </w:rPr>
        <w:t xml:space="preserve">Module 3: Vertex AI Endpoints: </w:t>
      </w:r>
      <w:r>
        <w:rPr>
          <w:rFonts w:ascii="Arial" w:hAnsi="Arial"/>
          <w:color w:val="3C4043"/>
          <w:sz w:val="19"/>
        </w:rPr>
        <w:t>Configures Private Google Access to Vertex AI Gemini Foundation Models without public internet egress.</w:t>
      </w:r>
    </w:p>
    <w:p>
      <w:pPr>
        <w:keepNext/>
        <w:spacing w:before="320" w:after="80"/>
        <w:pBdr>
          <w:bottom w:val="single" w:sz="6" w:space="2" w:color="DADCE0"/>
        </w:pBdr>
      </w:pPr>
      <w:r>
        <w:rPr>
          <w:rFonts w:ascii="Arial" w:hAnsi="Arial"/>
          <w:b/>
          <w:color w:val="1A73E8"/>
          <w:sz w:val="30"/>
        </w:rPr>
        <w:t>5. Operational Maintenance &amp; Least-Privilege Revocation</w:t>
      </w:r>
    </w:p>
    <w:p>
      <w:pPr>
        <w:spacing w:before="40" w:after="80" w:line="276" w:lineRule="auto"/>
      </w:pPr>
      <w:r>
        <w:rPr>
          <w:rFonts w:ascii="Arial" w:hAnsi="Arial"/>
          <w:color w:val="202124"/>
          <w:sz w:val="19"/>
        </w:rPr>
        <w:t>When an engagement concludes, access is easily revoked using either automated or manual methods:</w:t>
      </w:r>
    </w:p>
    <w:p>
      <w:pPr>
        <w:spacing w:before="20" w:after="60" w:line="276" w:lineRule="auto"/>
      </w:pPr>
      <w:r>
        <w:rPr>
          <w:rFonts w:ascii="Arial" w:hAnsi="Arial"/>
          <w:color w:val="1A73E8"/>
          <w:sz w:val="19"/>
        </w:rPr>
        <w:t xml:space="preserve">• </w:t>
      </w:r>
      <w:r>
        <w:rPr>
          <w:rFonts w:ascii="Arial" w:hAnsi="Arial"/>
          <w:b/>
          <w:color w:val="202124"/>
          <w:sz w:val="19"/>
        </w:rPr>
        <w:t xml:space="preserve">Portal Disconnect Action: </w:t>
      </w:r>
      <w:r>
        <w:rPr>
          <w:rFonts w:ascii="Arial" w:hAnsi="Arial"/>
          <w:color w:val="3C4043"/>
          <w:sz w:val="19"/>
        </w:rPr>
        <w:t>Click 'Disconnect' on the client workspace card in the portal. Marks status as 'disconnected', stops future live scans, and preserves historical reports and Drive evidence.</w:t>
      </w:r>
    </w:p>
    <w:p>
      <w:pPr>
        <w:spacing w:before="20" w:after="60" w:line="276" w:lineRule="auto"/>
      </w:pPr>
      <w:r>
        <w:rPr>
          <w:rFonts w:ascii="Arial" w:hAnsi="Arial"/>
          <w:color w:val="1A73E8"/>
          <w:sz w:val="19"/>
        </w:rPr>
        <w:t xml:space="preserve">• </w:t>
      </w:r>
      <w:r>
        <w:rPr>
          <w:rFonts w:ascii="Arial" w:hAnsi="Arial"/>
          <w:b/>
          <w:color w:val="202124"/>
          <w:sz w:val="19"/>
        </w:rPr>
        <w:t xml:space="preserve">Instant CLI IAM Revocation: </w:t>
      </w:r>
      <w:r>
        <w:rPr>
          <w:rFonts w:ascii="Arial" w:hAnsi="Arial"/>
          <w:color w:val="3C4043"/>
          <w:sz w:val="19"/>
        </w:rPr>
        <w:t>Run the generated revoke script to remove all organizational IAM bindings: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6" w:space="0" w:color="DADCE0"/>
              <w:top w:val="single" w:sz="6" w:space="0" w:color="DADCE0"/>
              <w:right w:val="single" w:sz="6" w:space="0" w:color="DADCE0"/>
              <w:bottom w:val="single" w:sz="6" w:space="0" w:color="DADCE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202124"/>
                <w:sz w:val="17"/>
              </w:rPr>
              <w:t>gcloud organizations remove-iam-policy-binding ${ORG_ID} \</w:t>
              <w:br/>
              <w:t xml:space="preserve">  --member="user:${CONSULTANT_EMAIL}" --role="roles/viewer"</w:t>
              <w:br/>
              <w:t>gcloud organizations remove-iam-policy-binding ${ORG_ID} \</w:t>
              <w:br/>
              <w:t xml:space="preserve">  --member="user:${CONSULTANT_EMAIL}" --role="roles/iam.securityReviewer"</w:t>
              <w:br/>
              <w:t>gcloud organizations remove-iam-policy-binding ${ORG_ID} \</w:t>
              <w:br/>
              <w:t xml:space="preserve">  --member="user:${CONSULTANT_EMAIL}" --role="roles/resourcemanager.organizationViewer"</w:t>
            </w:r>
          </w:p>
        </w:tc>
      </w:tr>
    </w:tbl>
    <w:p>
      <w:pPr>
        <w:spacing w:after="80"/>
      </w:pPr>
    </w:p>
    <w:p>
      <w:pPr>
        <w:keepNext/>
        <w:spacing w:before="320" w:after="80"/>
        <w:pBdr>
          <w:bottom w:val="single" w:sz="6" w:space="2" w:color="DADCE0"/>
        </w:pBdr>
      </w:pPr>
      <w:r>
        <w:rPr>
          <w:rFonts w:ascii="Arial" w:hAnsi="Arial"/>
          <w:b/>
          <w:color w:val="1A73E8"/>
          <w:sz w:val="30"/>
        </w:rPr>
        <w:t>6. Troubleshooting &amp; Frequently Asked Questions</w:t>
      </w:r>
    </w:p>
    <w:p>
      <w:pPr>
        <w:spacing w:before="20" w:after="60" w:line="276" w:lineRule="auto"/>
      </w:pPr>
      <w:r>
        <w:rPr>
          <w:rFonts w:ascii="Arial" w:hAnsi="Arial"/>
          <w:color w:val="1A73E8"/>
          <w:sz w:val="19"/>
        </w:rPr>
        <w:t xml:space="preserve">• </w:t>
      </w:r>
      <w:r>
        <w:rPr>
          <w:rFonts w:ascii="Arial" w:hAnsi="Arial"/>
          <w:b/>
          <w:color w:val="202124"/>
          <w:sz w:val="19"/>
        </w:rPr>
        <w:t xml:space="preserve">Error: Permission Denied on Cloud Asset Inventory: </w:t>
      </w:r>
      <w:r>
        <w:rPr>
          <w:rFonts w:ascii="Arial" w:hAnsi="Arial"/>
          <w:color w:val="3C4043"/>
          <w:sz w:val="19"/>
        </w:rPr>
        <w:t>Ensure the executing administrator holds roles/cloudasset.viewer or roles/owner on the Organization resource.</w:t>
      </w:r>
    </w:p>
    <w:p>
      <w:pPr>
        <w:spacing w:before="20" w:after="60" w:line="276" w:lineRule="auto"/>
      </w:pPr>
      <w:r>
        <w:rPr>
          <w:rFonts w:ascii="Arial" w:hAnsi="Arial"/>
          <w:color w:val="1A73E8"/>
          <w:sz w:val="19"/>
        </w:rPr>
        <w:t xml:space="preserve">• </w:t>
      </w:r>
      <w:r>
        <w:rPr>
          <w:rFonts w:ascii="Arial" w:hAnsi="Arial"/>
          <w:b/>
          <w:color w:val="202124"/>
          <w:sz w:val="19"/>
        </w:rPr>
        <w:t xml:space="preserve">Error: Token Expired: </w:t>
      </w:r>
      <w:r>
        <w:rPr>
          <w:rFonts w:ascii="Arial" w:hAnsi="Arial"/>
          <w:color w:val="3C4043"/>
          <w:sz w:val="19"/>
        </w:rPr>
        <w:t>Google Workspace SSO tokens refresh every 60 minutes. Re-authenticate through the BeyondCorp IAP portal.</w:t>
      </w:r>
    </w:p>
    <w:p>
      <w:pPr>
        <w:spacing w:before="20" w:after="60" w:line="276" w:lineRule="auto"/>
      </w:pPr>
      <w:r>
        <w:rPr>
          <w:rFonts w:ascii="Arial" w:hAnsi="Arial"/>
          <w:color w:val="1A73E8"/>
          <w:sz w:val="19"/>
        </w:rPr>
        <w:t xml:space="preserve">• </w:t>
      </w:r>
      <w:r>
        <w:rPr>
          <w:rFonts w:ascii="Arial" w:hAnsi="Arial"/>
          <w:b/>
          <w:color w:val="202124"/>
          <w:sz w:val="19"/>
        </w:rPr>
        <w:t xml:space="preserve">Question: Can we exclude non-production projects? </w:t>
      </w:r>
      <w:r>
        <w:rPr>
          <w:rFonts w:ascii="Arial" w:hAnsi="Arial"/>
          <w:color w:val="3C4043"/>
          <w:sz w:val="19"/>
        </w:rPr>
        <w:t>Yes. In the onboarding modal or txt configuration, remove non-scope project IDs from the projects array.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2" w:color="DADCE0"/>
      </w:pBdr>
      <w:jc w:val="left"/>
    </w:pPr>
    <w:r>
      <w:rPr>
        <w:rFonts w:ascii="Arial" w:hAnsi="Arial"/>
        <w:color w:val="5F6368"/>
        <w:sz w:val="17"/>
      </w:rPr>
      <w:t>Google Cloud Enterprise Architecture — Compliance &amp; Security Advisory Blueprint</w:t>
      <w:tab/>
      <w:tab/>
      <w:t xml:space="preserve">Page </w:t>
    </w:r>
    <w:r>
      <w:rPr>
        <w:rFonts w:ascii="Arial" w:hAnsi="Arial"/>
        <w:color w:val="5F6368"/>
        <w:sz w:val="17"/>
      </w:rPr>
      <w:fldChar w:fldCharType="begin"/>
      <w:instrText xml:space="preserve"> PAGE </w:instrText>
      <w:fldChar w:fldCharType="separate"/>
      <w:fldChar w:fldCharType="end"/>
    </w:r>
    <w:r>
      <w:rPr>
        <w:rFonts w:ascii="Arial" w:hAnsi="Arial"/>
        <w:color w:val="5F6368"/>
        <w:sz w:val="17"/>
      </w:rPr>
      <w:t xml:space="preserve"> of </w:t>
    </w:r>
    <w:r>
      <w:rPr>
        <w:rFonts w:ascii="Arial" w:hAnsi="Arial"/>
        <w:color w:val="5F6368"/>
        <w:sz w:val="17"/>
      </w:rP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DADCE0"/>
      </w:pBdr>
    </w:pPr>
    <w:r>
      <w:rPr>
        <w:rFonts w:ascii="Arial" w:hAnsi="Arial"/>
        <w:b/>
        <w:color w:val="1A73E8"/>
        <w:sz w:val="17"/>
      </w:rPr>
      <w:t>Google Cloud</w:t>
    </w:r>
    <w:r>
      <w:rPr>
        <w:rFonts w:ascii="Arial" w:hAnsi="Arial"/>
        <w:color w:val="5F6368"/>
        <w:sz w:val="17"/>
      </w:rPr>
      <w:t xml:space="preserve">  |  Client Onboarding &amp; Operations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