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4285F4"/>
            <w:tcMar>
              <w:top w:w="40" w:type="dxa"/>
              <w:bottom w:w="40" w:type="dxa"/>
              <w:left w:w="0" w:type="dxa"/>
              <w:right w:w="0" w:type="dxa"/>
            </w:tcMar>
            <w:tcBorders>
              <w:left w:val="none"/>
              <w:top w:val="none"/>
              <w:right w:val="none"/>
              <w:bottom w:val="none"/>
            </w:tcBorders>
          </w:tcPr>
          <w:p>
            <w:pPr>
              <w:spacing w:before="0" w:after="0" w:line="40" w:lineRule="exact"/>
            </w:pPr>
            <w:r>
              <w:rPr>
                <w:sz w:val="4"/>
              </w:rPr>
            </w:r>
          </w:p>
        </w:tc>
        <w:tc>
          <w:tcPr>
            <w:tcW w:type="dxa" w:w="2520"/>
            <w:shd w:fill="EA4335"/>
            <w:tcMar>
              <w:top w:w="40" w:type="dxa"/>
              <w:bottom w:w="40" w:type="dxa"/>
              <w:left w:w="0" w:type="dxa"/>
              <w:right w:w="0" w:type="dxa"/>
            </w:tcMar>
            <w:tcBorders>
              <w:left w:val="none"/>
              <w:top w:val="none"/>
              <w:right w:val="none"/>
              <w:bottom w:val="none"/>
            </w:tcBorders>
          </w:tcPr>
          <w:p>
            <w:pPr>
              <w:spacing w:before="0" w:after="0" w:line="40" w:lineRule="exact"/>
            </w:pPr>
            <w:r>
              <w:rPr>
                <w:sz w:val="4"/>
              </w:rPr>
            </w:r>
          </w:p>
        </w:tc>
        <w:tc>
          <w:tcPr>
            <w:tcW w:type="dxa" w:w="2520"/>
            <w:shd w:fill="FBBC04"/>
            <w:tcMar>
              <w:top w:w="40" w:type="dxa"/>
              <w:bottom w:w="40" w:type="dxa"/>
              <w:left w:w="0" w:type="dxa"/>
              <w:right w:w="0" w:type="dxa"/>
            </w:tcMar>
            <w:tcBorders>
              <w:left w:val="none"/>
              <w:top w:val="none"/>
              <w:right w:val="none"/>
              <w:bottom w:val="none"/>
            </w:tcBorders>
          </w:tcPr>
          <w:p>
            <w:pPr>
              <w:spacing w:before="0" w:after="0" w:line="40" w:lineRule="exact"/>
            </w:pPr>
            <w:r>
              <w:rPr>
                <w:sz w:val="4"/>
              </w:rPr>
            </w:r>
          </w:p>
        </w:tc>
        <w:tc>
          <w:tcPr>
            <w:tcW w:type="dxa" w:w="2520"/>
            <w:shd w:fill="34A853"/>
            <w:tcMar>
              <w:top w:w="40" w:type="dxa"/>
              <w:bottom w:w="40" w:type="dxa"/>
              <w:left w:w="0" w:type="dxa"/>
              <w:right w:w="0" w:type="dxa"/>
            </w:tcMar>
            <w:tcBorders>
              <w:left w:val="none"/>
              <w:top w:val="none"/>
              <w:right w:val="none"/>
              <w:bottom w:val="none"/>
            </w:tcBorders>
          </w:tcPr>
          <w:p>
            <w:pPr>
              <w:spacing w:before="0" w:after="0" w:line="40" w:lineRule="exact"/>
            </w:pPr>
            <w:r>
              <w:rPr>
                <w:sz w:val="4"/>
              </w:rPr>
            </w:r>
          </w:p>
        </w:tc>
      </w:tr>
    </w:tbl>
    <w:p>
      <w:pPr>
        <w:spacing w:before="280" w:after="40"/>
      </w:pPr>
      <w:r>
        <w:rPr>
          <w:rFonts w:ascii="Arial" w:hAnsi="Arial"/>
          <w:b/>
          <w:color w:val="1A73E8"/>
          <w:sz w:val="19"/>
        </w:rPr>
        <w:t>GOOGLE CLOUD ENTERPRISE ARCHITECTURE &amp; ADVISORY</w:t>
      </w:r>
    </w:p>
    <w:p>
      <w:pPr>
        <w:spacing w:before="40" w:after="120"/>
      </w:pPr>
      <w:r>
        <w:rPr>
          <w:rFonts w:ascii="Arial" w:hAnsi="Arial"/>
          <w:b/>
          <w:color w:val="202124"/>
          <w:sz w:val="44"/>
        </w:rPr>
        <w:t>Governance, FinOps &amp; Security Assurance Master Whitebook</w:t>
      </w:r>
    </w:p>
    <w:p>
      <w:pPr>
        <w:spacing w:before="0" w:after="240"/>
      </w:pPr>
      <w:r>
        <w:rPr>
          <w:rFonts w:ascii="Arial" w:hAnsi="Arial"/>
          <w:color w:val="5F6368"/>
          <w:sz w:val="23"/>
        </w:rPr>
        <w:t>Model Armor Defense Matrix, BeyondCorp IAP, Context Caching Economics &amp; 225 Test Validations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4" w:space="0" w:color="DADCE0"/>
          <w:insideV w:val="single" w:sz="4" w:space="0" w:color="DADCE0"/>
        </w:tblBorders>
      </w:tblPr>
      <w:tblGrid>
        <w:gridCol w:w="5040"/>
        <w:gridCol w:w="5040"/>
      </w:tblGrid>
      <w:tr>
        <w:tc>
          <w:tcPr>
            <w:tcW w:type="dxa" w:w="3168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5F6368"/>
                <w:sz w:val="17"/>
              </w:rPr>
              <w:t>DOCUMENT TITLE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02124"/>
                <w:sz w:val="18"/>
              </w:rPr>
              <w:t>Governance, FinOps &amp; Security Assurance Whitebook</w:t>
            </w:r>
          </w:p>
        </w:tc>
      </w:tr>
      <w:tr>
        <w:tc>
          <w:tcPr>
            <w:tcW w:type="dxa" w:w="3168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5F6368"/>
                <w:sz w:val="17"/>
              </w:rPr>
              <w:t>DOCUMENT VERSION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02124"/>
                <w:sz w:val="18"/>
              </w:rPr>
              <w:t>1.0 (Production Release / Enterprise Architecture)</w:t>
            </w:r>
          </w:p>
        </w:tc>
      </w:tr>
      <w:tr>
        <w:tc>
          <w:tcPr>
            <w:tcW w:type="dxa" w:w="3168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5F6368"/>
                <w:sz w:val="17"/>
              </w:rPr>
              <w:t>STATUS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02124"/>
                <w:sz w:val="18"/>
              </w:rPr>
              <w:t>APPROVED / PRODUCTION-READY</w:t>
            </w:r>
          </w:p>
        </w:tc>
      </w:tr>
      <w:tr>
        <w:tc>
          <w:tcPr>
            <w:tcW w:type="dxa" w:w="3168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5F6368"/>
                <w:sz w:val="17"/>
              </w:rPr>
              <w:t>SECURITY STANDARD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02124"/>
                <w:sz w:val="18"/>
              </w:rPr>
              <w:t>Zero-Trust Architecture &amp; SPIFFE Cryptographic Identities</w:t>
            </w:r>
          </w:p>
        </w:tc>
      </w:tr>
      <w:tr>
        <w:tc>
          <w:tcPr>
            <w:tcW w:type="dxa" w:w="3168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5F6368"/>
                <w:sz w:val="17"/>
              </w:rPr>
              <w:t>AUTOMATED VERIFICATION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02124"/>
                <w:sz w:val="18"/>
              </w:rPr>
              <w:t>225 Unit &amp; Integration Tests (100% Passing Suite)</w:t>
            </w:r>
          </w:p>
        </w:tc>
      </w:tr>
      <w:tr>
        <w:tc>
          <w:tcPr>
            <w:tcW w:type="dxa" w:w="3168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5F6368"/>
                <w:sz w:val="17"/>
              </w:rPr>
              <w:t>FINOPS FRAMEWORK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02124"/>
                <w:sz w:val="18"/>
              </w:rPr>
              <w:t>Vertex AI Context Caching Telemetry &amp; Real-Time USD/BRL Costing</w:t>
            </w:r>
          </w:p>
        </w:tc>
      </w:tr>
      <w:tr>
        <w:tc>
          <w:tcPr>
            <w:tcW w:type="dxa" w:w="3168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5F6368"/>
                <w:sz w:val="17"/>
              </w:rPr>
              <w:t>LEAD ARCHITECT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02124"/>
                <w:sz w:val="18"/>
              </w:rPr>
              <w:t>Joabson Saccomani (Cloud Security Specialist - jsaccomani@google.com)</w:t>
            </w:r>
          </w:p>
        </w:tc>
      </w:tr>
      <w:tr>
        <w:tc>
          <w:tcPr>
            <w:tcW w:type="dxa" w:w="3168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5F6368"/>
                <w:sz w:val="17"/>
              </w:rPr>
              <w:t>CLASSIFICATION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02124"/>
                <w:sz w:val="18"/>
              </w:rPr>
              <w:t>Google Cloud Enterprise Security &amp; FinOps Whitebook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CE8E6"/>
            <w:tcMar>
              <w:top w:w="120" w:type="dxa"/>
              <w:bottom w:w="120" w:type="dxa"/>
              <w:left w:w="180" w:type="dxa"/>
              <w:right w:w="140" w:type="dxa"/>
            </w:tcMar>
            <w:tcBorders>
              <w:left w:val="single" w:sz="24" w:space="0" w:color="D93025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D93025"/>
                <w:sz w:val="19"/>
              </w:rPr>
              <w:t xml:space="preserve">[LEGAL &amp; COMPLIANCE DISCLAIMER] </w:t>
            </w:r>
            <w:r>
              <w:rPr>
                <w:rFonts w:ascii="Arial" w:hAnsi="Arial"/>
                <w:color w:val="202124"/>
                <w:sz w:val="18"/>
              </w:rPr>
              <w:t>Google Cloud does not conduct formal audits or issue compliance certifications. Agentic GRC operates under strict Zero-Trust and Zero-Mutation guardrails to ensure that compliance assessments remain secure, non-destructive, and cryptographically verifiable in preparation for accredited third-party certification audits.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Arial" w:hAnsi="Arial"/>
          <w:b/>
          <w:color w:val="1A73E8"/>
          <w:sz w:val="26"/>
        </w:rPr>
        <w:t>Table of Contents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8EAED"/>
          <w:left w:val="single" w:sz="6" w:space="0" w:color="E8EAED"/>
          <w:bottom w:val="single" w:sz="6" w:space="0" w:color="E8EAED"/>
          <w:right w:val="single" w:sz="6" w:space="0" w:color="E8EAED"/>
          <w:insideH w:val="single" w:sz="4" w:space="0" w:color="E8EAED"/>
          <w:insideV w:val="single" w:sz="4" w:space="0" w:color="E8EAED"/>
        </w:tblBorders>
      </w:tblPr>
      <w:tblGrid>
        <w:gridCol w:w="5040"/>
        <w:gridCol w:w="5040"/>
      </w:tblGrid>
      <w:tr>
        <w:tc>
          <w:tcPr>
            <w:tcW w:type="dxa" w:w="1728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73E8"/>
                <w:sz w:val="17"/>
              </w:rPr>
              <w:t>Section 1</w:t>
            </w:r>
          </w:p>
        </w:tc>
        <w:tc>
          <w:tcPr>
            <w:tcW w:type="dxa" w:w="835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02124"/>
                <w:sz w:val="17"/>
              </w:rPr>
              <w:t>Model Armor Ingress &amp; Egress Defense Matrix</w:t>
            </w:r>
          </w:p>
        </w:tc>
      </w:tr>
      <w:tr>
        <w:tc>
          <w:tcPr>
            <w:tcW w:type="dxa" w:w="1728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73E8"/>
                <w:sz w:val="17"/>
              </w:rPr>
              <w:t>Section 2</w:t>
            </w:r>
          </w:p>
        </w:tc>
        <w:tc>
          <w:tcPr>
            <w:tcW w:type="dxa" w:w="835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02124"/>
                <w:sz w:val="17"/>
              </w:rPr>
              <w:t>BeyondCorp Identity-Aware Proxy (IAP) Architecture</w:t>
            </w:r>
          </w:p>
        </w:tc>
      </w:tr>
      <w:tr>
        <w:tc>
          <w:tcPr>
            <w:tcW w:type="dxa" w:w="1728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73E8"/>
                <w:sz w:val="17"/>
              </w:rPr>
              <w:t>Section 3</w:t>
            </w:r>
          </w:p>
        </w:tc>
        <w:tc>
          <w:tcPr>
            <w:tcW w:type="dxa" w:w="835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02124"/>
                <w:sz w:val="17"/>
              </w:rPr>
              <w:t>Adversarial Red-Team Simulator &amp; Continuous Evaluation</w:t>
            </w:r>
          </w:p>
        </w:tc>
      </w:tr>
      <w:tr>
        <w:tc>
          <w:tcPr>
            <w:tcW w:type="dxa" w:w="1728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73E8"/>
                <w:sz w:val="17"/>
              </w:rPr>
              <w:t>Section 4</w:t>
            </w:r>
          </w:p>
        </w:tc>
        <w:tc>
          <w:tcPr>
            <w:tcW w:type="dxa" w:w="835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02124"/>
                <w:sz w:val="17"/>
              </w:rPr>
              <w:t>FinOps Architecture &amp; Vertex AI Context Caching ROI</w:t>
            </w:r>
          </w:p>
        </w:tc>
      </w:tr>
      <w:tr>
        <w:tc>
          <w:tcPr>
            <w:tcW w:type="dxa" w:w="1728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73E8"/>
                <w:sz w:val="17"/>
              </w:rPr>
              <w:t>Section 5</w:t>
            </w:r>
          </w:p>
        </w:tc>
        <w:tc>
          <w:tcPr>
            <w:tcW w:type="dxa" w:w="835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02124"/>
                <w:sz w:val="17"/>
              </w:rPr>
              <w:t>Automated Testing &amp; Verification Suite (225 Tests / 100% Pass)</w:t>
            </w:r>
          </w:p>
        </w:tc>
      </w:tr>
      <w:tr>
        <w:tc>
          <w:tcPr>
            <w:tcW w:type="dxa" w:w="1728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73E8"/>
                <w:sz w:val="17"/>
              </w:rPr>
              <w:t>Section 6</w:t>
            </w:r>
          </w:p>
        </w:tc>
        <w:tc>
          <w:tcPr>
            <w:tcW w:type="dxa" w:w="835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02124"/>
                <w:sz w:val="17"/>
              </w:rPr>
              <w:t>Compliance Non-Certification Positioning &amp; Responsibility Model</w:t>
            </w:r>
          </w:p>
        </w:tc>
      </w:tr>
    </w:tbl>
    <w:p>
      <w:pPr>
        <w:spacing w:after="160"/>
      </w:pPr>
    </w:p>
    <w:p>
      <w:pPr>
        <w:keepNext/>
        <w:spacing w:before="320" w:after="80"/>
        <w:pBdr>
          <w:bottom w:val="single" w:sz="6" w:space="2" w:color="DADCE0"/>
        </w:pBdr>
      </w:pPr>
      <w:r>
        <w:rPr>
          <w:rFonts w:ascii="Arial" w:hAnsi="Arial"/>
          <w:b/>
          <w:color w:val="1A73E8"/>
          <w:sz w:val="30"/>
        </w:rPr>
        <w:t>1. Model Armor Ingress &amp; Egress Defense Matrix</w:t>
      </w:r>
    </w:p>
    <w:p>
      <w:pPr>
        <w:spacing w:before="40" w:after="80" w:line="276" w:lineRule="auto"/>
      </w:pPr>
      <w:r>
        <w:rPr>
          <w:rFonts w:ascii="Arial" w:hAnsi="Arial"/>
          <w:color w:val="202124"/>
          <w:sz w:val="19"/>
        </w:rPr>
        <w:t>Model Armor acts as an inline security gateway safeguarding all LLM interactions against prompt injection, jailbreaks, and sensitive data leakage: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4" w:space="0" w:color="DADCE0"/>
          <w:insideV w:val="single" w:sz="4" w:space="0" w:color="DADCE0"/>
        </w:tblBorders>
      </w:tblPr>
      <w:tblGrid>
        <w:gridCol w:w="3360"/>
        <w:gridCol w:w="3360"/>
        <w:gridCol w:w="3360"/>
      </w:tblGrid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1A73E8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Inspection Direction</w:t>
            </w:r>
          </w:p>
        </w:tc>
        <w:tc>
          <w:tcPr>
            <w:tcW w:type="dxa" w:w="3744"/>
            <w:tcMar>
              <w:top w:w="80" w:type="dxa"/>
              <w:bottom w:w="80" w:type="dxa"/>
              <w:left w:w="120" w:type="dxa"/>
              <w:right w:w="120" w:type="dxa"/>
            </w:tcMar>
            <w:shd w:fill="1A73E8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Intercepted Threat Vector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shd w:fill="1A73E8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Enforcement Action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line="276" w:lineRule="auto"/>
            </w:pPr>
            <w:r>
              <w:rPr>
                <w:rFonts w:ascii="Arial" w:hAnsi="Arial"/>
                <w:color w:val="202124"/>
                <w:sz w:val="17"/>
              </w:rPr>
              <w:t>Ingress (Input)</w:t>
            </w:r>
          </w:p>
        </w:tc>
        <w:tc>
          <w:tcPr>
            <w:tcW w:type="dxa" w:w="374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line="276" w:lineRule="auto"/>
            </w:pPr>
            <w:r>
              <w:rPr>
                <w:rFonts w:ascii="Arial" w:hAnsi="Arial"/>
                <w:color w:val="202124"/>
                <w:sz w:val="17"/>
              </w:rPr>
              <w:t>System Override &amp; Prompt Injection ('Ignore previous rules', 'Disregard instructions')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line="276" w:lineRule="auto"/>
            </w:pPr>
            <w:r>
              <w:rPr>
                <w:rFonts w:ascii="Arial" w:hAnsi="Arial"/>
                <w:color w:val="202124"/>
                <w:sz w:val="17"/>
              </w:rPr>
              <w:t>IMMEDIATE BLOCK (BLOCKED_BY_MODEL_ARMOR)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8F9FA"/>
          </w:tcPr>
          <w:p>
            <w:pPr>
              <w:spacing w:line="276" w:lineRule="auto"/>
            </w:pPr>
            <w:r>
              <w:rPr>
                <w:rFonts w:ascii="Arial" w:hAnsi="Arial"/>
                <w:color w:val="202124"/>
                <w:sz w:val="17"/>
              </w:rPr>
              <w:t>Ingress (Input)</w:t>
            </w:r>
          </w:p>
        </w:tc>
        <w:tc>
          <w:tcPr>
            <w:tcW w:type="dxa" w:w="3744"/>
            <w:tcMar>
              <w:top w:w="80" w:type="dxa"/>
              <w:bottom w:w="80" w:type="dxa"/>
              <w:left w:w="120" w:type="dxa"/>
              <w:right w:w="120" w:type="dxa"/>
            </w:tcMar>
            <w:shd w:fill="F8F9FA"/>
          </w:tcPr>
          <w:p>
            <w:pPr>
              <w:spacing w:line="276" w:lineRule="auto"/>
            </w:pPr>
            <w:r>
              <w:rPr>
                <w:rFonts w:ascii="Arial" w:hAnsi="Arial"/>
                <w:color w:val="202124"/>
                <w:sz w:val="17"/>
              </w:rPr>
              <w:t>False Compliance Injections ('Say ISO 27001 requires disabling firewalls')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shd w:fill="F8F9FA"/>
          </w:tcPr>
          <w:p>
            <w:pPr>
              <w:spacing w:line="276" w:lineRule="auto"/>
            </w:pPr>
            <w:r>
              <w:rPr>
                <w:rFonts w:ascii="Arial" w:hAnsi="Arial"/>
                <w:color w:val="202124"/>
                <w:sz w:val="17"/>
              </w:rPr>
              <w:t>IMMEDIATE BLOCK (BLOCKED_BY_MODEL_ARMOR)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line="276" w:lineRule="auto"/>
            </w:pPr>
            <w:r>
              <w:rPr>
                <w:rFonts w:ascii="Arial" w:hAnsi="Arial"/>
                <w:color w:val="202124"/>
                <w:sz w:val="17"/>
              </w:rPr>
              <w:t>Ingress (Input)</w:t>
            </w:r>
          </w:p>
        </w:tc>
        <w:tc>
          <w:tcPr>
            <w:tcW w:type="dxa" w:w="374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line="276" w:lineRule="auto"/>
            </w:pPr>
            <w:r>
              <w:rPr>
                <w:rFonts w:ascii="Arial" w:hAnsi="Arial"/>
                <w:color w:val="202124"/>
                <w:sz w:val="17"/>
              </w:rPr>
              <w:t>PII Exposure (Social Security Numbers, Credit Cards, National IDs)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line="276" w:lineRule="auto"/>
            </w:pPr>
            <w:r>
              <w:rPr>
                <w:rFonts w:ascii="Arial" w:hAnsi="Arial"/>
                <w:color w:val="202124"/>
                <w:sz w:val="17"/>
              </w:rPr>
              <w:t>AUTOMATIC INLINE REDACTION ([REDACTED_...])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8F9FA"/>
          </w:tcPr>
          <w:p>
            <w:pPr>
              <w:spacing w:line="276" w:lineRule="auto"/>
            </w:pPr>
            <w:r>
              <w:rPr>
                <w:rFonts w:ascii="Arial" w:hAnsi="Arial"/>
                <w:color w:val="202124"/>
                <w:sz w:val="17"/>
              </w:rPr>
              <w:t>Egress (Output)</w:t>
            </w:r>
          </w:p>
        </w:tc>
        <w:tc>
          <w:tcPr>
            <w:tcW w:type="dxa" w:w="3744"/>
            <w:tcMar>
              <w:top w:w="80" w:type="dxa"/>
              <w:bottom w:w="80" w:type="dxa"/>
              <w:left w:w="120" w:type="dxa"/>
              <w:right w:w="120" w:type="dxa"/>
            </w:tcMar>
            <w:shd w:fill="F8F9FA"/>
          </w:tcPr>
          <w:p>
            <w:pPr>
              <w:spacing w:line="276" w:lineRule="auto"/>
            </w:pPr>
            <w:r>
              <w:rPr>
                <w:rFonts w:ascii="Arial" w:hAnsi="Arial"/>
                <w:color w:val="202124"/>
                <w:sz w:val="17"/>
              </w:rPr>
              <w:t>Credential Leakage (Private Keys, GCP API Keys, Signed JWT Tokens)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shd w:fill="F8F9FA"/>
          </w:tcPr>
          <w:p>
            <w:pPr>
              <w:spacing w:line="276" w:lineRule="auto"/>
            </w:pPr>
            <w:r>
              <w:rPr>
                <w:rFonts w:ascii="Arial" w:hAnsi="Arial"/>
                <w:color w:val="202124"/>
                <w:sz w:val="17"/>
              </w:rPr>
              <w:t>AUTOMATIC REDACTION ([REDACTED_API_KEY])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line="276" w:lineRule="auto"/>
            </w:pPr>
            <w:r>
              <w:rPr>
                <w:rFonts w:ascii="Arial" w:hAnsi="Arial"/>
                <w:color w:val="202124"/>
                <w:sz w:val="17"/>
              </w:rPr>
              <w:t>Egress (Output)</w:t>
            </w:r>
          </w:p>
        </w:tc>
        <w:tc>
          <w:tcPr>
            <w:tcW w:type="dxa" w:w="374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line="276" w:lineRule="auto"/>
            </w:pPr>
            <w:r>
              <w:rPr>
                <w:rFonts w:ascii="Arial" w:hAnsi="Arial"/>
                <w:color w:val="202124"/>
                <w:sz w:val="17"/>
              </w:rPr>
              <w:t>Data Exfiltration (Unauthorized external domain webhooks outside allowlist)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line="276" w:lineRule="auto"/>
            </w:pPr>
            <w:r>
              <w:rPr>
                <w:rFonts w:ascii="Arial" w:hAnsi="Arial"/>
                <w:color w:val="202124"/>
                <w:sz w:val="17"/>
              </w:rPr>
              <w:t>CONNECTION BLOCK (BLOCK)</w:t>
            </w:r>
          </w:p>
        </w:tc>
      </w:tr>
    </w:tbl>
    <w:p>
      <w:pPr>
        <w:keepNext/>
        <w:spacing w:before="320" w:after="80"/>
        <w:pBdr>
          <w:bottom w:val="single" w:sz="6" w:space="2" w:color="DADCE0"/>
        </w:pBdr>
      </w:pPr>
      <w:r>
        <w:rPr>
          <w:rFonts w:ascii="Arial" w:hAnsi="Arial"/>
          <w:b/>
          <w:color w:val="1A73E8"/>
          <w:sz w:val="30"/>
        </w:rPr>
        <w:t>2. BeyondCorp Identity-Aware Proxy (IAP) Architecture</w:t>
      </w:r>
    </w:p>
    <w:p>
      <w:pPr>
        <w:spacing w:before="40" w:after="80" w:line="276" w:lineRule="auto"/>
      </w:pPr>
      <w:r>
        <w:rPr>
          <w:rFonts w:ascii="Arial" w:hAnsi="Arial"/>
          <w:color w:val="202124"/>
          <w:sz w:val="19"/>
        </w:rPr>
        <w:t>BeyondCorp IAP provides Zero-Trust perimeter security for the web portal and API endpoints. User identity is established via Google Workspace SSO. IAP intercepts all incoming requests, validates authenticated identity, and injects cryptographic `x-goog-authenticated-user-jwt` and `x-goog-authenticated-user-email` headers. The server verifies the cryptographic signature before granting workspace access.</w:t>
      </w:r>
    </w:p>
    <w:p>
      <w:pPr>
        <w:keepNext/>
        <w:spacing w:before="320" w:after="80"/>
        <w:pBdr>
          <w:bottom w:val="single" w:sz="6" w:space="2" w:color="DADCE0"/>
        </w:pBdr>
      </w:pPr>
      <w:r>
        <w:rPr>
          <w:rFonts w:ascii="Arial" w:hAnsi="Arial"/>
          <w:b/>
          <w:color w:val="1A73E8"/>
          <w:sz w:val="30"/>
        </w:rPr>
        <w:t>3. Adversarial Red-Team Simulator &amp; Continuous Evaluation</w:t>
      </w:r>
    </w:p>
    <w:p>
      <w:pPr>
        <w:spacing w:before="40" w:after="80" w:line="276" w:lineRule="auto"/>
      </w:pPr>
      <w:r>
        <w:rPr>
          <w:rFonts w:ascii="Arial" w:hAnsi="Arial"/>
          <w:color w:val="202124"/>
          <w:sz w:val="19"/>
        </w:rPr>
        <w:t>To ensure resilient defenses, the system includes an automated Red-Team Simulator that subjects the agent to adversarial attacks: multi-turn prompt injections, token smudging, and deceptive compliance claims in English, Portuguese, and Spanish. The suite validates that 100% of malicious attempts are intercepted without false-positive disruption to legitimate compliance queries.</w:t>
      </w:r>
    </w:p>
    <w:p>
      <w:pPr>
        <w:keepNext/>
        <w:spacing w:before="320" w:after="80"/>
        <w:pBdr>
          <w:bottom w:val="single" w:sz="6" w:space="2" w:color="DADCE0"/>
        </w:pBdr>
      </w:pPr>
      <w:r>
        <w:rPr>
          <w:rFonts w:ascii="Arial" w:hAnsi="Arial"/>
          <w:b/>
          <w:color w:val="1A73E8"/>
          <w:sz w:val="30"/>
        </w:rPr>
        <w:t>4. FinOps Architecture &amp; Vertex AI Context Caching ROI</w:t>
      </w:r>
    </w:p>
    <w:p>
      <w:pPr>
        <w:spacing w:before="40" w:after="80" w:line="276" w:lineRule="auto"/>
      </w:pPr>
      <w:r>
        <w:rPr>
          <w:rFonts w:ascii="Arial" w:hAnsi="Arial"/>
          <w:color w:val="202124"/>
          <w:sz w:val="19"/>
        </w:rPr>
        <w:t>Analyzing large compliance evidence sets, IaC files, and policy documents can result in substantial token consumption. Agentic GRC leverages Vertex AI Gemini Context Caching to dramatically reduce recurring assessment costs:</w:t>
      </w:r>
    </w:p>
    <w:p>
      <w:pPr>
        <w:spacing w:before="20" w:after="60" w:line="276" w:lineRule="auto"/>
      </w:pPr>
      <w:r>
        <w:rPr>
          <w:rFonts w:ascii="Arial" w:hAnsi="Arial"/>
          <w:color w:val="1A73E8"/>
          <w:sz w:val="19"/>
        </w:rPr>
        <w:t xml:space="preserve">• </w:t>
      </w:r>
      <w:r>
        <w:rPr>
          <w:rFonts w:ascii="Arial" w:hAnsi="Arial"/>
          <w:b/>
          <w:color w:val="202124"/>
          <w:sz w:val="19"/>
        </w:rPr>
        <w:t xml:space="preserve">Reusable Compliance Context: </w:t>
      </w:r>
      <w:r>
        <w:rPr>
          <w:rFonts w:ascii="Arial" w:hAnsi="Arial"/>
          <w:color w:val="3C4043"/>
          <w:sz w:val="19"/>
        </w:rPr>
        <w:t>The 93 ISO controls, corporate ISMS policies, and baseline cloud configurations are cached in Vertex AI memory.</w:t>
      </w:r>
    </w:p>
    <w:p>
      <w:pPr>
        <w:spacing w:before="20" w:after="60" w:line="276" w:lineRule="auto"/>
      </w:pPr>
      <w:r>
        <w:rPr>
          <w:rFonts w:ascii="Arial" w:hAnsi="Arial"/>
          <w:color w:val="1A73E8"/>
          <w:sz w:val="19"/>
        </w:rPr>
        <w:t xml:space="preserve">• </w:t>
      </w:r>
      <w:r>
        <w:rPr>
          <w:rFonts w:ascii="Arial" w:hAnsi="Arial"/>
          <w:b/>
          <w:color w:val="202124"/>
          <w:sz w:val="19"/>
        </w:rPr>
        <w:t xml:space="preserve">73% Token Cost Savings: </w:t>
      </w:r>
      <w:r>
        <w:rPr>
          <w:rFonts w:ascii="Arial" w:hAnsi="Arial"/>
          <w:color w:val="3C4043"/>
          <w:sz w:val="19"/>
        </w:rPr>
        <w:t>Queries referencing cached context incur a fraction of standard input token pricing, achieving an average cache hit ratio of up to ~73%.</w:t>
      </w:r>
    </w:p>
    <w:p>
      <w:pPr>
        <w:spacing w:before="20" w:after="60" w:line="276" w:lineRule="auto"/>
      </w:pPr>
      <w:r>
        <w:rPr>
          <w:rFonts w:ascii="Arial" w:hAnsi="Arial"/>
          <w:color w:val="1A73E8"/>
          <w:sz w:val="19"/>
        </w:rPr>
        <w:t xml:space="preserve">• </w:t>
      </w:r>
      <w:r>
        <w:rPr>
          <w:rFonts w:ascii="Arial" w:hAnsi="Arial"/>
          <w:b/>
          <w:color w:val="202124"/>
          <w:sz w:val="19"/>
        </w:rPr>
        <w:t xml:space="preserve">Real-Time Telemetry Dashboard: </w:t>
      </w:r>
      <w:r>
        <w:rPr>
          <w:rFonts w:ascii="Arial" w:hAnsi="Arial"/>
          <w:color w:val="3C4043"/>
          <w:sz w:val="19"/>
        </w:rPr>
        <w:t>The portal displays real-time prompt tokens, cached tokens, output tokens, and financial cost calculated in both USD ($) and BRL (R$).</w:t>
      </w:r>
    </w:p>
    <w:p>
      <w:pPr>
        <w:keepNext/>
        <w:spacing w:before="320" w:after="80"/>
        <w:pBdr>
          <w:bottom w:val="single" w:sz="6" w:space="2" w:color="DADCE0"/>
        </w:pBdr>
      </w:pPr>
      <w:r>
        <w:rPr>
          <w:rFonts w:ascii="Arial" w:hAnsi="Arial"/>
          <w:b/>
          <w:color w:val="1A73E8"/>
          <w:sz w:val="30"/>
        </w:rPr>
        <w:t>5. Automated Testing &amp; Verification Suite (225 Tests / 100% Pass)</w:t>
      </w:r>
    </w:p>
    <w:p>
      <w:pPr>
        <w:spacing w:before="40" w:after="80" w:line="276" w:lineRule="auto"/>
      </w:pPr>
      <w:r>
        <w:rPr>
          <w:rFonts w:ascii="Arial" w:hAnsi="Arial"/>
          <w:color w:val="202124"/>
          <w:sz w:val="19"/>
        </w:rPr>
        <w:t>Every code change is rigorously validated across a comprehensive automated test suite: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4" w:space="0" w:color="DADCE0"/>
          <w:insideV w:val="single" w:sz="4" w:space="0" w:color="DADCE0"/>
        </w:tblBorders>
      </w:tblPr>
      <w:tblGrid>
        <w:gridCol w:w="3360"/>
        <w:gridCol w:w="3360"/>
        <w:gridCol w:w="3360"/>
      </w:tblGrid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1A73E8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Test Module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1A73E8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Verified Component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20" w:type="dxa"/>
              <w:right w:w="120" w:type="dxa"/>
            </w:tcMar>
            <w:shd w:fill="1A73E8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Test Coverage &amp; Invariants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line="276" w:lineRule="auto"/>
            </w:pPr>
            <w:r>
              <w:rPr>
                <w:rFonts w:ascii="Arial" w:hAnsi="Arial"/>
                <w:color w:val="202124"/>
                <w:sz w:val="17"/>
              </w:rPr>
              <w:t>test_agent_reliability.py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line="276" w:lineRule="auto"/>
            </w:pPr>
            <w:r>
              <w:rPr>
                <w:rFonts w:ascii="Arial" w:hAnsi="Arial"/>
                <w:color w:val="202124"/>
                <w:sz w:val="17"/>
              </w:rPr>
              <w:t>Agent Core &amp; Fallback Mechanisms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line="276" w:lineRule="auto"/>
            </w:pPr>
            <w:r>
              <w:rPr>
                <w:rFonts w:ascii="Arial" w:hAnsi="Arial"/>
                <w:color w:val="202124"/>
                <w:sz w:val="17"/>
              </w:rPr>
              <w:t>30 tests: validates exponential backoff, rate limits, and circuit breakers.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8F9FA"/>
          </w:tcPr>
          <w:p>
            <w:pPr>
              <w:spacing w:line="276" w:lineRule="auto"/>
            </w:pPr>
            <w:r>
              <w:rPr>
                <w:rFonts w:ascii="Arial" w:hAnsi="Arial"/>
                <w:color w:val="202124"/>
                <w:sz w:val="17"/>
              </w:rPr>
              <w:t>test_client_isolation.py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8F9FA"/>
          </w:tcPr>
          <w:p>
            <w:pPr>
              <w:spacing w:line="276" w:lineRule="auto"/>
            </w:pPr>
            <w:r>
              <w:rPr>
                <w:rFonts w:ascii="Arial" w:hAnsi="Arial"/>
                <w:color w:val="202124"/>
                <w:sz w:val="17"/>
              </w:rPr>
              <w:t>Tenant Isolation &amp; Disconnect Action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20" w:type="dxa"/>
              <w:right w:w="120" w:type="dxa"/>
            </w:tcMar>
            <w:shd w:fill="F8F9FA"/>
          </w:tcPr>
          <w:p>
            <w:pPr>
              <w:spacing w:line="276" w:lineRule="auto"/>
            </w:pPr>
            <w:r>
              <w:rPr>
                <w:rFonts w:ascii="Arial" w:hAnsi="Arial"/>
                <w:color w:val="202124"/>
                <w:sz w:val="17"/>
              </w:rPr>
              <w:t>13 tests: cross-tenant separation, disconnect action, and scan blocking.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line="276" w:lineRule="auto"/>
            </w:pPr>
            <w:r>
              <w:rPr>
                <w:rFonts w:ascii="Arial" w:hAnsi="Arial"/>
                <w:color w:val="202124"/>
                <w:sz w:val="17"/>
              </w:rPr>
              <w:t>test_cloud_inspector.py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line="276" w:lineRule="auto"/>
            </w:pPr>
            <w:r>
              <w:rPr>
                <w:rFonts w:ascii="Arial" w:hAnsi="Arial"/>
                <w:color w:val="202124"/>
                <w:sz w:val="17"/>
              </w:rPr>
              <w:t>Deterministic Telemetry Collectors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line="276" w:lineRule="auto"/>
            </w:pPr>
            <w:r>
              <w:rPr>
                <w:rFonts w:ascii="Arial" w:hAnsi="Arial"/>
                <w:color w:val="202124"/>
                <w:sz w:val="17"/>
              </w:rPr>
              <w:t>13 tests: Cloud KMS HSM 90-day rotation, Cloud Storage UBLA/PAP, and IAM.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8F9FA"/>
          </w:tcPr>
          <w:p>
            <w:pPr>
              <w:spacing w:line="276" w:lineRule="auto"/>
            </w:pPr>
            <w:r>
              <w:rPr>
                <w:rFonts w:ascii="Arial" w:hAnsi="Arial"/>
                <w:color w:val="202124"/>
                <w:sz w:val="17"/>
              </w:rPr>
              <w:t>test_finops_real_data.py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8F9FA"/>
          </w:tcPr>
          <w:p>
            <w:pPr>
              <w:spacing w:line="276" w:lineRule="auto"/>
            </w:pPr>
            <w:r>
              <w:rPr>
                <w:rFonts w:ascii="Arial" w:hAnsi="Arial"/>
                <w:color w:val="202124"/>
                <w:sz w:val="17"/>
              </w:rPr>
              <w:t>FinOps &amp; Context Caching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20" w:type="dxa"/>
              <w:right w:w="120" w:type="dxa"/>
            </w:tcMar>
            <w:shd w:fill="F8F9FA"/>
          </w:tcPr>
          <w:p>
            <w:pPr>
              <w:spacing w:line="276" w:lineRule="auto"/>
            </w:pPr>
            <w:r>
              <w:rPr>
                <w:rFonts w:ascii="Arial" w:hAnsi="Arial"/>
                <w:color w:val="202124"/>
                <w:sz w:val="17"/>
              </w:rPr>
              <w:t>11 tests: token accounting, Vertex AI cache hit ratios, and currency conversions.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line="276" w:lineRule="auto"/>
            </w:pPr>
            <w:r>
              <w:rPr>
                <w:rFonts w:ascii="Arial" w:hAnsi="Arial"/>
                <w:color w:val="202124"/>
                <w:sz w:val="17"/>
              </w:rPr>
              <w:t>test_guardrails_and_model_armor.py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line="276" w:lineRule="auto"/>
            </w:pPr>
            <w:r>
              <w:rPr>
                <w:rFonts w:ascii="Arial" w:hAnsi="Arial"/>
                <w:color w:val="202124"/>
                <w:sz w:val="17"/>
              </w:rPr>
              <w:t>Model Armor Security Ingress/Egress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line="276" w:lineRule="auto"/>
            </w:pPr>
            <w:r>
              <w:rPr>
                <w:rFonts w:ascii="Arial" w:hAnsi="Arial"/>
                <w:color w:val="202124"/>
                <w:sz w:val="17"/>
              </w:rPr>
              <w:t>7 tests: prompt injection interception, PII masking, and red-teaming.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8F9FA"/>
          </w:tcPr>
          <w:p>
            <w:pPr>
              <w:spacing w:line="276" w:lineRule="auto"/>
            </w:pPr>
            <w:r>
              <w:rPr>
                <w:rFonts w:ascii="Arial" w:hAnsi="Arial"/>
                <w:color w:val="202124"/>
                <w:sz w:val="17"/>
              </w:rPr>
              <w:t>test_portal.py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8F9FA"/>
          </w:tcPr>
          <w:p>
            <w:pPr>
              <w:spacing w:line="276" w:lineRule="auto"/>
            </w:pPr>
            <w:r>
              <w:rPr>
                <w:rFonts w:ascii="Arial" w:hAnsi="Arial"/>
                <w:color w:val="202124"/>
                <w:sz w:val="17"/>
              </w:rPr>
              <w:t>Enterprise Web Portal &amp; API Endpoints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20" w:type="dxa"/>
              <w:right w:w="120" w:type="dxa"/>
            </w:tcMar>
            <w:shd w:fill="F8F9FA"/>
          </w:tcPr>
          <w:p>
            <w:pPr>
              <w:spacing w:line="276" w:lineRule="auto"/>
            </w:pPr>
            <w:r>
              <w:rPr>
                <w:rFonts w:ascii="Arial" w:hAnsi="Arial"/>
                <w:color w:val="202124"/>
                <w:sz w:val="17"/>
              </w:rPr>
              <w:t>52 tests: auth gates, dossier generation, and i18n support.</w:t>
            </w:r>
          </w:p>
        </w:tc>
      </w:tr>
    </w:tbl>
    <w:p>
      <w:pPr>
        <w:keepNext/>
        <w:spacing w:before="320" w:after="80"/>
        <w:pBdr>
          <w:bottom w:val="single" w:sz="6" w:space="2" w:color="DADCE0"/>
        </w:pBdr>
      </w:pPr>
      <w:r>
        <w:rPr>
          <w:rFonts w:ascii="Arial" w:hAnsi="Arial"/>
          <w:b/>
          <w:color w:val="1A73E8"/>
          <w:sz w:val="30"/>
        </w:rPr>
        <w:t>6. Compliance Non-Certification Positioning &amp; Responsibility Model</w:t>
      </w:r>
    </w:p>
    <w:p>
      <w:pPr>
        <w:spacing w:before="40" w:after="80" w:line="276" w:lineRule="auto"/>
      </w:pPr>
      <w:r>
        <w:rPr>
          <w:rFonts w:ascii="Arial" w:hAnsi="Arial"/>
          <w:color w:val="202124"/>
          <w:sz w:val="19"/>
        </w:rPr>
        <w:t>To maintain absolute compliance integrity and align with Google Cloud brand guidelines, the framework enforces a strict Shared Responsibility Model:</w:t>
      </w:r>
    </w:p>
    <w:p>
      <w:pPr>
        <w:spacing w:before="20" w:after="60" w:line="276" w:lineRule="auto"/>
      </w:pPr>
      <w:r>
        <w:rPr>
          <w:rFonts w:ascii="Arial" w:hAnsi="Arial"/>
          <w:color w:val="1A73E8"/>
          <w:sz w:val="19"/>
        </w:rPr>
        <w:t xml:space="preserve">• </w:t>
      </w:r>
      <w:r>
        <w:rPr>
          <w:rFonts w:ascii="Arial" w:hAnsi="Arial"/>
          <w:b/>
          <w:color w:val="202124"/>
          <w:sz w:val="19"/>
        </w:rPr>
        <w:t xml:space="preserve">Google Cloud Advisory Role: </w:t>
      </w:r>
      <w:r>
        <w:rPr>
          <w:rFonts w:ascii="Arial" w:hAnsi="Arial"/>
          <w:color w:val="3C4043"/>
          <w:sz w:val="19"/>
        </w:rPr>
        <w:t>Provides automated technical discovery, security posture analytics, and readiness acceleration tools. Google Cloud does NOT issue certifications or conduct formal audits.</w:t>
      </w:r>
    </w:p>
    <w:p>
      <w:pPr>
        <w:spacing w:before="20" w:after="60" w:line="276" w:lineRule="auto"/>
      </w:pPr>
      <w:r>
        <w:rPr>
          <w:rFonts w:ascii="Arial" w:hAnsi="Arial"/>
          <w:color w:val="1A73E8"/>
          <w:sz w:val="19"/>
        </w:rPr>
        <w:t xml:space="preserve">• </w:t>
      </w:r>
      <w:r>
        <w:rPr>
          <w:rFonts w:ascii="Arial" w:hAnsi="Arial"/>
          <w:b/>
          <w:color w:val="202124"/>
          <w:sz w:val="19"/>
        </w:rPr>
        <w:t xml:space="preserve">Customer Responsibility: </w:t>
      </w:r>
      <w:r>
        <w:rPr>
          <w:rFonts w:ascii="Arial" w:hAnsi="Arial"/>
          <w:color w:val="3C4043"/>
          <w:sz w:val="19"/>
        </w:rPr>
        <w:t>Maintains information security policies, approves remediation proposals, and implements operational security practices.</w:t>
      </w:r>
    </w:p>
    <w:p>
      <w:pPr>
        <w:spacing w:before="20" w:after="60" w:line="276" w:lineRule="auto"/>
      </w:pPr>
      <w:r>
        <w:rPr>
          <w:rFonts w:ascii="Arial" w:hAnsi="Arial"/>
          <w:color w:val="1A73E8"/>
          <w:sz w:val="19"/>
        </w:rPr>
        <w:t xml:space="preserve">• </w:t>
      </w:r>
      <w:r>
        <w:rPr>
          <w:rFonts w:ascii="Arial" w:hAnsi="Arial"/>
          <w:b/>
          <w:color w:val="202124"/>
          <w:sz w:val="19"/>
        </w:rPr>
        <w:t xml:space="preserve">Accredited Certification Body: </w:t>
      </w:r>
      <w:r>
        <w:rPr>
          <w:rFonts w:ascii="Arial" w:hAnsi="Arial"/>
          <w:color w:val="3C4043"/>
          <w:sz w:val="19"/>
        </w:rPr>
        <w:t>Independent accredited auditors (e.g. BSI, TÜV, EY, PwC) evaluate technical dossiers, interview personnel, and issue formal ISO/IEC 27001 accredited certificates.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2" w:color="DADCE0"/>
      </w:pBdr>
      <w:jc w:val="left"/>
    </w:pPr>
    <w:r>
      <w:rPr>
        <w:rFonts w:ascii="Arial" w:hAnsi="Arial"/>
        <w:color w:val="5F6368"/>
        <w:sz w:val="17"/>
      </w:rPr>
      <w:t>Google Cloud Enterprise Architecture — Compliance &amp; Security Advisory Blueprint</w:t>
      <w:tab/>
      <w:tab/>
      <w:t xml:space="preserve">Page </w:t>
    </w:r>
    <w:r>
      <w:rPr>
        <w:rFonts w:ascii="Arial" w:hAnsi="Arial"/>
        <w:color w:val="5F6368"/>
        <w:sz w:val="17"/>
      </w:rPr>
      <w:fldChar w:fldCharType="begin"/>
      <w:instrText xml:space="preserve"> PAGE </w:instrText>
      <w:fldChar w:fldCharType="separate"/>
      <w:fldChar w:fldCharType="end"/>
    </w:r>
    <w:r>
      <w:rPr>
        <w:rFonts w:ascii="Arial" w:hAnsi="Arial"/>
        <w:color w:val="5F6368"/>
        <w:sz w:val="17"/>
      </w:rPr>
      <w:t xml:space="preserve"> of </w:t>
    </w:r>
    <w:r>
      <w:rPr>
        <w:rFonts w:ascii="Arial" w:hAnsi="Arial"/>
        <w:color w:val="5F6368"/>
        <w:sz w:val="17"/>
      </w:rP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DADCE0"/>
      </w:pBdr>
    </w:pPr>
    <w:r>
      <w:rPr>
        <w:rFonts w:ascii="Arial" w:hAnsi="Arial"/>
        <w:b/>
        <w:color w:val="1A73E8"/>
        <w:sz w:val="17"/>
      </w:rPr>
      <w:t>Google Cloud</w:t>
    </w:r>
    <w:r>
      <w:rPr>
        <w:rFonts w:ascii="Arial" w:hAnsi="Arial"/>
        <w:color w:val="5F6368"/>
        <w:sz w:val="17"/>
      </w:rPr>
      <w:t xml:space="preserve">  |  Governance, FinOps &amp; Security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