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48"/>
      </w:pPr>
      <w:r>
        <w:rPr>
          <w:rFonts w:ascii="Arial" w:hAnsi="Arial" w:cs="Arial"/>
          <w:sz w:val="52"/>
          <w:sz-cs w:val="52"/>
          <w:b/>
          <w:spacing w:val="0"/>
          <w:color w:val="175AE2"/>
        </w:rPr>
        <w:t xml:space="preserve">🛡️ ASPR Enterprise Threat Model &amp; Risk Assessment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E3133"/>
        </w:rPr>
        <w:t xml:space="preserve">*STRIDE &amp; OWASP API Top 10 (2023) Framework for Apigee X &amp; WAAP*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8191B"/>
        </w:rPr>
        <w:t xml:space="preserve">📌 1. Asset &amp; Target Information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91B"/>
        </w:rPr>
        <w:t xml:space="preserve">Parameter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91B"/>
        </w:rPr>
        <w:t xml:space="preserve">Specification / Value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**API Name / Target Proxy**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`{API_NAME}` (e.g. `PaymentGatewayProxy`)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**Base Endpoint URL**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`{BASE_URL}` (e.g. `https://api.boticario.com.br/v1/payments`)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**Data Classification**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`{DATA_CLASSIFICATION}` (e.g. `CONFIDENTIAL / PII / PCI-DSS`)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**GCP Project &amp; Environments**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`{PROJECT_ID}` / Environments: `staging`, `prod`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**Security Architect Agent**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ASPR Autonomous AI Super Agent (Gemini Engine)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**Assessment Timestamp**</w:t>
      </w:r>
    </w:p>
    <w:p>
      <w:pPr/>
      <w:r>
        <w:rPr>
          <w:rFonts w:ascii="Arial" w:hAnsi="Arial" w:cs="Arial"/>
          <w:sz w:val="26"/>
          <w:sz-cs w:val="26"/>
          <w:spacing w:val="0"/>
          <w:color w:val="18191B"/>
        </w:rPr>
        <w:t xml:space="preserve">`{DATE_ISO}`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18191B"/>
        </w:rPr>
        <w:t xml:space="preserve">📐 2. Data Flow Diagram (DFD) &amp; Trust Boundaries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flowchart TD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subgraph UntrustedZone [🌐 Untrusted External Zone]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CLIENT[Web App / Mobile Client / Third-Party Partner]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end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subgraph TrustBoundary1 [🚧 Trust Boundary 1: WAAP Edge Layer]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CA[Google Cloud Armor WAF]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BOT[reCAPTCHA Enterprise]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end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subgraph TrustBoundary2 [🔒 Trust Boundary 2: Private VPC &amp; Apigee Runtime]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PSC[Private Service Connect NEG]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APIGEE[Apigee X API Gateway Runtime]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MA[Google Cloud Model Armor]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DLP[Cloud DLP Inspection Engine]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end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subgraph TrustBoundary3 [🏢 Trust Boundary 3: Backend Microservices]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    BACKEND[Target Backend Service / GCP Cloud Run / GKE]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end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CLIENT --&gt;|HTTPS / Public Internet| CA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CA -.-&gt;|Token Risk Verification| BOT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CA --&gt;|L7 Routed Traffic| PSC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PSC --&gt;|Private Egress| APIGEE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APIGEE --&gt;|Prompt &amp; Payload Sanitization| MA &amp; DLP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    APIGEE --&gt;|Bidirectional Southbound mTLS| BACKEND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>🎯 3. STRIDE Threat Matrix &amp; ASPR Mitigation Controls</w:t>
      </w: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STRIDE Category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API Threat Description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Risk Level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ASPR Mitigation &amp; Hardening Control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Remediation Playbook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**S** - *Spoofing*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Identity theft, forged JWT bearer tokens, or token replay attacks.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**CRITICAL**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Enforce OAuth 2.1 + PKCE, strict cryptographic signature verification, and claims check.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`07_deploy_hardened_api_proxy.sh`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**T** - *Tampering*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Malicious JSON payload alterations or SQL/Command injection in transit.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**HIGH**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Cloud Armor ModSecurity CRS 3.3 inspection rules + `JSONThreatProtection` limits.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`sec_01_cloud_armor_crs_tuning.sh`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**R** - *Repudiation*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Denial of executed transactions due to lack of tamper-proof audit trails.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**MEDIUM**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Pre-obfuscation structured `MessageLogging` ingested into Google SecOps / Chronicle SIEM.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`09_audit_api_security_health.sh`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**I** - *Information Disclosure*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Unintended PII / PCI leakage or raw backend 500 stack trace exposure.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**CRITICAL**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Real-time Cloud DLP de-identification + global `FaultRules` with `AssignMessage` error masking.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`08_configure_ai_security_model_armor.sh`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**D** - *Denial of Service (DoS)*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Volumetric burst floods, resource exhaustion, or layer 7 application floods.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**HIGH**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Cloud Armor L7 Adaptive Protection + Rate-Based Ban (100 req/60s) + `SpikeArrest` (30ps).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`sec_03_rate_limiting_and_ban_policies.sh`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**E** - *Elevation of Privilege*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BOLA / BFLA manipulation to access cross-tenant data or administrative routes.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**CRITICAL**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Contextual resource ownership verification and fine-grained OAuth scope RBAC.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`sec_06_inject_security_actions.sh`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>🤖 4. Generative AI &amp; LLM Threat Vectors (OWASP GenAI Top 10)</w:t>
      </w: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OWASP LLM Code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Identified Threat Vector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Risk Level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>Applied ASPR Protective Control</w:t>
      </w:r>
      <w:r>
        <w:rPr>
          <w:rFonts w:ascii="Courier New" w:hAnsi="Courier New" w:cs="Courier New"/>
          <w:sz w:val="26"/>
          <w:sz-cs w:val="26"/>
          <w:b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**LLM01**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Prompt Injection &amp; System Prompt Exfiltration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**HIGH**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Ingress/Egress prompt sanitization via Google Cloud Model Armor.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**LLM06**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Excessive Agency &amp; Sensitive Data Over-Exposure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**HIGH**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Real-time PII/PCI masking and token de-identification via Cloud DLP.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**LLM10**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Unbounded Consumption (Semantic DoS)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**MEDIUM**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>Strict payload size constraints and semantic cache lookup policies in Apigee.</w:t>
      </w:r>
      <w:r>
        <w:rPr>
          <w:rFonts w:ascii="Courier New" w:hAnsi="Courier New" w:cs="Courier New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>📊 5. Residual Risk Score &amp; ASPR Action Plan</w:t>
      </w:r>
      <w:r>
        <w:rPr>
          <w:rFonts w:ascii="Courier New" w:hAnsi="Courier New" w:cs="Courier New"/>
          <w:sz w:val="40"/>
          <w:sz-cs w:val="40"/>
          <w:b/>
          <w:spacing w:val="0"/>
          <w:color w:val="18191B"/>
        </w:rPr>
        <w:t xml:space="preserve"/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Residual Risk Score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: {RISK_SCORE} / 100 (Status: {RISK_STATUS})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4"/>
          <w:sz-cs w:val="24"/>
          <w:b/>
          <w:spacing w:val="0"/>
          <w:color w:val="18191B"/>
        </w:rPr>
        <w:t xml:space="preserve">Scheduled Re-Evaluation Date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: {NEXT_REVIEW_DATE}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spacing w:after="320"/>
      </w:pP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>Priority Action Plan:</w:t>
      </w:r>
      <w:r>
        <w:rPr>
          <w:rFonts w:ascii="Courier New" w:hAnsi="Courier New" w:cs="Courier New"/>
          <w:sz w:val="32"/>
          <w:sz-cs w:val="32"/>
          <w:b/>
          <w:spacing w:val="0"/>
          <w:color w:val="2E3133"/>
        </w:rPr>
        <w:t xml:space="preserve"/>
      </w:r>
    </w:p>
    <w:p>
      <w:pPr>
        <w:spacing w:after="240"/>
      </w:pP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1. [ ] Enforce SpikeArrest and Quota policies on proxy {API_NAME}.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2. [ ] Verify that injected Security Actions remain in FLAG/PREVIEW mode for the mandatory 72-hour baseline.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>3. [ ] Run the On-Demand Red Team Fuzzing Simulator (sec_13_api_red_team_simulator.py) to generate the official Defense Efficacy Certificate.</w:t>
      </w:r>
      <w:r>
        <w:rPr>
          <w:rFonts w:ascii="Courier New" w:hAnsi="Courier New" w:cs="Courier New"/>
          <w:sz w:val="24"/>
          <w:sz-cs w:val="24"/>
          <w:spacing w:val="0"/>
          <w:color w:val="18191B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