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Arial" w:hAnsi="Arial" w:cs="Arial"/>
          <w:sz w:val="52"/>
          <w:sz-cs w:val="52"/>
          <w:b/>
          <w:spacing w:val="0"/>
          <w:color w:val="175AE2"/>
        </w:rPr>
        <w:t xml:space="preserve">🛡️ Apigee API Gateway Security &amp; OWASP API Security Top 10 (2026 Guide)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91B"/>
        </w:rPr>
        <w:t xml:space="preserve">This document establishes the defense-in-depth architecture and technical controls for securing APIs on </w:t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Google Cloud Apigee X / Hybrid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, systematically mitigating vulnerabilities categorized under the </w:t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OWASP API Security Top 10 (2023)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8191B"/>
        </w:rPr>
        <w:t xml:space="preserve">1. Perimeter Hardening (Google Cloud Armor WAF + Adaptive Protection)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Northbound / Southbound Edge Cloud Armor Integration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Implement Google Cloud Armor fronting Apigee (via External HTTP(S) Load Balancer + PSC NEG) configured with: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OWASP ModSecurity Core Rule Set (CRS 3.3+)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 Comprehensive protection against SQLi, XSS, RCE, and LFI.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Adaptive Protection (ML L7 DDoS)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 Automated anomaly detection and volumetric layer 7 flood mitigation.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Rate Limiting &amp; Bot Management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 Client IP throttling, rate-based bans, and reCAPTCHA Enterprise credential stuffing defense.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8191B"/>
        </w:rPr>
        <w:t xml:space="preserve">2. OWASP API Security Top 10 Mitigation Controls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91B"/>
        </w:rPr>
        <w:t xml:space="preserve">OWASP API Top 10 Category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91B"/>
        </w:rPr>
        <w:t xml:space="preserve">Recommended Apigee Policy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91B"/>
        </w:rPr>
        <w:t xml:space="preserve">Technical Controls &amp; Implementation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**API1: Broken Object Level Authorization (BOLA)**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`OAuthV2` / `VerifyJWT` + Context Extraction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Verify at the Gateway that the resource identifier in the URI strictly matches the authenticated subject (`sub` in JWT).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**API2: Broken Authentication**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`OAuthV2` / `VerifyAPIKey` + Southbound mTLS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Require OAuth 2.0 (Authorization Code / Client Credentials with PKCE), frequent token rotation, and prohibit keys in query strings.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**API3: Broken Object Property Level Auth (BOPLA)**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`JSONThreatProtection` + `OASValidation`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Enforce strict OpenAPI 3.0/3.1 contract validation, stripping unapproved request/response fields and limiting payload depth.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**API4: Unrestricted Resource Consumption**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`SpikeArrest` + `Quota` + `MessageSizeQuota`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Configure `SpikeArrest` (e.g. 30ps) for burst protection, `Quota` per developer app, and Cloud Armor rate-based IP ban.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**API5: Broken Function Level Authorization (BFLA)**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`AccessControl` + RBAC Claims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Validate authorization claims (scopes/roles) in JWT before routing administrative HTTP verbs (`DELETE`, `PUT`, `/admin/*`).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**API8: Security Misconfiguration**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`AssignMessage` (Security Headers &amp; FaultRules)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Inject standard HTTP security headers (`HSTS`, `X-Content-Type-Options`, `X-Frame-Options`, `CSP`) and sanitize error envelopes.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8191B"/>
        </w:rPr>
        <w:t xml:space="preserve">3. Southbound Security &amp; Zero Trust Architecture (mTLS &amp; Private DNS)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Southbound Mutual TLS (mTLS) to Target Microservices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All communication between Apigee and target backends (GKE, Cloud Run, Compute Engine) must enforce </w:t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bidirectional mTLS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 with certificates managed in Google Certificate Authority Service (CAS).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VPC Service Controls &amp; Private Service Connect (PSC)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Isolate backend traffic through private endpoints via PSC without traversing the public internet.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8191B"/>
        </w:rPr>
        <w:t xml:space="preserve">4. Advanced Threat Detection &amp; SecOps Integration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Apigee Advanced API Security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Activate </w:t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Abuse Detection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 to uncover anomalous traffic patterns and credential stuffing using Google machine learning models.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SecOps SIEM &amp; Chronicle Export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Stream structured API access logs and security alerts via 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MessageLogging</w:t>
      </w:r>
      <w:r>
        <w:rPr>
          <w:rFonts w:ascii="Arial" w:hAnsi="Arial" w:cs="Arial"/>
          <w:sz w:val="24"/>
          <w:sz-cs w:val="24"/>
          <w:spacing w:val="0"/>
          <w:color w:val="18191B"/>
        </w:rPr>
        <w:t xml:space="preserve"> or Pub/Sub into Google SecOps (Chronicle SIEM).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