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Helvetica Neue" w:hAnsi="Helvetica Neue" w:cs="Helvetica Neue"/>
          <w:sz w:val="64"/>
          <w:sz-cs w:val="64"/>
          <w:b/>
          <w:spacing w:val="0"/>
          <w:color w:val="175AE2"/>
        </w:rPr>
        <w:t xml:space="preserve">ASPR: Technical Design Document (TDD)</w:t>
      </w:r>
    </w:p>
    <w:p>
      <w:pPr>
        <w:jc w:val="center"/>
        <w:spacing w:after="400"/>
      </w:pPr>
      <w:r>
        <w:rPr>
          <w:rFonts w:ascii="Helvetica Neue" w:hAnsi="Helvetica Neue" w:cs="Helvetica Neue"/>
          <w:sz w:val="34"/>
          <w:sz-cs w:val="34"/>
          <w:spacing w:val="0"/>
          <w:color w:val="2E3133"/>
        </w:rPr>
        <w:t xml:space="preserve">Autonomous API Security Posture &amp; Remediation Engine on Google Cloud</w:t>
      </w:r>
    </w:p>
    <w:p>
      <w:pPr/>
      <w:r>
        <w:rPr>
          <w:rFonts w:ascii="Helvetica Neue" w:hAnsi="Helvetica Neue" w:cs="Helvetica Neue"/>
          <w:sz w:val="24"/>
          <w:sz-cs w:val="24"/>
          <w:b/>
          <w:spacing w:val="0"/>
          <w:color w:val="18191B"/>
        </w:rPr>
        <w:t xml:space="preserve">Document Version</w:t>
      </w:r>
    </w:p>
    <w:p>
      <w:pPr/>
      <w:r>
        <w:rPr>
          <w:rFonts w:ascii="Helvetica Neue" w:hAnsi="Helvetica Neue" w:cs="Helvetica Neue"/>
          <w:sz w:val="24"/>
          <w:sz-cs w:val="24"/>
          <w:spacing w:val="0"/>
          <w:color w:val="141414"/>
        </w:rPr>
        <w:t xml:space="preserve">1.0 (Production Release / Enterprise Architecture)</w:t>
      </w:r>
    </w:p>
    <w:p>
      <w:pPr/>
      <w:r>
        <w:rPr>
          <w:rFonts w:ascii="Helvetica Neue" w:hAnsi="Helvetica Neue" w:cs="Helvetica Neue"/>
          <w:sz w:val="24"/>
          <w:sz-cs w:val="24"/>
          <w:b/>
          <w:spacing w:val="0"/>
          <w:color w:val="18191B"/>
        </w:rPr>
        <w:t xml:space="preserve">Document Status</w:t>
      </w:r>
    </w:p>
    <w:p>
      <w:pPr/>
      <w:r>
        <w:rPr>
          <w:rFonts w:ascii="Helvetica Neue" w:hAnsi="Helvetica Neue" w:cs="Helvetica Neue"/>
          <w:sz w:val="24"/>
          <w:sz-cs w:val="24"/>
          <w:b/>
          <w:spacing w:val="0"/>
          <w:color w:val="141414"/>
        </w:rPr>
        <w:t xml:space="preserve">APPROVED / PRODUCTION-READY</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8191B"/>
        </w:rPr>
        <w:t xml:space="preserve">Author / Lead Architect</w:t>
      </w:r>
    </w:p>
    <w:p>
      <w:pPr/>
      <w:r>
        <w:rPr>
          <w:rFonts w:ascii="Helvetica Neue" w:hAnsi="Helvetica Neue" w:cs="Helvetica Neue"/>
          <w:sz w:val="24"/>
          <w:sz-cs w:val="24"/>
          <w:spacing w:val="0"/>
          <w:color w:val="141414"/>
        </w:rPr>
        <w:t xml:space="preserve">Joabson Saccomani (Cloud Security Specialist)</w:t>
      </w:r>
    </w:p>
    <w:p>
      <w:pPr/>
      <w:r>
        <w:rPr>
          <w:rFonts w:ascii="Helvetica Neue" w:hAnsi="Helvetica Neue" w:cs="Helvetica Neue"/>
          <w:sz w:val="24"/>
          <w:sz-cs w:val="24"/>
          <w:b/>
          <w:spacing w:val="0"/>
          <w:color w:val="18191B"/>
        </w:rPr>
        <w:t xml:space="preserve">Reviewing Body</w:t>
      </w:r>
    </w:p>
    <w:p>
      <w:pPr/>
      <w:r>
        <w:rPr>
          <w:rFonts w:ascii="Helvetica Neue" w:hAnsi="Helvetica Neue" w:cs="Helvetica Neue"/>
          <w:sz w:val="24"/>
          <w:sz-cs w:val="24"/>
          <w:spacing w:val="0"/>
          <w:color w:val="141414"/>
        </w:rPr>
        <w:t xml:space="preserve">Google Cloud Security Architecture Council</w:t>
      </w:r>
    </w:p>
    <w:p>
      <w:pPr/>
      <w:r>
        <w:rPr>
          <w:rFonts w:ascii="Helvetica Neue" w:hAnsi="Helvetica Neue" w:cs="Helvetica Neue"/>
          <w:sz w:val="24"/>
          <w:sz-cs w:val="24"/>
          <w:b/>
          <w:spacing w:val="0"/>
          <w:color w:val="18191B"/>
        </w:rPr>
        <w:t xml:space="preserve">Target Infrastructure</w:t>
      </w:r>
    </w:p>
    <w:p>
      <w:pPr/>
      <w:r>
        <w:rPr>
          <w:rFonts w:ascii="Helvetica Neue" w:hAnsi="Helvetica Neue" w:cs="Helvetica Neue"/>
          <w:sz w:val="24"/>
          <w:sz-cs w:val="24"/>
          <w:spacing w:val="0"/>
          <w:color w:val="141414"/>
        </w:rPr>
        <w:t xml:space="preserve">Google Cloud (Apigee X/Hybrid, Cloud Armor, SCC Enterprise, Model Armor)</w:t>
      </w:r>
    </w:p>
    <w:p>
      <w:pPr/>
      <w:r>
        <w:rPr>
          <w:rFonts w:ascii="Helvetica Neue" w:hAnsi="Helvetica Neue" w:cs="Helvetica Neue"/>
          <w:sz w:val="24"/>
          <w:sz-cs w:val="24"/>
          <w:b/>
          <w:spacing w:val="0"/>
          <w:color w:val="18191B"/>
        </w:rPr>
        <w:t xml:space="preserve">Publication Date</w:t>
      </w:r>
    </w:p>
    <w:p>
      <w:pPr/>
      <w:r>
        <w:rPr>
          <w:rFonts w:ascii="Helvetica Neue" w:hAnsi="Helvetica Neue" w:cs="Helvetica Neue"/>
          <w:sz w:val="24"/>
          <w:sz-cs w:val="24"/>
          <w:spacing w:val="0"/>
          <w:color w:val="141414"/>
        </w:rPr>
        <w:t xml:space="preserve">August 18, 2026</w:t>
      </w:r>
    </w:p>
    <w:p>
      <w:pPr/>
      <w:r>
        <w:rPr>
          <w:rFonts w:ascii="Helvetica Neue" w:hAnsi="Helvetica Neue" w:cs="Helvetica Neue"/>
          <w:sz w:val="24"/>
          <w:sz-cs w:val="24"/>
          <w:b/>
          <w:spacing w:val="0"/>
          <w:color w:val="18191B"/>
        </w:rPr>
        <w:t xml:space="preserve">Compliance Scope</w:t>
      </w:r>
    </w:p>
    <w:p>
      <w:pPr/>
      <w:r>
        <w:rPr>
          <w:rFonts w:ascii="Helvetica Neue" w:hAnsi="Helvetica Neue" w:cs="Helvetica Neue"/>
          <w:sz w:val="24"/>
          <w:sz-cs w:val="24"/>
          <w:spacing w:val="0"/>
          <w:color w:val="141414"/>
        </w:rPr>
        <w:t xml:space="preserve">OWASP API Top 10 (2023), OWASP GenAI (2025/2026), NIST SP 800-207, CIS GCP v3.0</w:t>
      </w:r>
    </w:p>
    <w:p>
      <w:pPr>
        <w:spacing w:after="200"/>
      </w:pPr>
      <w:r>
        <w:rPr>
          <w:rFonts w:ascii="Helvetica Neue" w:hAnsi="Helvetica Neue" w:cs="Helvetica Neue"/>
          <w:sz w:val="34"/>
          <w:sz-cs w:val="34"/>
          <w:b/>
          <w:spacing w:val="0"/>
          <w:color w:val="175AE2"/>
        </w:rPr>
        <w:t xml:space="preserve">Table of Contents</w:t>
      </w:r>
      <w:r>
        <w:rPr>
          <w:rFonts w:ascii="Helvetica Neue" w:hAnsi="Helvetica Neue" w:cs="Helvetica Neue"/>
          <w:sz w:val="34"/>
          <w:sz-cs w:val="34"/>
          <w:b/>
          <w:spacing w:val="0"/>
          <w:color w:val="175AE2"/>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1:</w:t>
      </w:r>
      <w:r>
        <w:rPr>
          <w:rFonts w:ascii="Helvetica Neue" w:hAnsi="Helvetica Neue" w:cs="Helvetica Neue"/>
          <w:sz w:val="25"/>
          <w:sz-cs w:val="25"/>
          <w:spacing w:val="0"/>
          <w:color w:val="141414"/>
        </w:rPr>
        <w:t xml:space="preserve"> Executive Summary &amp; Problem Statement</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2:</w:t>
      </w:r>
      <w:r>
        <w:rPr>
          <w:rFonts w:ascii="Helvetica Neue" w:hAnsi="Helvetica Neue" w:cs="Helvetica Neue"/>
          <w:sz w:val="25"/>
          <w:sz-cs w:val="25"/>
          <w:spacing w:val="0"/>
          <w:color w:val="141414"/>
        </w:rPr>
        <w:t xml:space="preserve"> Goals, Non-Goals &amp; Architectural Constraints</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3:</w:t>
      </w:r>
      <w:r>
        <w:rPr>
          <w:rFonts w:ascii="Helvetica Neue" w:hAnsi="Helvetica Neue" w:cs="Helvetica Neue"/>
          <w:sz w:val="25"/>
          <w:sz-cs w:val="25"/>
          <w:spacing w:val="0"/>
          <w:color w:val="141414"/>
        </w:rPr>
        <w:t xml:space="preserve"> High-Level System Architecture &amp; Defense Topology (6 Layers)</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4:</w:t>
      </w:r>
      <w:r>
        <w:rPr>
          <w:rFonts w:ascii="Helvetica Neue" w:hAnsi="Helvetica Neue" w:cs="Helvetica Neue"/>
          <w:sz w:val="25"/>
          <w:sz-cs w:val="25"/>
          <w:spacing w:val="0"/>
          <w:color w:val="141414"/>
        </w:rPr>
        <w:t xml:space="preserve"> Control Plane: Agentic Reasoning &amp; Autonomous Control</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5:</w:t>
      </w:r>
      <w:r>
        <w:rPr>
          <w:rFonts w:ascii="Helvetica Neue" w:hAnsi="Helvetica Neue" w:cs="Helvetica Neue"/>
          <w:sz w:val="25"/>
          <w:sz-cs w:val="25"/>
          <w:spacing w:val="0"/>
          <w:color w:val="141414"/>
        </w:rPr>
        <w:t xml:space="preserve"> Data Plane: Gateway Hardening &amp; WAAP Enforcement</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6:</w:t>
      </w:r>
      <w:r>
        <w:rPr>
          <w:rFonts w:ascii="Helvetica Neue" w:hAnsi="Helvetica Neue" w:cs="Helvetica Neue"/>
          <w:sz w:val="25"/>
          <w:sz-cs w:val="25"/>
          <w:spacing w:val="0"/>
          <w:color w:val="141414"/>
        </w:rPr>
        <w:t xml:space="preserve"> Detailed Subsystem Specifications &amp; Workflows</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7:</w:t>
      </w:r>
      <w:r>
        <w:rPr>
          <w:rFonts w:ascii="Helvetica Neue" w:hAnsi="Helvetica Neue" w:cs="Helvetica Neue"/>
          <w:sz w:val="25"/>
          <w:sz-cs w:val="25"/>
          <w:spacing w:val="0"/>
          <w:color w:val="141414"/>
        </w:rPr>
        <w:t xml:space="preserve"> API Interface &amp; Serverless Cloud Run Hosting Specification</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8:</w:t>
      </w:r>
      <w:r>
        <w:rPr>
          <w:rFonts w:ascii="Helvetica Neue" w:hAnsi="Helvetica Neue" w:cs="Helvetica Neue"/>
          <w:sz w:val="25"/>
          <w:sz-cs w:val="25"/>
          <w:spacing w:val="0"/>
          <w:color w:val="141414"/>
        </w:rPr>
        <w:t xml:space="preserve"> Security, Privacy, and Blast Radius Mitigation</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9:</w:t>
      </w:r>
      <w:r>
        <w:rPr>
          <w:rFonts w:ascii="Helvetica Neue" w:hAnsi="Helvetica Neue" w:cs="Helvetica Neue"/>
          <w:sz w:val="25"/>
          <w:sz-cs w:val="25"/>
          <w:spacing w:val="0"/>
          <w:color w:val="141414"/>
        </w:rPr>
        <w:t xml:space="preserve"> Observability, SLIs/SLOs &amp; Operational Telemetry</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10:</w:t>
      </w:r>
      <w:r>
        <w:rPr>
          <w:rFonts w:ascii="Helvetica Neue" w:hAnsi="Helvetica Neue" w:cs="Helvetica Neue"/>
          <w:sz w:val="25"/>
          <w:sz-cs w:val="25"/>
          <w:spacing w:val="0"/>
          <w:color w:val="141414"/>
        </w:rPr>
        <w:t xml:space="preserve"> Rollout, Staging, and Migration Strategy</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11:</w:t>
      </w:r>
      <w:r>
        <w:rPr>
          <w:rFonts w:ascii="Helvetica Neue" w:hAnsi="Helvetica Neue" w:cs="Helvetica Neue"/>
          <w:sz w:val="25"/>
          <w:sz-cs w:val="25"/>
          <w:spacing w:val="0"/>
          <w:color w:val="141414"/>
        </w:rPr>
        <w:t xml:space="preserve"> Alternatives Considered &amp; Architectural Trade-offs</w:t>
      </w:r>
      <w:r>
        <w:rPr>
          <w:rFonts w:ascii="Helvetica Neue" w:hAnsi="Helvetica Neue" w:cs="Helvetica Neue"/>
          <w:sz w:val="25"/>
          <w:sz-cs w:val="25"/>
          <w:spacing w:val="0"/>
          <w:color w:val="141414"/>
        </w:rPr>
        <w:t xml:space="preserve"/>
      </w:r>
    </w:p>
    <w:p>
      <w:pPr>
        <w:ind w:left="720" w:first-line="-720"/>
        <w:spacing w:after="100"/>
      </w:pPr>
      <w:r>
        <w:rPr>
          <w:rFonts w:ascii="Helvetica Neue" w:hAnsi="Helvetica Neue" w:cs="Helvetica Neue"/>
          <w:sz w:val="25"/>
          <w:sz-cs w:val="25"/>
          <w:b/>
          <w:color w:val="175AE2"/>
        </w:rPr>
        <w:t xml:space="preserve"/>
        <w:tab/>
        <w:t xml:space="preserve"/>
        <w:tab/>
        <w:t xml:space="preserve"/>
      </w:r>
      <w:r>
        <w:rPr>
          <w:rFonts w:ascii="Helvetica Neue" w:hAnsi="Helvetica Neue" w:cs="Helvetica Neue"/>
          <w:sz w:val="25"/>
          <w:sz-cs w:val="25"/>
          <w:b/>
          <w:spacing w:val="0"/>
          <w:color w:val="175AE2"/>
        </w:rPr>
        <w:t xml:space="preserve">Section 12:</w:t>
      </w:r>
      <w:r>
        <w:rPr>
          <w:rFonts w:ascii="Helvetica Neue" w:hAnsi="Helvetica Neue" w:cs="Helvetica Neue"/>
          <w:sz w:val="25"/>
          <w:sz-cs w:val="25"/>
          <w:spacing w:val="0"/>
          <w:color w:val="141414"/>
        </w:rPr>
        <w:t xml:space="preserve"> Normative References &amp; Authoritative Documentation</w:t>
      </w:r>
      <w:r>
        <w:rPr>
          <w:rFonts w:ascii="Helvetica Neue" w:hAnsi="Helvetica Neue" w:cs="Helvetica Neue"/>
          <w:sz w:val="25"/>
          <w:sz-cs w:val="25"/>
          <w:spacing w:val="0"/>
          <w:color w:val="141414"/>
        </w:rPr>
        <w:t xml:space="preserve"/>
      </w:r>
    </w:p>
    <w:p>
      <w:pPr>
        <w:spacing w:after="240"/>
      </w:pPr>
      <w:r>
        <w:rPr>
          <w:rFonts w:ascii="Helvetica Neue" w:hAnsi="Helvetica Neue" w:cs="Helvetica Neue"/>
          <w:sz w:val="42"/>
          <w:sz-cs w:val="42"/>
          <w:b/>
          <w:spacing w:val="0"/>
          <w:color w:val="175AE2"/>
        </w:rPr>
        <w:t xml:space="preserve">1. Executive Summary &amp; Problem Statement</w:t>
      </w:r>
    </w:p>
    <w:p>
      <w:pPr>
        <w:jc w:val="both"/>
        <w:spacing w:after="160"/>
      </w:pPr>
      <w:r>
        <w:rPr>
          <w:rFonts w:ascii="Helvetica Neue" w:hAnsi="Helvetica Neue" w:cs="Helvetica Neue"/>
          <w:sz w:val="28"/>
          <w:sz-cs w:val="28"/>
          <w:spacing w:val="0"/>
          <w:color w:val="141414"/>
        </w:rPr>
        <w:t xml:space="preserve">Application Programming Interfaces (APIs) constitute the primary technical interface for distributed cloud architectures, mobile backends, B2B integrations, and Generative AI applications. Empirical telemetry across industry datasets confirms that </w:t>
      </w:r>
      <w:r>
        <w:rPr>
          <w:rFonts w:ascii="Helvetica Neue" w:hAnsi="Helvetica Neue" w:cs="Helvetica Neue"/>
          <w:sz w:val="28"/>
          <w:sz-cs w:val="28"/>
          <w:b/>
          <w:spacing w:val="0"/>
          <w:color w:val="141414"/>
        </w:rPr>
        <w:t xml:space="preserve">over 80% of modern enterprise web breaches exploit vulnerabilities residing within the API transport and logic layers</w:t>
      </w:r>
      <w:r>
        <w:rPr>
          <w:rFonts w:ascii="Helvetica Neue" w:hAnsi="Helvetica Neue" w:cs="Helvetica Neue"/>
          <w:sz w:val="28"/>
          <w:sz-cs w:val="28"/>
          <w:spacing w:val="0"/>
          <w:color w:val="141414"/>
        </w:rPr>
        <w:t xml:space="preserve"> (e.g., Broken Object Level Authorization, business logic abuse, scraping botnets, credential stuffing, and LLM prompt injections) rather than traditional network perimeters.</w:t>
      </w:r>
    </w:p>
    <w:p>
      <w:pPr>
        <w:jc w:val="both"/>
        <w:spacing w:after="160"/>
      </w:pPr>
      <w:r>
        <w:rPr>
          <w:rFonts w:ascii="Helvetica Neue" w:hAnsi="Helvetica Neue" w:cs="Helvetica Neue"/>
          <w:sz w:val="28"/>
          <w:sz-cs w:val="28"/>
          <w:spacing w:val="0"/>
          <w:color w:val="141414"/>
        </w:rPr>
        <w:t xml:space="preserve">Conventional enterprise security paradigms suffer from three fatal architectural deficiencies:</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Disjointed Telemetry &amp; Operational Silos:</w:t>
      </w:r>
      <w:r>
        <w:rPr>
          <w:rFonts w:ascii="Helvetica Neue" w:hAnsi="Helvetica Neue" w:cs="Helvetica Neue"/>
          <w:sz w:val="28"/>
          <w:sz-cs w:val="28"/>
          <w:spacing w:val="0"/>
          <w:color w:val="141414"/>
        </w:rPr>
        <w:t xml:space="preserve"> Edge WAF/DDoS appliances, API Gateways (Apigee), and Cloud Security Posture Management (CSPM / Security Command Center) operate as fragmented systems with zero bi-directional feedback or synchronized state.</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Passive Visibility &amp; High MTTR (Mean Time to Remediation):</w:t>
      </w:r>
      <w:r>
        <w:rPr>
          <w:rFonts w:ascii="Helvetica Neue" w:hAnsi="Helvetica Neue" w:cs="Helvetica Neue"/>
          <w:sz w:val="28"/>
          <w:sz-cs w:val="28"/>
          <w:spacing w:val="0"/>
          <w:color w:val="141414"/>
        </w:rPr>
        <w:t xml:space="preserve"> Existing Posture Management tools only generate passive dashboard alerts. Security engineers must manually review, ticket, triage, and handcraft remediation policies, resulting in an average MTTR of </w:t>
      </w:r>
      <w:r>
        <w:rPr>
          <w:rFonts w:ascii="Helvetica Neue" w:hAnsi="Helvetica Neue" w:cs="Helvetica Neue"/>
          <w:sz w:val="28"/>
          <w:sz-cs w:val="28"/>
          <w:b/>
          <w:spacing w:val="0"/>
          <w:color w:val="141414"/>
        </w:rPr>
        <w:t xml:space="preserve">21+ days (504 hours)</w:t>
      </w:r>
      <w:r>
        <w:rPr>
          <w:rFonts w:ascii="Helvetica Neue" w:hAnsi="Helvetica Neue" w:cs="Helvetica Neue"/>
          <w:sz w:val="28"/>
          <w:sz-cs w:val="28"/>
          <w:spacing w:val="0"/>
          <w:color w:val="141414"/>
        </w:rPr>
        <w:t xml:space="preserve">.</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Emergence of Non-Signature Logic &amp; GenAI Attacks:</w:t>
      </w:r>
      <w:r>
        <w:rPr>
          <w:rFonts w:ascii="Helvetica Neue" w:hAnsi="Helvetica Neue" w:cs="Helvetica Neue"/>
          <w:sz w:val="28"/>
          <w:sz-cs w:val="28"/>
          <w:spacing w:val="0"/>
          <w:color w:val="141414"/>
        </w:rPr>
        <w:t xml:space="preserve"> Conventional signature-based pattern matchers fail against BOLA (OWASP API1), Broken Object Property Level Auth (BOPLA / Mass Assignment), and prompt injection attacks targeting LLM endpoints.</w:t>
      </w:r>
    </w:p>
    <w:p>
      <w:pPr/>
      <w:r>
        <w:rPr>
          <w:rFonts w:ascii="Helvetica Neue" w:hAnsi="Helvetica Neue" w:cs="Helvetica Neue"/>
          <w:sz w:val="25"/>
          <w:sz-cs w:val="25"/>
          <w:b/>
          <w:spacing w:val="0"/>
          <w:color w:val="141414"/>
        </w:rPr>
        <w:t xml:space="preserve">Architectural Solution:</w:t>
      </w:r>
      <w:r>
        <w:rPr>
          <w:rFonts w:ascii="Helvetica Neue" w:hAnsi="Helvetica Neue" w:cs="Helvetica Neue"/>
          <w:sz w:val="25"/>
          <w:sz-cs w:val="25"/>
          <w:spacing w:val="0"/>
          <w:color w:val="141414"/>
        </w:rPr>
        <w:t xml:space="preserve"> The </w:t>
      </w:r>
      <w:r>
        <w:rPr>
          <w:rFonts w:ascii="Helvetica Neue" w:hAnsi="Helvetica Neue" w:cs="Helvetica Neue"/>
          <w:sz w:val="25"/>
          <w:sz-cs w:val="25"/>
          <w:b/>
          <w:spacing w:val="0"/>
          <w:color w:val="141414"/>
        </w:rPr>
        <w:t xml:space="preserve">ASPR (Autonomous API Security Posture &amp; Remediation)</w:t>
      </w:r>
      <w:r>
        <w:rPr>
          <w:rFonts w:ascii="Helvetica Neue" w:hAnsi="Helvetica Neue" w:cs="Helvetica Neue"/>
          <w:sz w:val="25"/>
          <w:sz-cs w:val="25"/>
          <w:spacing w:val="0"/>
          <w:color w:val="141414"/>
        </w:rPr>
        <w:t xml:space="preserve"> engine introduces a closed-loop, deterministic autonomous security platform. Powered by Google DeepMind's Gemini reasoning engine and native Google Cloud security subsystems (Cloud Armor, Apigee X, reCAPTCHA Enterprise, Google Model Armor, Cloud DLP, and Security Command Center Enterprise), ASPR autonomously audits posture, discovers shadow/zombie endpoints, enforces Zero-Trust perimeters, and executes guardrailed, verifiable remediations in </w:t>
      </w:r>
      <w:r>
        <w:rPr>
          <w:rFonts w:ascii="Helvetica Neue" w:hAnsi="Helvetica Neue" w:cs="Helvetica Neue"/>
          <w:sz w:val="25"/>
          <w:sz-cs w:val="25"/>
          <w:b/>
          <w:spacing w:val="0"/>
          <w:color w:val="141414"/>
        </w:rPr>
        <w:t xml:space="preserve">sub-4-minute latency</w:t>
      </w:r>
      <w:r>
        <w:rPr>
          <w:rFonts w:ascii="Helvetica Neue" w:hAnsi="Helvetica Neue" w:cs="Helvetica Neue"/>
          <w:sz w:val="25"/>
          <w:sz-cs w:val="25"/>
          <w:spacing w:val="0"/>
          <w:color w:val="141414"/>
        </w:rPr>
        <w:t xml:space="preserve">.</w:t>
      </w:r>
    </w:p>
    <w:p>
      <w:pPr>
        <w:spacing w:after="240"/>
      </w:pPr>
      <w:r>
        <w:rPr>
          <w:rFonts w:ascii="Helvetica Neue" w:hAnsi="Helvetica Neue" w:cs="Helvetica Neue"/>
          <w:sz w:val="42"/>
          <w:sz-cs w:val="42"/>
          <w:b/>
          <w:spacing w:val="0"/>
          <w:color w:val="175AE2"/>
        </w:rPr>
        <w:t xml:space="preserve">2. Goals, Non-Goals &amp; Architectural Constraints</w:t>
      </w:r>
    </w:p>
    <w:p>
      <w:pPr>
        <w:spacing w:after="120"/>
      </w:pPr>
      <w:r>
        <w:rPr>
          <w:rFonts w:ascii="Helvetica Neue" w:hAnsi="Helvetica Neue" w:cs="Helvetica Neue"/>
          <w:sz w:val="32"/>
          <w:sz-cs w:val="32"/>
          <w:b/>
          <w:spacing w:val="0"/>
          <w:color w:val="18191B"/>
        </w:rPr>
        <w:t xml:space="preserve">2.1 Technical Goals</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G1: Autonomous Closed-Loop Remediation:</w:t>
      </w:r>
      <w:r>
        <w:rPr>
          <w:rFonts w:ascii="Helvetica Neue" w:hAnsi="Helvetica Neue" w:cs="Helvetica Neue"/>
          <w:sz w:val="28"/>
          <w:sz-cs w:val="28"/>
          <w:spacing w:val="0"/>
          <w:color w:val="141414"/>
        </w:rPr>
        <w:t xml:space="preserve"> Ingest active findings from Security Command Center Enterprise and execute deterministic remediation playbooks within </w:t>
      </w:r>
      <w:r>
        <w:rPr>
          <w:rFonts w:ascii="Helvetica Neue" w:hAnsi="Helvetica Neue" w:cs="Helvetica Neue"/>
          <w:sz w:val="28"/>
          <w:sz-cs w:val="28"/>
          <w:b/>
          <w:spacing w:val="0"/>
          <w:color w:val="141414"/>
        </w:rPr>
        <w:t xml:space="preserve">&lt; 4 minutes</w:t>
      </w:r>
      <w:r>
        <w:rPr>
          <w:rFonts w:ascii="Helvetica Neue" w:hAnsi="Helvetica Neue" w:cs="Helvetica Neue"/>
          <w:sz w:val="28"/>
          <w:sz-cs w:val="28"/>
          <w:spacing w:val="0"/>
          <w:color w:val="141414"/>
        </w:rPr>
        <w:t xml:space="preserve"> without human intervention.</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G2: Zero-Trust Ingress &amp; Egress Isolation:</w:t>
      </w:r>
      <w:r>
        <w:rPr>
          <w:rFonts w:ascii="Helvetica Neue" w:hAnsi="Helvetica Neue" w:cs="Helvetica Neue"/>
          <w:sz w:val="28"/>
          <w:sz-cs w:val="28"/>
          <w:spacing w:val="0"/>
          <w:color w:val="141414"/>
        </w:rPr>
        <w:t xml:space="preserve"> Eliminate all direct public IP exposure of Apigee backends via Private Service Connect (PSC) Network Endpoint Groups fronted by Cloud Armor WAF.</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G3: 100% Coverage of OWASP API Top 10 (2023) &amp; GenAI Security:</w:t>
      </w:r>
      <w:r>
        <w:rPr>
          <w:rFonts w:ascii="Helvetica Neue" w:hAnsi="Helvetica Neue" w:cs="Helvetica Neue"/>
          <w:sz w:val="28"/>
          <w:sz-cs w:val="28"/>
          <w:spacing w:val="0"/>
          <w:color w:val="141414"/>
        </w:rPr>
        <w:t xml:space="preserve"> Provide systematic mitigation controls across all 10 OWASP API categories, Model Armor prompt sanitization, and real-time Cloud DLP PII/PCI masking.</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G4: Zero Operational Disruption (72-Hour Monitor Baseline):</w:t>
      </w:r>
      <w:r>
        <w:rPr>
          <w:rFonts w:ascii="Helvetica Neue" w:hAnsi="Helvetica Neue" w:cs="Helvetica Neue"/>
          <w:sz w:val="28"/>
          <w:sz-cs w:val="28"/>
          <w:spacing w:val="0"/>
          <w:color w:val="141414"/>
        </w:rPr>
        <w:t xml:space="preserve"> Enforce strict </w:t>
      </w:r>
      <w:r>
        <w:rPr>
          <w:rFonts w:ascii="Courier New" w:hAnsi="Courier New" w:cs="Courier New"/>
          <w:sz w:val="24"/>
          <w:sz-cs w:val="24"/>
          <w:spacing w:val="0"/>
          <w:color w:val="141414"/>
        </w:rPr>
        <w:t xml:space="preserve">PREVIEW</w:t>
      </w:r>
      <w:r>
        <w:rPr>
          <w:rFonts w:ascii="Helvetica Neue" w:hAnsi="Helvetica Neue" w:cs="Helvetica Neue"/>
          <w:sz w:val="28"/>
          <w:sz-cs w:val="28"/>
          <w:spacing w:val="0"/>
          <w:color w:val="141414"/>
        </w:rPr>
        <w:t xml:space="preserve"> / </w:t>
      </w:r>
      <w:r>
        <w:rPr>
          <w:rFonts w:ascii="Courier New" w:hAnsi="Courier New" w:cs="Courier New"/>
          <w:sz w:val="24"/>
          <w:sz-cs w:val="24"/>
          <w:spacing w:val="0"/>
          <w:color w:val="141414"/>
        </w:rPr>
        <w:t xml:space="preserve">FLAG</w:t>
      </w:r>
      <w:r>
        <w:rPr>
          <w:rFonts w:ascii="Helvetica Neue" w:hAnsi="Helvetica Neue" w:cs="Helvetica Neue"/>
          <w:sz w:val="28"/>
          <w:sz-cs w:val="28"/>
          <w:spacing w:val="0"/>
          <w:color w:val="141414"/>
        </w:rPr>
        <w:t xml:space="preserve"> mode on all newly synthesized WAF rules and rate-based limits for 72 hours, guaranteeing 0.00% false-positive production impact.</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G5: Multi-Cloud Cataloging &amp; ASPM:</w:t>
      </w:r>
      <w:r>
        <w:rPr>
          <w:rFonts w:ascii="Helvetica Neue" w:hAnsi="Helvetica Neue" w:cs="Helvetica Neue"/>
          <w:sz w:val="28"/>
          <w:sz-cs w:val="28"/>
          <w:spacing w:val="0"/>
          <w:color w:val="141414"/>
        </w:rPr>
        <w:t xml:space="preserve"> Ingest OpenAPI specifications across Google Cloud, AWS API Gateway, Azure API Management, and Cloudflare into GCP API Hub for unified posture governance.</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G6: On-Demand Adversarial Verification:</w:t>
      </w:r>
      <w:r>
        <w:rPr>
          <w:rFonts w:ascii="Helvetica Neue" w:hAnsi="Helvetica Neue" w:cs="Helvetica Neue"/>
          <w:sz w:val="28"/>
          <w:sz-cs w:val="28"/>
          <w:spacing w:val="0"/>
          <w:color w:val="141414"/>
        </w:rPr>
        <w:t xml:space="preserve"> Provide an isolated Red Team Simulator capable of executing 7 attack vectors and generating tamper-proof Defense Efficacy Certificates.</w:t>
      </w:r>
    </w:p>
    <w:p>
      <w:pPr>
        <w:spacing w:after="120"/>
      </w:pPr>
      <w:r>
        <w:rPr>
          <w:rFonts w:ascii="Helvetica Neue" w:hAnsi="Helvetica Neue" w:cs="Helvetica Neue"/>
          <w:sz w:val="32"/>
          <w:sz-cs w:val="32"/>
          <w:b/>
          <w:spacing w:val="0"/>
          <w:color w:val="18191B"/>
        </w:rPr>
        <w:t xml:space="preserve">2.2 Non-Goals</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NG1:</w:t>
      </w:r>
      <w:r>
        <w:rPr>
          <w:rFonts w:ascii="Helvetica Neue" w:hAnsi="Helvetica Neue" w:cs="Helvetica Neue"/>
          <w:sz w:val="28"/>
          <w:sz-cs w:val="28"/>
          <w:spacing w:val="0"/>
          <w:color w:val="141414"/>
        </w:rPr>
        <w:t xml:space="preserve"> ASPR is </w:t>
      </w:r>
      <w:r>
        <w:rPr>
          <w:rFonts w:ascii="Helvetica Neue" w:hAnsi="Helvetica Neue" w:cs="Helvetica Neue"/>
          <w:sz w:val="28"/>
          <w:sz-cs w:val="28"/>
          <w:b/>
          <w:spacing w:val="0"/>
          <w:color w:val="141414"/>
        </w:rPr>
        <w:t xml:space="preserve">not</w:t>
      </w:r>
      <w:r>
        <w:rPr>
          <w:rFonts w:ascii="Helvetica Neue" w:hAnsi="Helvetica Neue" w:cs="Helvetica Neue"/>
          <w:sz w:val="28"/>
          <w:sz-cs w:val="28"/>
          <w:spacing w:val="0"/>
          <w:color w:val="141414"/>
        </w:rPr>
        <w:t xml:space="preserve"> an application development framework for business logic proxy creation; its sole scope is security posture, perimeter hardening, threat defense, and automated remediation.</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NG2:</w:t>
      </w:r>
      <w:r>
        <w:rPr>
          <w:rFonts w:ascii="Helvetica Neue" w:hAnsi="Helvetica Neue" w:cs="Helvetica Neue"/>
          <w:sz w:val="28"/>
          <w:sz-cs w:val="28"/>
          <w:spacing w:val="0"/>
          <w:color w:val="141414"/>
        </w:rPr>
        <w:t xml:space="preserve"> ASPR does </w:t>
      </w:r>
      <w:r>
        <w:rPr>
          <w:rFonts w:ascii="Helvetica Neue" w:hAnsi="Helvetica Neue" w:cs="Helvetica Neue"/>
          <w:sz w:val="28"/>
          <w:sz-cs w:val="28"/>
          <w:b/>
          <w:spacing w:val="0"/>
          <w:color w:val="141414"/>
        </w:rPr>
        <w:t xml:space="preserve">not</w:t>
      </w:r>
      <w:r>
        <w:rPr>
          <w:rFonts w:ascii="Helvetica Neue" w:hAnsi="Helvetica Neue" w:cs="Helvetica Neue"/>
          <w:sz w:val="28"/>
          <w:sz-cs w:val="28"/>
          <w:spacing w:val="0"/>
          <w:color w:val="141414"/>
        </w:rPr>
        <w:t xml:space="preserve"> replace enterprise SIEM/SOAR platforms; it ingests findings from SCC and streams structured UDM telemetry directly into Google SecOps (Chronicle SIEM).</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NG3:</w:t>
      </w:r>
      <w:r>
        <w:rPr>
          <w:rFonts w:ascii="Helvetica Neue" w:hAnsi="Helvetica Neue" w:cs="Helvetica Neue"/>
          <w:sz w:val="28"/>
          <w:sz-cs w:val="28"/>
          <w:spacing w:val="0"/>
          <w:color w:val="141414"/>
        </w:rPr>
        <w:t xml:space="preserve"> ASPR does </w:t>
      </w:r>
      <w:r>
        <w:rPr>
          <w:rFonts w:ascii="Helvetica Neue" w:hAnsi="Helvetica Neue" w:cs="Helvetica Neue"/>
          <w:sz w:val="28"/>
          <w:sz-cs w:val="28"/>
          <w:b/>
          <w:spacing w:val="0"/>
          <w:color w:val="141414"/>
        </w:rPr>
        <w:t xml:space="preserve">not</w:t>
      </w:r>
      <w:r>
        <w:rPr>
          <w:rFonts w:ascii="Helvetica Neue" w:hAnsi="Helvetica Neue" w:cs="Helvetica Neue"/>
          <w:sz w:val="28"/>
          <w:sz-cs w:val="28"/>
          <w:spacing w:val="0"/>
          <w:color w:val="141414"/>
        </w:rPr>
        <w:t xml:space="preserve"> execute destructive terminal operations (e.g., recursive deletions or resource de-provisioning without preview).</w:t>
      </w:r>
    </w:p>
    <w:p>
      <w:pPr>
        <w:spacing w:after="240"/>
      </w:pPr>
      <w:r>
        <w:rPr>
          <w:rFonts w:ascii="Helvetica Neue" w:hAnsi="Helvetica Neue" w:cs="Helvetica Neue"/>
          <w:sz w:val="42"/>
          <w:sz-cs w:val="42"/>
          <w:b/>
          <w:spacing w:val="0"/>
          <w:color w:val="175AE2"/>
        </w:rPr>
        <w:t xml:space="preserve">3. High-Level System Architecture &amp; Defense Topology</w:t>
      </w:r>
    </w:p>
    <w:p>
      <w:pPr>
        <w:jc w:val="both"/>
        <w:spacing w:after="160"/>
      </w:pPr>
      <w:r>
        <w:rPr>
          <w:rFonts w:ascii="Helvetica Neue" w:hAnsi="Helvetica Neue" w:cs="Helvetica Neue"/>
          <w:sz w:val="28"/>
          <w:sz-cs w:val="28"/>
          <w:spacing w:val="0"/>
          <w:color w:val="141414"/>
        </w:rPr>
        <w:t xml:space="preserve">The ASPR architecture implements a </w:t>
      </w:r>
      <w:r>
        <w:rPr>
          <w:rFonts w:ascii="Helvetica Neue" w:hAnsi="Helvetica Neue" w:cs="Helvetica Neue"/>
          <w:sz w:val="28"/>
          <w:sz-cs w:val="28"/>
          <w:b/>
          <w:spacing w:val="0"/>
          <w:color w:val="141414"/>
        </w:rPr>
        <w:t xml:space="preserve">6-Layer Defense-in-Depth Topology</w:t>
      </w:r>
      <w:r>
        <w:rPr>
          <w:rFonts w:ascii="Helvetica Neue" w:hAnsi="Helvetica Neue" w:cs="Helvetica Neue"/>
          <w:sz w:val="28"/>
          <w:sz-cs w:val="28"/>
          <w:spacing w:val="0"/>
          <w:color w:val="141414"/>
        </w:rPr>
        <w:t xml:space="preserve"> paired with an autonomous Control Plane:</w:t>
      </w:r>
    </w:p>
    <w:p>
      <w:pPr>
        <w:jc w:val="center"/>
      </w:pPr>
      <w:r>
        <w:rPr>
          <w:rFonts w:ascii="Helvetica Neue" w:hAnsi="Helvetica Neue" w:cs="Helvetica Neue"/>
          <w:sz w:val="28"/>
          <w:sz-cs w:val="28"/>
          <w:spacing w:val="0"/>
          <w:color w:val="141414"/>
        </w:rPr>
        <w:t xml:space="preserve"/>
      </w:r>
      <w:r>
        <w:rPr>
          <w:rFonts w:ascii="Helvetica Neue" w:hAnsi="Helvetica Neue" w:cs="Helvetica Neue"/>
          <w:sz w:val="22"/>
          <w:sz-cs w:val="22"/>
          <w:i/>
          <w:spacing w:val="0"/>
          <w:color w:val="4D5055"/>
        </w:rPr>
        <w:t xml:space="preserve"/>
      </w:r>
    </w:p>
    <w:p>
      <w:pPr>
        <w:jc w:val="center"/>
      </w:pPr>
      <w:r>
        <w:rPr>
          <w:rFonts w:ascii="Helvetica Neue" w:hAnsi="Helvetica Neue" w:cs="Helvetica Neue"/>
          <w:sz w:val="22"/>
          <w:sz-cs w:val="22"/>
          <w:i/>
          <w:spacing w:val="0"/>
          <w:color w:val="4D5055"/>
        </w:rPr>
        <w:t xml:space="preserve">Figure 3.1: ASPR 6-Layer Enterprise Defense Topology &amp; Autonomous Control Plane (Draw.io Style).</w:t>
      </w:r>
      <w:r>
        <w:rPr>
          <w:rFonts w:ascii="Helvetica Neue" w:hAnsi="Helvetica Neue" w:cs="Helvetica Neue"/>
          <w:sz w:val="22"/>
          <w:sz-cs w:val="22"/>
          <w:i/>
          <w:spacing w:val="0"/>
          <w:color w:val="4D5055"/>
        </w:rPr>
        <w:t xml:space="preserve"/>
      </w:r>
    </w:p>
    <w:p>
      <w:pPr/>
      <w:r>
        <w:rPr>
          <w:rFonts w:ascii="Helvetica Neue" w:hAnsi="Helvetica Neue" w:cs="Helvetica Neue"/>
          <w:sz w:val="24"/>
          <w:sz-cs w:val="24"/>
          <w:b/>
          <w:spacing w:val="0"/>
          <w:color w:val="18191B"/>
        </w:rPr>
        <w:t xml:space="preserve">Layer</w:t>
      </w:r>
    </w:p>
    <w:p>
      <w:pPr/>
      <w:r>
        <w:rPr>
          <w:rFonts w:ascii="Helvetica Neue" w:hAnsi="Helvetica Neue" w:cs="Helvetica Neue"/>
          <w:sz w:val="24"/>
          <w:sz-cs w:val="24"/>
          <w:b/>
          <w:spacing w:val="0"/>
          <w:color w:val="18191B"/>
        </w:rPr>
        <w:t xml:space="preserve">Subsystem</w:t>
      </w:r>
    </w:p>
    <w:p>
      <w:pPr/>
      <w:r>
        <w:rPr>
          <w:rFonts w:ascii="Helvetica Neue" w:hAnsi="Helvetica Neue" w:cs="Helvetica Neue"/>
          <w:sz w:val="24"/>
          <w:sz-cs w:val="24"/>
          <w:b/>
          <w:spacing w:val="0"/>
          <w:color w:val="18191B"/>
        </w:rPr>
        <w:t xml:space="preserve">Enforcement Responsibilities</w:t>
      </w:r>
    </w:p>
    <w:p>
      <w:pPr/>
      <w:r>
        <w:rPr>
          <w:rFonts w:ascii="Helvetica Neue" w:hAnsi="Helvetica Neue" w:cs="Helvetica Neue"/>
          <w:sz w:val="24"/>
          <w:sz-cs w:val="24"/>
          <w:b/>
          <w:spacing w:val="0"/>
          <w:color w:val="18191B"/>
        </w:rPr>
        <w:t xml:space="preserve">Mitigated Attack Vectors</w:t>
      </w:r>
    </w:p>
    <w:p>
      <w:pPr/>
      <w:r>
        <w:rPr>
          <w:rFonts w:ascii="Helvetica Neue" w:hAnsi="Helvetica Neue" w:cs="Helvetica Neue"/>
          <w:sz w:val="24"/>
          <w:sz-cs w:val="24"/>
          <w:b/>
          <w:spacing w:val="0"/>
          <w:color w:val="141414"/>
        </w:rPr>
        <w:t xml:space="preserve">Layer 1: Ingress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Anycast Global IP / DNS</w:t>
      </w:r>
    </w:p>
    <w:p>
      <w:pPr/>
      <w:r>
        <w:rPr>
          <w:rFonts w:ascii="Helvetica Neue" w:hAnsi="Helvetica Neue" w:cs="Helvetica Neue"/>
          <w:sz w:val="24"/>
          <w:sz-cs w:val="24"/>
          <w:spacing w:val="0"/>
          <w:color w:val="141414"/>
        </w:rPr>
        <w:t xml:space="preserve">TLS 1.3 / HTTP/3 negotiation and edge termination.</w:t>
      </w:r>
    </w:p>
    <w:p>
      <w:pPr/>
      <w:r>
        <w:rPr>
          <w:rFonts w:ascii="Helvetica Neue" w:hAnsi="Helvetica Neue" w:cs="Helvetica Neue"/>
          <w:sz w:val="24"/>
          <w:sz-cs w:val="24"/>
          <w:spacing w:val="0"/>
          <w:color w:val="141414"/>
        </w:rPr>
        <w:t xml:space="preserve">Network eavesdropping, connection hijacking.</w:t>
      </w:r>
    </w:p>
    <w:p>
      <w:pPr/>
      <w:r>
        <w:rPr>
          <w:rFonts w:ascii="Helvetica Neue" w:hAnsi="Helvetica Neue" w:cs="Helvetica Neue"/>
          <w:sz w:val="24"/>
          <w:sz-cs w:val="24"/>
          <w:b/>
          <w:spacing w:val="0"/>
          <w:color w:val="141414"/>
        </w:rPr>
        <w:t xml:space="preserve">Layer 2: WAAP Edge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Google Cloud Armor &amp; reCAPTCHA</w:t>
      </w:r>
    </w:p>
    <w:p>
      <w:pPr/>
      <w:r>
        <w:rPr>
          <w:rFonts w:ascii="Helvetica Neue" w:hAnsi="Helvetica Neue" w:cs="Helvetica Neue"/>
          <w:sz w:val="24"/>
          <w:sz-cs w:val="24"/>
          <w:spacing w:val="0"/>
          <w:color w:val="141414"/>
        </w:rPr>
        <w:t xml:space="preserve">ModSecurity CRS 3.3 rule expressions, volumetric DDoS flood throttling, ML L7 adaptive anomaly detection, client IP rate-based banning (100 req/60s).</w:t>
      </w:r>
    </w:p>
    <w:p>
      <w:pPr/>
      <w:r>
        <w:rPr>
          <w:rFonts w:ascii="Helvetica Neue" w:hAnsi="Helvetica Neue" w:cs="Helvetica Neue"/>
          <w:sz w:val="24"/>
          <w:sz-cs w:val="24"/>
          <w:spacing w:val="0"/>
          <w:color w:val="141414"/>
        </w:rPr>
        <w:t xml:space="preserve">L3/L4/L7 DDoS floods, SQLi, XSS, RCE, LFI, Credential Stuffing, Automated Scraping.</w:t>
      </w:r>
    </w:p>
    <w:p>
      <w:pPr/>
      <w:r>
        <w:rPr>
          <w:rFonts w:ascii="Helvetica Neue" w:hAnsi="Helvetica Neue" w:cs="Helvetica Neue"/>
          <w:sz w:val="24"/>
          <w:sz-cs w:val="24"/>
          <w:b/>
          <w:spacing w:val="0"/>
          <w:color w:val="141414"/>
        </w:rPr>
        <w:t xml:space="preserve">Layer 3: Isolation</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External HTTPS LB + PSC NEG</w:t>
      </w:r>
    </w:p>
    <w:p>
      <w:pPr/>
      <w:r>
        <w:rPr>
          <w:rFonts w:ascii="Helvetica Neue" w:hAnsi="Helvetica Neue" w:cs="Helvetica Neue"/>
          <w:sz w:val="24"/>
          <w:sz-cs w:val="24"/>
          <w:spacing w:val="0"/>
          <w:color w:val="141414"/>
        </w:rPr>
        <w:t xml:space="preserve">Translates public LB traffic into private Service Attachment endpoints. Complete elimination of public IPs on the Apigee instance.</w:t>
      </w:r>
    </w:p>
    <w:p>
      <w:pPr/>
      <w:r>
        <w:rPr>
          <w:rFonts w:ascii="Helvetica Neue" w:hAnsi="Helvetica Neue" w:cs="Helvetica Neue"/>
          <w:sz w:val="24"/>
          <w:sz-cs w:val="24"/>
          <w:spacing w:val="0"/>
          <w:color w:val="141414"/>
        </w:rPr>
        <w:t xml:space="preserve">Origin IP discovery, direct perimeter bypass, unauthorized VPC ingress.</w:t>
      </w:r>
    </w:p>
    <w:p>
      <w:pPr/>
      <w:r>
        <w:rPr>
          <w:rFonts w:ascii="Helvetica Neue" w:hAnsi="Helvetica Neue" w:cs="Helvetica Neue"/>
          <w:sz w:val="24"/>
          <w:sz-cs w:val="24"/>
          <w:b/>
          <w:spacing w:val="0"/>
          <w:color w:val="141414"/>
        </w:rPr>
        <w:t xml:space="preserve">Layer 4: Gateway Runtime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Apigee X / Hybrid Runtime</w:t>
      </w:r>
    </w:p>
    <w:p>
      <w:pPr/>
      <w:r>
        <w:rPr>
          <w:rFonts w:ascii="Helvetica Neue" w:hAnsi="Helvetica Neue" w:cs="Helvetica Neue"/>
          <w:sz w:val="24"/>
          <w:sz-cs w:val="24"/>
          <w:spacing w:val="0"/>
          <w:color w:val="141414"/>
        </w:rPr>
        <w:t xml:space="preserve">Cryptographic OAuth 2.1/JWT claim validation, SpikeArrest (30ps burst protection), JSON threat structural limits, and sanitized FaultRule error handling.</w:t>
      </w:r>
    </w:p>
    <w:p>
      <w:pPr/>
      <w:r>
        <w:rPr>
          <w:rFonts w:ascii="Helvetica Neue" w:hAnsi="Helvetica Neue" w:cs="Helvetica Neue"/>
          <w:sz w:val="24"/>
          <w:sz-cs w:val="24"/>
          <w:spacing w:val="0"/>
          <w:color w:val="141414"/>
        </w:rPr>
        <w:t xml:space="preserve">BOLA (API1), Broken Auth (API2), BOPLA (API3), Resource Exhaustion (API4), BFLA (API5), Stack Trace Leakage.</w:t>
      </w:r>
    </w:p>
    <w:p>
      <w:pPr/>
      <w:r>
        <w:rPr>
          <w:rFonts w:ascii="Helvetica Neue" w:hAnsi="Helvetica Neue" w:cs="Helvetica Neue"/>
          <w:sz w:val="24"/>
          <w:sz-cs w:val="24"/>
          <w:b/>
          <w:spacing w:val="0"/>
          <w:color w:val="141414"/>
        </w:rPr>
        <w:t xml:space="preserve">Layer 5: AI Defense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Model Armor &amp; Cloud DLP</w:t>
      </w:r>
    </w:p>
    <w:p>
      <w:pPr/>
      <w:r>
        <w:rPr>
          <w:rFonts w:ascii="Helvetica Neue" w:hAnsi="Helvetica Neue" w:cs="Helvetica Neue"/>
          <w:sz w:val="24"/>
          <w:sz-cs w:val="24"/>
          <w:spacing w:val="0"/>
          <w:color w:val="141414"/>
        </w:rPr>
        <w:t xml:space="preserve">Prompt injection inspection, system prompt exfiltration prevention, inline tokenization of sensitive payload fields (CPF, credit cards).</w:t>
      </w:r>
    </w:p>
    <w:p>
      <w:pPr/>
      <w:r>
        <w:rPr>
          <w:rFonts w:ascii="Helvetica Neue" w:hAnsi="Helvetica Neue" w:cs="Helvetica Neue"/>
          <w:sz w:val="24"/>
          <w:sz-cs w:val="24"/>
          <w:spacing w:val="0"/>
          <w:color w:val="141414"/>
        </w:rPr>
        <w:t xml:space="preserve">OWASP LLM01 Prompt Injection, OWASP LLM06 Excessive Agency, Sensitive Data Exposure.</w:t>
      </w:r>
    </w:p>
    <w:p>
      <w:pPr/>
      <w:r>
        <w:rPr>
          <w:rFonts w:ascii="Helvetica Neue" w:hAnsi="Helvetica Neue" w:cs="Helvetica Neue"/>
          <w:sz w:val="24"/>
          <w:sz-cs w:val="24"/>
          <w:b/>
          <w:spacing w:val="0"/>
          <w:color w:val="141414"/>
        </w:rPr>
        <w:t xml:space="preserve">Layer 6: Southbound</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Cloud CAS &amp; Service Mesh</w:t>
      </w:r>
    </w:p>
    <w:p>
      <w:pPr/>
      <w:r>
        <w:rPr>
          <w:rFonts w:ascii="Helvetica Neue" w:hAnsi="Helvetica Neue" w:cs="Helvetica Neue"/>
          <w:sz w:val="24"/>
          <w:sz-cs w:val="24"/>
          <w:spacing w:val="0"/>
          <w:color w:val="141414"/>
        </w:rPr>
        <w:t xml:space="preserve">Bidirectional mTLS with automated certificate rotation between Apigee Message Processors and GKE/Cloud Run backends.</w:t>
      </w:r>
    </w:p>
    <w:p>
      <w:pPr/>
      <w:r>
        <w:rPr>
          <w:rFonts w:ascii="Helvetica Neue" w:hAnsi="Helvetica Neue" w:cs="Helvetica Neue"/>
          <w:sz w:val="24"/>
          <w:sz-cs w:val="24"/>
          <w:spacing w:val="0"/>
          <w:color w:val="141414"/>
        </w:rPr>
        <w:t xml:space="preserve">Man-in-the-Middle (MitM), east-west lateral movement, eavesdropping.</w:t>
      </w:r>
    </w:p>
    <w:p>
      <w:pPr>
        <w:spacing w:after="240"/>
      </w:pPr>
      <w:r>
        <w:rPr>
          <w:rFonts w:ascii="Helvetica Neue" w:hAnsi="Helvetica Neue" w:cs="Helvetica Neue"/>
          <w:sz w:val="42"/>
          <w:sz-cs w:val="42"/>
          <w:b/>
          <w:spacing w:val="0"/>
          <w:color w:val="175AE2"/>
        </w:rPr>
        <w:t xml:space="preserve">4. Control Plane: Agentic Reasoning &amp; Autonomous Control</w:t>
      </w:r>
    </w:p>
    <w:p>
      <w:pPr>
        <w:jc w:val="both"/>
        <w:spacing w:after="160"/>
      </w:pPr>
      <w:r>
        <w:rPr>
          <w:rFonts w:ascii="Helvetica Neue" w:hAnsi="Helvetica Neue" w:cs="Helvetica Neue"/>
          <w:sz w:val="28"/>
          <w:sz-cs w:val="28"/>
          <w:spacing w:val="0"/>
          <w:color w:val="141414"/>
        </w:rPr>
        <w:t xml:space="preserve">The Control Plane is governed by the </w:t>
      </w:r>
      <w:r>
        <w:rPr>
          <w:rFonts w:ascii="Helvetica Neue" w:hAnsi="Helvetica Neue" w:cs="Helvetica Neue"/>
          <w:sz w:val="28"/>
          <w:sz-cs w:val="28"/>
          <w:b/>
          <w:spacing w:val="0"/>
          <w:color w:val="141414"/>
        </w:rPr>
        <w:t xml:space="preserve">ASPR Autonomous AI Security Agent</w:t>
      </w:r>
      <w:r>
        <w:rPr>
          <w:rFonts w:ascii="Helvetica Neue" w:hAnsi="Helvetica Neue" w:cs="Helvetica Neue"/>
          <w:sz w:val="28"/>
          <w:sz-cs w:val="28"/>
          <w:spacing w:val="0"/>
          <w:color w:val="141414"/>
        </w:rPr>
        <w:t xml:space="preserve">, combining structured heuristics with large language model reasoning:</w:t>
      </w:r>
    </w:p>
    <w:p>
      <w:pPr/>
      <w:r>
        <w:rPr>
          <w:rFonts w:ascii="Helvetica Neue" w:hAnsi="Helvetica Neue" w:cs="Helvetica Neue"/>
          <w:sz w:val="24"/>
          <w:sz-cs w:val="24"/>
          <w:b/>
          <w:spacing w:val="0"/>
          <w:color w:val="18191B"/>
        </w:rPr>
        <w:t xml:space="preserve">Component</w:t>
      </w:r>
    </w:p>
    <w:p>
      <w:pPr/>
      <w:r>
        <w:rPr>
          <w:rFonts w:ascii="Helvetica Neue" w:hAnsi="Helvetica Neue" w:cs="Helvetica Neue"/>
          <w:sz w:val="24"/>
          <w:sz-cs w:val="24"/>
          <w:b/>
          <w:spacing w:val="0"/>
          <w:color w:val="18191B"/>
        </w:rPr>
        <w:t xml:space="preserve">Underlying Technology</w:t>
      </w:r>
    </w:p>
    <w:p>
      <w:pPr/>
      <w:r>
        <w:rPr>
          <w:rFonts w:ascii="Helvetica Neue" w:hAnsi="Helvetica Neue" w:cs="Helvetica Neue"/>
          <w:sz w:val="24"/>
          <w:sz-cs w:val="24"/>
          <w:b/>
          <w:spacing w:val="0"/>
          <w:color w:val="18191B"/>
        </w:rPr>
        <w:t xml:space="preserve">Operational Role</w:t>
      </w:r>
    </w:p>
    <w:p>
      <w:pPr/>
      <w:r>
        <w:rPr>
          <w:rFonts w:ascii="Helvetica Neue" w:hAnsi="Helvetica Neue" w:cs="Helvetica Neue"/>
          <w:sz w:val="24"/>
          <w:sz-cs w:val="24"/>
          <w:b/>
          <w:spacing w:val="0"/>
          <w:color w:val="141414"/>
        </w:rPr>
        <w:t xml:space="preserve">Reasoning Engine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Google DeepMind Gemini Pro / Flash</w:t>
      </w:r>
    </w:p>
    <w:p>
      <w:pPr/>
      <w:r>
        <w:rPr>
          <w:rFonts w:ascii="Helvetica Neue" w:hAnsi="Helvetica Neue" w:cs="Helvetica Neue"/>
          <w:sz w:val="24"/>
          <w:sz-cs w:val="24"/>
          <w:spacing w:val="0"/>
          <w:color w:val="141414"/>
        </w:rPr>
        <w:t xml:space="preserve">Analyzes security telemetry diffs, correlates threat context with OWASP API Top 10, and synthesizes remediation plans.</w:t>
      </w:r>
    </w:p>
    <w:p>
      <w:pPr/>
      <w:r>
        <w:rPr>
          <w:rFonts w:ascii="Helvetica Neue" w:hAnsi="Helvetica Neue" w:cs="Helvetica Neue"/>
          <w:sz w:val="24"/>
          <w:sz-cs w:val="24"/>
          <w:b/>
          <w:spacing w:val="0"/>
          <w:color w:val="141414"/>
        </w:rPr>
        <w:t xml:space="preserve">In-Flight Engine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Python AST &amp; Static Analysis Parser</w:t>
      </w:r>
    </w:p>
    <w:p>
      <w:pPr/>
      <w:r>
        <w:rPr>
          <w:rFonts w:ascii="Helvetica Neue" w:hAnsi="Helvetica Neue" w:cs="Helvetica Neue"/>
          <w:sz w:val="24"/>
          <w:sz-cs w:val="24"/>
          <w:spacing w:val="0"/>
          <w:color w:val="141414"/>
        </w:rPr>
        <w:t xml:space="preserve">Generates idempotent, guardrailed automation scripts in </w:t>
      </w:r>
      <w:r>
        <w:rPr>
          <w:rFonts w:ascii="Courier New" w:hAnsi="Courier New" w:cs="Courier New"/>
          <w:sz w:val="24"/>
          <w:sz-cs w:val="24"/>
          <w:spacing w:val="0"/>
          <w:color w:val="141414"/>
        </w:rPr>
        <w:t xml:space="preserve">scripts/custom/</w:t>
      </w:r>
      <w:r>
        <w:rPr>
          <w:rFonts w:ascii="Helvetica Neue" w:hAnsi="Helvetica Neue" w:cs="Helvetica Neue"/>
          <w:sz w:val="24"/>
          <w:sz-cs w:val="24"/>
          <w:spacing w:val="0"/>
          <w:color w:val="141414"/>
        </w:rPr>
        <w:t xml:space="preserve">, ensuring syntax validity and safety compliance.</w:t>
      </w:r>
    </w:p>
    <w:p>
      <w:pPr/>
      <w:r>
        <w:rPr>
          <w:rFonts w:ascii="Helvetica Neue" w:hAnsi="Helvetica Neue" w:cs="Helvetica Neue"/>
          <w:sz w:val="24"/>
          <w:sz-cs w:val="24"/>
          <w:b/>
          <w:spacing w:val="0"/>
          <w:color w:val="141414"/>
        </w:rPr>
        <w:t xml:space="preserve">Integration Hub</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SCC API, Cloud Armor API, Apigee API, API Hub API</w:t>
      </w:r>
    </w:p>
    <w:p>
      <w:pPr/>
      <w:r>
        <w:rPr>
          <w:rFonts w:ascii="Helvetica Neue" w:hAnsi="Helvetica Neue" w:cs="Helvetica Neue"/>
          <w:sz w:val="24"/>
          <w:sz-cs w:val="24"/>
          <w:spacing w:val="0"/>
          <w:color w:val="141414"/>
        </w:rPr>
        <w:t xml:space="preserve">Executes deterministic policy modifications, audits tier states, and publishes OpenAPI catalogs.</w:t>
      </w:r>
    </w:p>
    <w:p>
      <w:pPr>
        <w:spacing w:after="240"/>
      </w:pPr>
      <w:r>
        <w:rPr>
          <w:rFonts w:ascii="Helvetica Neue" w:hAnsi="Helvetica Neue" w:cs="Helvetica Neue"/>
          <w:sz w:val="42"/>
          <w:sz-cs w:val="42"/>
          <w:b/>
          <w:spacing w:val="0"/>
          <w:color w:val="175AE2"/>
        </w:rPr>
        <w:t xml:space="preserve">5. Data Plane: Gateway Hardening &amp; WAAP Enforcement</w:t>
      </w:r>
    </w:p>
    <w:p>
      <w:pPr>
        <w:jc w:val="center"/>
      </w:pPr>
      <w:r>
        <w:rPr>
          <w:rFonts w:ascii="Helvetica Neue" w:hAnsi="Helvetica Neue" w:cs="Helvetica Neue"/>
          <w:sz w:val="28"/>
          <w:sz-cs w:val="28"/>
          <w:spacing w:val="0"/>
          <w:color w:val="141414"/>
        </w:rPr>
        <w:t xml:space="preserve"/>
      </w:r>
      <w:r>
        <w:rPr>
          <w:rFonts w:ascii="Helvetica Neue" w:hAnsi="Helvetica Neue" w:cs="Helvetica Neue"/>
          <w:sz w:val="22"/>
          <w:sz-cs w:val="22"/>
          <w:i/>
          <w:spacing w:val="0"/>
          <w:color w:val="4D5055"/>
        </w:rPr>
        <w:t xml:space="preserve"/>
      </w:r>
    </w:p>
    <w:p>
      <w:pPr>
        <w:jc w:val="center"/>
      </w:pPr>
      <w:r>
        <w:rPr>
          <w:rFonts w:ascii="Helvetica Neue" w:hAnsi="Helvetica Neue" w:cs="Helvetica Neue"/>
          <w:sz w:val="22"/>
          <w:sz-cs w:val="22"/>
          <w:i/>
          <w:spacing w:val="0"/>
          <w:color w:val="4D5055"/>
        </w:rPr>
        <w:t xml:space="preserve">Figure 5.1: Apigee X to Backend Zero Trust &amp; Southbound mTLS Architecture (Draw.io Style).</w:t>
      </w:r>
      <w:r>
        <w:rPr>
          <w:rFonts w:ascii="Helvetica Neue" w:hAnsi="Helvetica Neue" w:cs="Helvetica Neue"/>
          <w:sz w:val="22"/>
          <w:sz-cs w:val="22"/>
          <w:i/>
          <w:spacing w:val="0"/>
          <w:color w:val="4D5055"/>
        </w:rPr>
        <w:t xml:space="preserve"/>
      </w:r>
    </w:p>
    <w:p>
      <w:pPr>
        <w:jc w:val="both"/>
        <w:spacing w:after="160"/>
      </w:pPr>
      <w:r>
        <w:rPr>
          <w:rFonts w:ascii="Helvetica Neue" w:hAnsi="Helvetica Neue" w:cs="Helvetica Neue"/>
          <w:sz w:val="28"/>
          <w:sz-cs w:val="28"/>
          <w:spacing w:val="0"/>
          <w:color w:val="141414"/>
        </w:rPr>
        <w:t xml:space="preserve">The Data Plane establishes end-to-end cryptographic and structural boundaries:</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Keystore/Truststore Management:</w:t>
      </w:r>
      <w:r>
        <w:rPr>
          <w:rFonts w:ascii="Helvetica Neue" w:hAnsi="Helvetica Neue" w:cs="Helvetica Neue"/>
          <w:sz w:val="28"/>
          <w:sz-cs w:val="28"/>
          <w:spacing w:val="0"/>
          <w:color w:val="141414"/>
        </w:rPr>
        <w:t xml:space="preserve"> Apigee Message Processors maintain dedicated Keystores (Apigee Private Key + Certificate) and Truststores (Root CA &amp; Intermediate CA Certs).</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Certificate Authority Service (CAS):</w:t>
      </w:r>
      <w:r>
        <w:rPr>
          <w:rFonts w:ascii="Helvetica Neue" w:hAnsi="Helvetica Neue" w:cs="Helvetica Neue"/>
          <w:sz w:val="28"/>
          <w:sz-cs w:val="28"/>
          <w:spacing w:val="0"/>
          <w:color w:val="141414"/>
        </w:rPr>
        <w:t xml:space="preserve"> Managed private CA issues and auto-rotates certificates for backend microservices on GKE and Cloud Run.</w:t>
      </w:r>
    </w:p>
    <w:p>
      <w:pPr>
        <w:ind w:left="720" w:first-line="-720"/>
        <w:spacing w:after="60"/>
      </w:pPr>
      <w:r>
        <w:rPr>
          <w:rFonts w:ascii="Helvetica Neue" w:hAnsi="Helvetica Neue" w:cs="Helvetica Neue"/>
          <w:sz w:val="28"/>
          <w:sz-cs w:val="28"/>
          <w:b/>
          <w:color w:val="141414"/>
        </w:rPr>
        <w:t xml:space="preserve"/>
        <w:tab/>
        <w:t xml:space="preserve">•</w:t>
        <w:tab/>
        <w:t xml:space="preserve"/>
      </w:r>
      <w:r>
        <w:rPr>
          <w:rFonts w:ascii="Helvetica Neue" w:hAnsi="Helvetica Neue" w:cs="Helvetica Neue"/>
          <w:sz w:val="28"/>
          <w:sz-cs w:val="28"/>
          <w:b/>
          <w:spacing w:val="0"/>
          <w:color w:val="141414"/>
        </w:rPr>
        <w:t xml:space="preserve">Network Encapsulation:</w:t>
      </w:r>
      <w:r>
        <w:rPr>
          <w:rFonts w:ascii="Helvetica Neue" w:hAnsi="Helvetica Neue" w:cs="Helvetica Neue"/>
          <w:sz w:val="28"/>
          <w:sz-cs w:val="28"/>
          <w:spacing w:val="0"/>
          <w:color w:val="141414"/>
        </w:rPr>
        <w:t xml:space="preserve"> Traffic traverses Private Service Connect (PSC) attachments without touching the public internet.</w:t>
      </w:r>
    </w:p>
    <w:p>
      <w:pPr>
        <w:spacing w:after="240"/>
      </w:pPr>
      <w:r>
        <w:rPr>
          <w:rFonts w:ascii="Helvetica Neue" w:hAnsi="Helvetica Neue" w:cs="Helvetica Neue"/>
          <w:sz w:val="42"/>
          <w:sz-cs w:val="42"/>
          <w:b/>
          <w:spacing w:val="0"/>
          <w:color w:val="175AE2"/>
        </w:rPr>
        <w:t xml:space="preserve">6. Detailed Subsystem Specifications &amp; Workflows</w:t>
      </w:r>
    </w:p>
    <w:p>
      <w:pPr>
        <w:spacing w:after="120"/>
      </w:pPr>
      <w:r>
        <w:rPr>
          <w:rFonts w:ascii="Helvetica Neue" w:hAnsi="Helvetica Neue" w:cs="Helvetica Neue"/>
          <w:sz w:val="32"/>
          <w:sz-cs w:val="32"/>
          <w:b/>
          <w:spacing w:val="0"/>
          <w:color w:val="18191B"/>
        </w:rPr>
        <w:t xml:space="preserve">6.1 Closed-Loop Remediation Cycle</w:t>
      </w:r>
    </w:p>
    <w:p>
      <w:pPr>
        <w:jc w:val="center"/>
      </w:pPr>
      <w:r>
        <w:rPr>
          <w:rFonts w:ascii="Helvetica Neue" w:hAnsi="Helvetica Neue" w:cs="Helvetica Neue"/>
          <w:sz w:val="28"/>
          <w:sz-cs w:val="28"/>
          <w:spacing w:val="0"/>
          <w:color w:val="141414"/>
        </w:rPr>
        <w:t xml:space="preserve"/>
      </w:r>
      <w:r>
        <w:rPr>
          <w:rFonts w:ascii="Helvetica Neue" w:hAnsi="Helvetica Neue" w:cs="Helvetica Neue"/>
          <w:sz w:val="22"/>
          <w:sz-cs w:val="22"/>
          <w:i/>
          <w:spacing w:val="0"/>
          <w:color w:val="4D5055"/>
        </w:rPr>
        <w:t xml:space="preserve"/>
      </w:r>
    </w:p>
    <w:p>
      <w:pPr>
        <w:jc w:val="center"/>
      </w:pPr>
      <w:r>
        <w:rPr>
          <w:rFonts w:ascii="Helvetica Neue" w:hAnsi="Helvetica Neue" w:cs="Helvetica Neue"/>
          <w:sz w:val="22"/>
          <w:sz-cs w:val="22"/>
          <w:i/>
          <w:spacing w:val="0"/>
          <w:color w:val="4D5055"/>
        </w:rPr>
        <w:t xml:space="preserve">Figure 6.1: Closed-Loop Autonomous API Security Remediation Cycle (Draw.io Style).</w:t>
      </w:r>
      <w:r>
        <w:rPr>
          <w:rFonts w:ascii="Helvetica Neue" w:hAnsi="Helvetica Neue" w:cs="Helvetica Neue"/>
          <w:sz w:val="22"/>
          <w:sz-cs w:val="22"/>
          <w:i/>
          <w:spacing w:val="0"/>
          <w:color w:val="4D5055"/>
        </w:rPr>
        <w:t xml:space="preserve"/>
      </w:r>
    </w:p>
    <w:p>
      <w:pPr>
        <w:spacing w:after="120"/>
      </w:pPr>
      <w:r>
        <w:rPr>
          <w:rFonts w:ascii="Helvetica Neue" w:hAnsi="Helvetica Neue" w:cs="Helvetica Neue"/>
          <w:sz w:val="32"/>
          <w:sz-cs w:val="32"/>
          <w:b/>
          <w:spacing w:val="0"/>
          <w:color w:val="18191B"/>
        </w:rPr>
        <w:t xml:space="preserve">6.2 Deterministic Engineering Guardrails</w:t>
      </w:r>
    </w:p>
    <w:p>
      <w:pPr/>
      <w:r>
        <w:rPr>
          <w:rFonts w:ascii="Helvetica Neue" w:hAnsi="Helvetica Neue" w:cs="Helvetica Neue"/>
          <w:sz w:val="24"/>
          <w:sz-cs w:val="24"/>
          <w:b/>
          <w:spacing w:val="0"/>
          <w:color w:val="18191B"/>
        </w:rPr>
        <w:t xml:space="preserve">Guardrail ID</w:t>
      </w:r>
    </w:p>
    <w:p>
      <w:pPr/>
      <w:r>
        <w:rPr>
          <w:rFonts w:ascii="Helvetica Neue" w:hAnsi="Helvetica Neue" w:cs="Helvetica Neue"/>
          <w:sz w:val="24"/>
          <w:sz-cs w:val="24"/>
          <w:b/>
          <w:spacing w:val="0"/>
          <w:color w:val="18191B"/>
        </w:rPr>
        <w:t xml:space="preserve">Rule Name</w:t>
      </w:r>
    </w:p>
    <w:p>
      <w:pPr/>
      <w:r>
        <w:rPr>
          <w:rFonts w:ascii="Helvetica Neue" w:hAnsi="Helvetica Neue" w:cs="Helvetica Neue"/>
          <w:sz w:val="24"/>
          <w:sz-cs w:val="24"/>
          <w:b/>
          <w:spacing w:val="0"/>
          <w:color w:val="18191B"/>
        </w:rPr>
        <w:t xml:space="preserve">Operational Requirement &amp; Enforcement</w:t>
      </w:r>
    </w:p>
    <w:p>
      <w:pPr/>
      <w:r>
        <w:rPr>
          <w:rFonts w:ascii="Helvetica Neue" w:hAnsi="Helvetica Neue" w:cs="Helvetica Neue"/>
          <w:sz w:val="24"/>
          <w:sz-cs w:val="24"/>
          <w:b/>
          <w:spacing w:val="0"/>
          <w:color w:val="141414"/>
        </w:rPr>
        <w:t xml:space="preserve">GR-01</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72-Hour Monitor Baseline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All newly synthesized Cloud Armor WAF rules (</w:t>
      </w:r>
      <w:r>
        <w:rPr>
          <w:rFonts w:ascii="Courier New" w:hAnsi="Courier New" w:cs="Courier New"/>
          <w:sz w:val="24"/>
          <w:sz-cs w:val="24"/>
          <w:spacing w:val="0"/>
          <w:color w:val="141414"/>
        </w:rPr>
        <w:t xml:space="preserve">deny-403</w:t>
      </w:r>
      <w:r>
        <w:rPr>
          <w:rFonts w:ascii="Helvetica Neue" w:hAnsi="Helvetica Neue" w:cs="Helvetica Neue"/>
          <w:sz w:val="24"/>
          <w:sz-cs w:val="24"/>
          <w:spacing w:val="0"/>
          <w:color w:val="141414"/>
        </w:rPr>
        <w:t xml:space="preserve">), rate limits, and Apigee Security Actions MUST be provisioned with </w:t>
      </w:r>
      <w:r>
        <w:rPr>
          <w:rFonts w:ascii="Courier New" w:hAnsi="Courier New" w:cs="Courier New"/>
          <w:sz w:val="24"/>
          <w:sz-cs w:val="24"/>
          <w:spacing w:val="0"/>
          <w:color w:val="141414"/>
        </w:rPr>
        <w:t xml:space="preserve">PREVIEW = true</w:t>
      </w:r>
      <w:r>
        <w:rPr>
          <w:rFonts w:ascii="Helvetica Neue" w:hAnsi="Helvetica Neue" w:cs="Helvetica Neue"/>
          <w:sz w:val="24"/>
          <w:sz-cs w:val="24"/>
          <w:spacing w:val="0"/>
          <w:color w:val="141414"/>
        </w:rPr>
        <w:t xml:space="preserve"> or </w:t>
      </w:r>
      <w:r>
        <w:rPr>
          <w:rFonts w:ascii="Courier New" w:hAnsi="Courier New" w:cs="Courier New"/>
          <w:sz w:val="24"/>
          <w:sz-cs w:val="24"/>
          <w:spacing w:val="0"/>
          <w:color w:val="141414"/>
        </w:rPr>
        <w:t xml:space="preserve">FLAG</w:t>
      </w:r>
      <w:r>
        <w:rPr>
          <w:rFonts w:ascii="Helvetica Neue" w:hAnsi="Helvetica Neue" w:cs="Helvetica Neue"/>
          <w:sz w:val="24"/>
          <w:sz-cs w:val="24"/>
          <w:spacing w:val="0"/>
          <w:color w:val="141414"/>
        </w:rPr>
        <w:t xml:space="preserve"> mode for 72 continuous hours. Direct blocking is prohibited until normal baseline variance is statistically confirmed.</w:t>
      </w:r>
    </w:p>
    <w:p>
      <w:pPr/>
      <w:r>
        <w:rPr>
          <w:rFonts w:ascii="Helvetica Neue" w:hAnsi="Helvetica Neue" w:cs="Helvetica Neue"/>
          <w:sz w:val="24"/>
          <w:sz-cs w:val="24"/>
          <w:b/>
          <w:spacing w:val="0"/>
          <w:color w:val="141414"/>
        </w:rPr>
        <w:t xml:space="preserve">GR-02</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12-Week ML Abuse Baseline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Machine learning behavioral anomaly models in Advanced API Security require 12 weeks of continuous telemetry ingestion before auto-blocking triggers are activated.</w:t>
      </w:r>
    </w:p>
    <w:p>
      <w:pPr/>
      <w:r>
        <w:rPr>
          <w:rFonts w:ascii="Helvetica Neue" w:hAnsi="Helvetica Neue" w:cs="Helvetica Neue"/>
          <w:sz w:val="24"/>
          <w:sz-cs w:val="24"/>
          <w:b/>
          <w:spacing w:val="0"/>
          <w:color w:val="141414"/>
        </w:rPr>
        <w:t xml:space="preserve">GR-03</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Zero Information Leakage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All proxies must implement global </w:t>
      </w:r>
      <w:r>
        <w:rPr>
          <w:rFonts w:ascii="Courier New" w:hAnsi="Courier New" w:cs="Courier New"/>
          <w:sz w:val="24"/>
          <w:sz-cs w:val="24"/>
          <w:spacing w:val="0"/>
          <w:color w:val="141414"/>
        </w:rPr>
        <w:t xml:space="preserve">FaultRules</w:t>
      </w:r>
      <w:r>
        <w:rPr>
          <w:rFonts w:ascii="Helvetica Neue" w:hAnsi="Helvetica Neue" w:cs="Helvetica Neue"/>
          <w:sz w:val="24"/>
          <w:sz-cs w:val="24"/>
          <w:spacing w:val="0"/>
          <w:color w:val="141414"/>
        </w:rPr>
        <w:t xml:space="preserve"> using </w:t>
      </w:r>
      <w:r>
        <w:rPr>
          <w:rFonts w:ascii="Courier New" w:hAnsi="Courier New" w:cs="Courier New"/>
          <w:sz w:val="24"/>
          <w:sz-cs w:val="24"/>
          <w:spacing w:val="0"/>
          <w:color w:val="141414"/>
        </w:rPr>
        <w:t xml:space="preserve">AssignMessage</w:t>
      </w:r>
      <w:r>
        <w:rPr>
          <w:rFonts w:ascii="Helvetica Neue" w:hAnsi="Helvetica Neue" w:cs="Helvetica Neue"/>
          <w:sz w:val="24"/>
          <w:sz-cs w:val="24"/>
          <w:spacing w:val="0"/>
          <w:color w:val="141414"/>
        </w:rPr>
        <w:t xml:space="preserve"> to catch 5xx exceptions and return standardized, sanitized JSON error responses, eliminating stack trace leakage.</w:t>
      </w:r>
    </w:p>
    <w:p>
      <w:pPr/>
      <w:r>
        <w:rPr>
          <w:rFonts w:ascii="Helvetica Neue" w:hAnsi="Helvetica Neue" w:cs="Helvetica Neue"/>
          <w:sz w:val="24"/>
          <w:sz-cs w:val="24"/>
          <w:b/>
          <w:spacing w:val="0"/>
          <w:color w:val="141414"/>
        </w:rPr>
        <w:t xml:space="preserve">GR-04</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Ephemeral Authentication</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Agents and automation scripts must never store static credentials. All operations use short-lived OAuth 2.0 access tokens generated via IAM Service Account Impersonation.</w:t>
      </w:r>
    </w:p>
    <w:p>
      <w:pPr/>
      <w:r>
        <w:rPr>
          <w:rFonts w:ascii="Helvetica Neue" w:hAnsi="Helvetica Neue" w:cs="Helvetica Neue"/>
          <w:sz w:val="24"/>
          <w:sz-cs w:val="24"/>
          <w:b/>
          <w:spacing w:val="0"/>
          <w:color w:val="141414"/>
        </w:rPr>
        <w:t xml:space="preserve">GR-05</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Perimeter Bypass Penalty</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If an Apigee environment possesses a direct public IP or is accessible without passing through Cloud Armor WAF, the Health Score is automatically penalized by </w:t>
      </w:r>
      <w:r>
        <w:rPr>
          <w:rFonts w:ascii="Helvetica Neue" w:hAnsi="Helvetica Neue" w:cs="Helvetica Neue"/>
          <w:sz w:val="24"/>
          <w:sz-cs w:val="24"/>
          <w:b/>
          <w:spacing w:val="0"/>
          <w:color w:val="141414"/>
        </w:rPr>
        <w:t xml:space="preserve">-35 points</w:t>
      </w:r>
      <w:r>
        <w:rPr>
          <w:rFonts w:ascii="Helvetica Neue" w:hAnsi="Helvetica Neue" w:cs="Helvetica Neue"/>
          <w:sz w:val="24"/>
          <w:sz-cs w:val="24"/>
          <w:spacing w:val="0"/>
          <w:color w:val="141414"/>
        </w:rPr>
        <w:t xml:space="preserve">.</w:t>
      </w:r>
    </w:p>
    <w:p>
      <w:pPr>
        <w:spacing w:after="120"/>
      </w:pPr>
      <w:r>
        <w:rPr>
          <w:rFonts w:ascii="Helvetica Neue" w:hAnsi="Helvetica Neue" w:cs="Helvetica Neue"/>
          <w:sz w:val="32"/>
          <w:sz-cs w:val="32"/>
          <w:b/>
          <w:spacing w:val="0"/>
          <w:color w:val="18191B"/>
        </w:rPr>
        <w:t xml:space="preserve">6.3 Multi-Cloud API Security Posture Management (ASPM)</w:t>
      </w:r>
    </w:p>
    <w:p>
      <w:pPr>
        <w:jc w:val="center"/>
      </w:pPr>
      <w:r>
        <w:rPr>
          <w:rFonts w:ascii="Helvetica Neue" w:hAnsi="Helvetica Neue" w:cs="Helvetica Neue"/>
          <w:sz w:val="28"/>
          <w:sz-cs w:val="28"/>
          <w:spacing w:val="0"/>
          <w:color w:val="141414"/>
        </w:rPr>
        <w:t xml:space="preserve"/>
      </w:r>
      <w:r>
        <w:rPr>
          <w:rFonts w:ascii="Helvetica Neue" w:hAnsi="Helvetica Neue" w:cs="Helvetica Neue"/>
          <w:sz w:val="22"/>
          <w:sz-cs w:val="22"/>
          <w:i/>
          <w:spacing w:val="0"/>
          <w:color w:val="4D5055"/>
        </w:rPr>
        <w:t xml:space="preserve"/>
      </w:r>
    </w:p>
    <w:p>
      <w:pPr>
        <w:jc w:val="center"/>
      </w:pPr>
      <w:r>
        <w:rPr>
          <w:rFonts w:ascii="Helvetica Neue" w:hAnsi="Helvetica Neue" w:cs="Helvetica Neue"/>
          <w:sz w:val="22"/>
          <w:sz-cs w:val="22"/>
          <w:i/>
          <w:spacing w:val="0"/>
          <w:color w:val="4D5055"/>
        </w:rPr>
        <w:t xml:space="preserve">Figure 6.2: Multi-Cloud API Security Posture Management (ASPM) &amp; API Hub Governance Flow (Draw.io Style).</w:t>
      </w:r>
      <w:r>
        <w:rPr>
          <w:rFonts w:ascii="Helvetica Neue" w:hAnsi="Helvetica Neue" w:cs="Helvetica Neue"/>
          <w:sz w:val="22"/>
          <w:sz-cs w:val="22"/>
          <w:i/>
          <w:spacing w:val="0"/>
          <w:color w:val="4D5055"/>
        </w:rPr>
        <w:t xml:space="preserve"/>
      </w:r>
    </w:p>
    <w:p>
      <w:pPr>
        <w:spacing w:after="240"/>
      </w:pPr>
      <w:r>
        <w:rPr>
          <w:rFonts w:ascii="Helvetica Neue" w:hAnsi="Helvetica Neue" w:cs="Helvetica Neue"/>
          <w:sz w:val="42"/>
          <w:sz-cs w:val="42"/>
          <w:b/>
          <w:spacing w:val="0"/>
          <w:color w:val="175AE2"/>
        </w:rPr>
        <w:t xml:space="preserve">7. API Interface &amp; Serverless Cloud Run Hosting Specification</w:t>
      </w:r>
    </w:p>
    <w:p>
      <w:pPr/>
      <w:r>
        <w:rPr>
          <w:rFonts w:ascii="Courier New" w:hAnsi="Courier New" w:cs="Courier New"/>
          <w:sz w:val="24"/>
          <w:sz-cs w:val="24"/>
          <w:spacing w:val="0"/>
          <w:color w:val="141414"/>
        </w:rPr>
        <w:t xml:space="preserve"># 1-Click Serverless Cloud Run Deployment via Cloud Build</w:t>
      </w:r>
    </w:p>
    <w:p>
      <w:pPr/>
      <w:r>
        <w:rPr>
          <w:rFonts w:ascii="Courier New" w:hAnsi="Courier New" w:cs="Courier New"/>
          <w:sz w:val="24"/>
          <w:sz-cs w:val="24"/>
          <w:spacing w:val="0"/>
          <w:color w:val="141414"/>
        </w:rPr>
        <w:t xml:space="preserve">./deploy/deploy_to_gcp.sh api-sec-poc-1582 us-central1</w:t>
      </w:r>
      <w:r>
        <w:rPr>
          <w:rFonts w:ascii="Courier New" w:hAnsi="Courier New" w:cs="Courier New"/>
          <w:sz w:val="22"/>
          <w:sz-cs w:val="22"/>
          <w:spacing w:val="0"/>
          <w:color w:val="141414"/>
        </w:rPr>
        <w:t xml:space="preserve"/>
      </w:r>
    </w:p>
    <w:p>
      <w:pPr/>
      <w:r>
        <w:rPr>
          <w:rFonts w:ascii="Helvetica Neue" w:hAnsi="Helvetica Neue" w:cs="Helvetica Neue"/>
          <w:sz w:val="24"/>
          <w:sz-cs w:val="24"/>
          <w:b/>
          <w:spacing w:val="0"/>
          <w:color w:val="18191B"/>
        </w:rPr>
        <w:t xml:space="preserve">HTTP Method &amp; Path</w:t>
      </w:r>
    </w:p>
    <w:p>
      <w:pPr/>
      <w:r>
        <w:rPr>
          <w:rFonts w:ascii="Helvetica Neue" w:hAnsi="Helvetica Neue" w:cs="Helvetica Neue"/>
          <w:sz w:val="24"/>
          <w:sz-cs w:val="24"/>
          <w:b/>
          <w:spacing w:val="0"/>
          <w:color w:val="18191B"/>
        </w:rPr>
        <w:t xml:space="preserve">Request Payload Schema</w:t>
      </w:r>
    </w:p>
    <w:p>
      <w:pPr/>
      <w:r>
        <w:rPr>
          <w:rFonts w:ascii="Helvetica Neue" w:hAnsi="Helvetica Neue" w:cs="Helvetica Neue"/>
          <w:sz w:val="24"/>
          <w:sz-cs w:val="24"/>
          <w:b/>
          <w:spacing w:val="0"/>
          <w:color w:val="18191B"/>
        </w:rPr>
        <w:t xml:space="preserve">Operational Description</w:t>
      </w:r>
    </w:p>
    <w:p>
      <w:pPr/>
      <w:r>
        <w:rPr>
          <w:rFonts w:ascii="Courier New" w:hAnsi="Courier New" w:cs="Courier New"/>
          <w:sz w:val="24"/>
          <w:sz-cs w:val="24"/>
          <w:spacing w:val="0"/>
          <w:color w:val="141414"/>
        </w:rPr>
        <w:t xml:space="preserve">POST /api/aspr/audit</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{"project_id": "string", "environment": "string"}</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Executes comprehensive posture assessment and returns Health Score.</w:t>
      </w:r>
    </w:p>
    <w:p>
      <w:pPr/>
      <w:r>
        <w:rPr>
          <w:rFonts w:ascii="Courier New" w:hAnsi="Courier New" w:cs="Courier New"/>
          <w:sz w:val="24"/>
          <w:sz-cs w:val="24"/>
          <w:spacing w:val="0"/>
          <w:color w:val="141414"/>
        </w:rPr>
        <w:t xml:space="preserve">POST /api/aspr/waap/deploy</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{"project_id": "string", "region": "string", "preview_mode": true}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Provisions Global HTTPS Load Balancer, PSC NEG, and Cloud Armor WAF.</w:t>
      </w:r>
    </w:p>
    <w:p>
      <w:pPr/>
      <w:r>
        <w:rPr>
          <w:rFonts w:ascii="Courier New" w:hAnsi="Courier New" w:cs="Courier New"/>
          <w:sz w:val="24"/>
          <w:sz-cs w:val="24"/>
          <w:spacing w:val="0"/>
          <w:color w:val="141414"/>
        </w:rPr>
        <w:t xml:space="preserve">GET /api/aspr/scc/verify/{project_id}</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URL Path Parameter</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Audits SCC Tier (Standard vs Premium/Enterprise) and service enablement.</w:t>
      </w:r>
    </w:p>
    <w:p>
      <w:pPr/>
      <w:r>
        <w:rPr>
          <w:rFonts w:ascii="Courier New" w:hAnsi="Courier New" w:cs="Courier New"/>
          <w:sz w:val="24"/>
          <w:sz-cs w:val="24"/>
          <w:spacing w:val="0"/>
          <w:color w:val="141414"/>
        </w:rPr>
        <w:t xml:space="preserve">POST /api/aspr/scc/remediate</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{"finding_id": "string", "dry_run": false}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Dispatches automated remediation playbook for target SCC finding.</w:t>
      </w:r>
    </w:p>
    <w:p>
      <w:pPr/>
      <w:r>
        <w:rPr>
          <w:rFonts w:ascii="Courier New" w:hAnsi="Courier New" w:cs="Courier New"/>
          <w:sz w:val="24"/>
          <w:sz-cs w:val="24"/>
          <w:spacing w:val="0"/>
          <w:color w:val="141414"/>
        </w:rPr>
        <w:t xml:space="preserve">POST /api/aspr/redteam/run</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{"target_host": "string", "project_id": "string"}</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Executes 7 adversarial attack vectors and issues Efficacy Certificate.</w:t>
      </w:r>
    </w:p>
    <w:p>
      <w:pPr/>
      <w:r>
        <w:rPr>
          <w:rFonts w:ascii="Courier New" w:hAnsi="Courier New" w:cs="Courier New"/>
          <w:sz w:val="24"/>
          <w:sz-cs w:val="24"/>
          <w:spacing w:val="0"/>
          <w:color w:val="141414"/>
        </w:rPr>
        <w:t xml:space="preserve">POST /api/aspr/threat-model/generate</w:t>
      </w:r>
      <w:r>
        <w:rPr>
          <w:rFonts w:ascii="Helvetica Neue" w:hAnsi="Helvetica Neue" w:cs="Helvetica Neue"/>
          <w:sz w:val="24"/>
          <w:sz-cs w:val="24"/>
          <w:spacing w:val="0"/>
          <w:color w:val="141414"/>
        </w:rPr>
        <w:t xml:space="preserve"/>
      </w:r>
    </w:p>
    <w:p>
      <w:pPr/>
      <w:r>
        <w:rPr>
          <w:rFonts w:ascii="Courier New" w:hAnsi="Courier New" w:cs="Courier New"/>
          <w:sz w:val="24"/>
          <w:sz-cs w:val="24"/>
          <w:spacing w:val="0"/>
          <w:color w:val="141414"/>
        </w:rPr>
        <w:t xml:space="preserve">{"api_name": "string", "data_classification": "string"}</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Generates structured STRIDE &amp; OWASP API Threat Model report.</w:t>
      </w:r>
    </w:p>
    <w:p>
      <w:pPr>
        <w:spacing w:after="240"/>
      </w:pPr>
      <w:r>
        <w:rPr>
          <w:rFonts w:ascii="Helvetica Neue" w:hAnsi="Helvetica Neue" w:cs="Helvetica Neue"/>
          <w:sz w:val="42"/>
          <w:sz-cs w:val="42"/>
          <w:b/>
          <w:spacing w:val="0"/>
          <w:color w:val="175AE2"/>
        </w:rPr>
        <w:t xml:space="preserve">8. Observability, SLIs/SLOs &amp; Operational Telemetry</w:t>
      </w:r>
    </w:p>
    <w:p>
      <w:pPr/>
      <w:r>
        <w:rPr>
          <w:rFonts w:ascii="Helvetica Neue" w:hAnsi="Helvetica Neue" w:cs="Helvetica Neue"/>
          <w:sz w:val="24"/>
          <w:sz-cs w:val="24"/>
          <w:b/>
          <w:spacing w:val="0"/>
          <w:color w:val="18191B"/>
        </w:rPr>
        <w:t xml:space="preserve">Service Level Indicator (SLI)</w:t>
      </w:r>
    </w:p>
    <w:p>
      <w:pPr/>
      <w:r>
        <w:rPr>
          <w:rFonts w:ascii="Helvetica Neue" w:hAnsi="Helvetica Neue" w:cs="Helvetica Neue"/>
          <w:sz w:val="24"/>
          <w:sz-cs w:val="24"/>
          <w:b/>
          <w:spacing w:val="0"/>
          <w:color w:val="18191B"/>
        </w:rPr>
        <w:t xml:space="preserve">Target SLO</w:t>
      </w:r>
    </w:p>
    <w:p>
      <w:pPr/>
      <w:r>
        <w:rPr>
          <w:rFonts w:ascii="Helvetica Neue" w:hAnsi="Helvetica Neue" w:cs="Helvetica Neue"/>
          <w:sz w:val="24"/>
          <w:sz-cs w:val="24"/>
          <w:b/>
          <w:spacing w:val="0"/>
          <w:color w:val="18191B"/>
        </w:rPr>
        <w:t xml:space="preserve">Measurement Mechanism</w:t>
      </w:r>
    </w:p>
    <w:p>
      <w:pPr/>
      <w:r>
        <w:rPr>
          <w:rFonts w:ascii="Helvetica Neue" w:hAnsi="Helvetica Neue" w:cs="Helvetica Neue"/>
          <w:sz w:val="24"/>
          <w:sz-cs w:val="24"/>
          <w:b/>
          <w:spacing w:val="0"/>
          <w:color w:val="141414"/>
        </w:rPr>
        <w:t xml:space="preserve">Mean Time to Remediate (MTTR)</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&lt; 4.0 Minutes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Eventarc finding receipt timestamp to WAF rule deployment timestamp.</w:t>
      </w:r>
    </w:p>
    <w:p>
      <w:pPr/>
      <w:r>
        <w:rPr>
          <w:rFonts w:ascii="Helvetica Neue" w:hAnsi="Helvetica Neue" w:cs="Helvetica Neue"/>
          <w:sz w:val="24"/>
          <w:sz-cs w:val="24"/>
          <w:b/>
          <w:spacing w:val="0"/>
          <w:color w:val="141414"/>
        </w:rPr>
        <w:t xml:space="preserve">False-Positive Blocking Ratio</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0.00%</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Mandatory 72-Hour Monitor Baseline (</w:t>
      </w:r>
      <w:r>
        <w:rPr>
          <w:rFonts w:ascii="Courier New" w:hAnsi="Courier New" w:cs="Courier New"/>
          <w:sz w:val="24"/>
          <w:sz-cs w:val="24"/>
          <w:spacing w:val="0"/>
          <w:color w:val="141414"/>
        </w:rPr>
        <w:t xml:space="preserve">FLAG</w:t>
      </w:r>
      <w:r>
        <w:rPr>
          <w:rFonts w:ascii="Helvetica Neue" w:hAnsi="Helvetica Neue" w:cs="Helvetica Neue"/>
          <w:sz w:val="24"/>
          <w:sz-cs w:val="24"/>
          <w:spacing w:val="0"/>
          <w:color w:val="141414"/>
        </w:rPr>
        <w:t xml:space="preserve">/</w:t>
      </w:r>
      <w:r>
        <w:rPr>
          <w:rFonts w:ascii="Courier New" w:hAnsi="Courier New" w:cs="Courier New"/>
          <w:sz w:val="24"/>
          <w:sz-cs w:val="24"/>
          <w:spacing w:val="0"/>
          <w:color w:val="141414"/>
        </w:rPr>
        <w:t xml:space="preserve">PREVIEW</w:t>
      </w:r>
      <w:r>
        <w:rPr>
          <w:rFonts w:ascii="Helvetica Neue" w:hAnsi="Helvetica Neue" w:cs="Helvetica Neue"/>
          <w:sz w:val="24"/>
          <w:sz-cs w:val="24"/>
          <w:spacing w:val="0"/>
          <w:color w:val="141414"/>
        </w:rPr>
        <w:t xml:space="preserve"> mode).</w:t>
      </w:r>
    </w:p>
    <w:p>
      <w:pPr/>
      <w:r>
        <w:rPr>
          <w:rFonts w:ascii="Helvetica Neue" w:hAnsi="Helvetica Neue" w:cs="Helvetica Neue"/>
          <w:sz w:val="24"/>
          <w:sz-cs w:val="24"/>
          <w:b/>
          <w:spacing w:val="0"/>
          <w:color w:val="141414"/>
        </w:rPr>
        <w:t xml:space="preserve">Posture Audit Latency</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&lt; 15 Seconds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End-to-end execution of </w:t>
      </w:r>
      <w:r>
        <w:rPr>
          <w:rFonts w:ascii="Courier New" w:hAnsi="Courier New" w:cs="Courier New"/>
          <w:sz w:val="24"/>
          <w:sz-cs w:val="24"/>
          <w:spacing w:val="0"/>
          <w:color w:val="141414"/>
        </w:rPr>
        <w:t xml:space="preserve">09_audit_api_security_health.sh</w:t>
      </w:r>
      <w:r>
        <w:rPr>
          <w:rFonts w:ascii="Helvetica Neue" w:hAnsi="Helvetica Neue" w:cs="Helvetica Neue"/>
          <w:sz w:val="24"/>
          <w:sz-cs w:val="24"/>
          <w:spacing w:val="0"/>
          <w:color w:val="141414"/>
        </w:rPr>
        <w:t xml:space="preserve">.</w:t>
      </w:r>
    </w:p>
    <w:p>
      <w:pPr/>
      <w:r>
        <w:rPr>
          <w:rFonts w:ascii="Helvetica Neue" w:hAnsi="Helvetica Neue" w:cs="Helvetica Neue"/>
          <w:sz w:val="24"/>
          <w:sz-cs w:val="24"/>
          <w:b/>
          <w:spacing w:val="0"/>
          <w:color w:val="141414"/>
        </w:rPr>
        <w:t xml:space="preserve">API Availability During Remediation</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99.99%</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Zero downtime during proxy redeployment via Apigee seamless deployment.</w:t>
      </w:r>
    </w:p>
    <w:p>
      <w:pPr>
        <w:spacing w:after="240"/>
      </w:pPr>
      <w:r>
        <w:rPr>
          <w:rFonts w:ascii="Helvetica Neue" w:hAnsi="Helvetica Neue" w:cs="Helvetica Neue"/>
          <w:sz w:val="42"/>
          <w:sz-cs w:val="42"/>
          <w:b/>
          <w:spacing w:val="0"/>
          <w:color w:val="175AE2"/>
        </w:rPr>
        <w:t xml:space="preserve">9. Normative References &amp; Authoritative Documentation</w:t>
      </w:r>
    </w:p>
    <w:p>
      <w:pPr>
        <w:spacing w:after="120"/>
      </w:pPr>
      <w:r>
        <w:rPr>
          <w:rFonts w:ascii="Helvetica Neue" w:hAnsi="Helvetica Neue" w:cs="Helvetica Neue"/>
          <w:sz w:val="32"/>
          <w:sz-cs w:val="32"/>
          <w:b/>
          <w:spacing w:val="0"/>
          <w:color w:val="18191B"/>
        </w:rPr>
        <w:t xml:space="preserve">9.1 Google Cloud Platform Standards</w:t>
      </w:r>
    </w:p>
    <w:p>
      <w:pPr>
        <w:ind w:left="720" w:first-line="-720"/>
        <w:spacing w:after="60"/>
      </w:pPr>
      <w:r>
        <w:rPr>
          <w:rFonts w:ascii="Helvetica Neue" w:hAnsi="Helvetica Neue" w:cs="Helvetica Neue"/>
          <w:sz w:val="28"/>
          <w:sz-cs w:val="28"/>
          <w:b/>
          <w:color w:val="141414"/>
        </w:rPr>
        <w:t xml:space="preserve"/>
        <w:tab/>
        <w:t xml:space="preserve">1</w:t>
        <w:tab/>
        <w:t xml:space="preserve"/>
      </w:r>
      <w:r>
        <w:rPr>
          <w:rFonts w:ascii="Helvetica Neue" w:hAnsi="Helvetica Neue" w:cs="Helvetica Neue"/>
          <w:sz w:val="28"/>
          <w:sz-cs w:val="28"/>
          <w:b/>
          <w:spacing w:val="0"/>
          <w:color w:val="141414"/>
        </w:rPr>
        <w:t xml:space="preserve">Google Cloud Architecture Framework — Security Pillar:</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https://cloud.google.com/architecture/framework/security</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2</w:t>
        <w:tab/>
        <w:t xml:space="preserve"/>
      </w:r>
      <w:r>
        <w:rPr>
          <w:rFonts w:ascii="Helvetica Neue" w:hAnsi="Helvetica Neue" w:cs="Helvetica Neue"/>
          <w:sz w:val="28"/>
          <w:sz-cs w:val="28"/>
          <w:b/>
          <w:spacing w:val="0"/>
          <w:color w:val="141414"/>
        </w:rPr>
        <w:t xml:space="preserve">Apigee X &amp; Hybrid Architecture &amp; Security Best Practices:</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https://cloud.google.com/apigee/docs/api-platform/architecture/overview</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3</w:t>
        <w:tab/>
        <w:t xml:space="preserve"/>
      </w:r>
      <w:r>
        <w:rPr>
          <w:rFonts w:ascii="Helvetica Neue" w:hAnsi="Helvetica Neue" w:cs="Helvetica Neue"/>
          <w:sz w:val="28"/>
          <w:sz-cs w:val="28"/>
          <w:b/>
          <w:spacing w:val="0"/>
          <w:color w:val="141414"/>
        </w:rPr>
        <w:t xml:space="preserve">Apigee Advanced API Security (ML Abuse Detection):</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https://cloud.google.com/apigee/docs/api-platform/security/advanced-api-security/overview</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4</w:t>
        <w:tab/>
        <w:t xml:space="preserve"/>
      </w:r>
      <w:r>
        <w:rPr>
          <w:rFonts w:ascii="Helvetica Neue" w:hAnsi="Helvetica Neue" w:cs="Helvetica Neue"/>
          <w:sz w:val="28"/>
          <w:sz-cs w:val="28"/>
          <w:b/>
          <w:spacing w:val="0"/>
          <w:color w:val="141414"/>
        </w:rPr>
        <w:t xml:space="preserve">Google Cloud Armor WAF &amp; ModSecurity CRS 3.3 Tuning:</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https://cloud.google.com/armor/docs/rule-tuning</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5</w:t>
        <w:tab/>
        <w:t xml:space="preserve"/>
      </w:r>
      <w:r>
        <w:rPr>
          <w:rFonts w:ascii="Helvetica Neue" w:hAnsi="Helvetica Neue" w:cs="Helvetica Neue"/>
          <w:sz w:val="28"/>
          <w:sz-cs w:val="28"/>
          <w:b/>
          <w:spacing w:val="0"/>
          <w:color w:val="141414"/>
        </w:rPr>
        <w:t xml:space="preserve">Google reCAPTCHA Enterprise API Protection:</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https://cloud.google.com/recaptcha-enterprise/docs/protect-web-apis</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6</w:t>
        <w:tab/>
        <w:t xml:space="preserve"/>
      </w:r>
      <w:r>
        <w:rPr>
          <w:rFonts w:ascii="Helvetica Neue" w:hAnsi="Helvetica Neue" w:cs="Helvetica Neue"/>
          <w:sz w:val="28"/>
          <w:sz-cs w:val="28"/>
          <w:b/>
          <w:spacing w:val="0"/>
          <w:color w:val="141414"/>
        </w:rPr>
        <w:t xml:space="preserve">Google Cloud Model Armor (Generative AI Safety):</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https://cloud.google.com/model-armor/docs</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7</w:t>
        <w:tab/>
        <w:t xml:space="preserve"/>
      </w:r>
      <w:r>
        <w:rPr>
          <w:rFonts w:ascii="Helvetica Neue" w:hAnsi="Helvetica Neue" w:cs="Helvetica Neue"/>
          <w:sz w:val="28"/>
          <w:sz-cs w:val="28"/>
          <w:b/>
          <w:spacing w:val="0"/>
          <w:color w:val="141414"/>
        </w:rPr>
        <w:t xml:space="preserve">Google Cloud Sensitive Data Protection (Cloud DLP):</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https://cloud.google.com/sensitive-data-protection/docs</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8</w:t>
        <w:tab/>
        <w:t xml:space="preserve"/>
      </w:r>
      <w:r>
        <w:rPr>
          <w:rFonts w:ascii="Helvetica Neue" w:hAnsi="Helvetica Neue" w:cs="Helvetica Neue"/>
          <w:sz w:val="28"/>
          <w:sz-cs w:val="28"/>
          <w:b/>
          <w:spacing w:val="0"/>
          <w:color w:val="141414"/>
        </w:rPr>
        <w:t xml:space="preserve">Google Security Command Center Enterprise Documentation:</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https://cloud.google.com/security-command-center/docs</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9</w:t>
        <w:tab/>
        <w:t xml:space="preserve"/>
      </w:r>
      <w:r>
        <w:rPr>
          <w:rFonts w:ascii="Helvetica Neue" w:hAnsi="Helvetica Neue" w:cs="Helvetica Neue"/>
          <w:sz w:val="28"/>
          <w:sz-cs w:val="28"/>
          <w:b/>
          <w:spacing w:val="0"/>
          <w:color w:val="141414"/>
        </w:rPr>
        <w:t xml:space="preserve">Google SecOps (Chronicle SIEM) API Telemetry Ingestion:</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https://cloud.google.com/chronicle/docs</w:t>
      </w:r>
      <w:r>
        <w:rPr>
          <w:rFonts w:ascii="Helvetica Neue" w:hAnsi="Helvetica Neue" w:cs="Helvetica Neue"/>
          <w:sz w:val="28"/>
          <w:sz-cs w:val="28"/>
          <w:spacing w:val="0"/>
          <w:color w:val="141414"/>
        </w:rPr>
        <w:t xml:space="preserve"/>
      </w:r>
    </w:p>
    <w:p>
      <w:pPr>
        <w:spacing w:after="120"/>
      </w:pPr>
      <w:r>
        <w:rPr>
          <w:rFonts w:ascii="Helvetica Neue" w:hAnsi="Helvetica Neue" w:cs="Helvetica Neue"/>
          <w:sz w:val="32"/>
          <w:sz-cs w:val="32"/>
          <w:b/>
          <w:spacing w:val="0"/>
          <w:color w:val="18191B"/>
        </w:rPr>
        <w:t xml:space="preserve">9.2 Global Industry Security Standards</w:t>
      </w:r>
    </w:p>
    <w:p>
      <w:pPr>
        <w:ind w:left="720" w:first-line="-720"/>
        <w:spacing w:after="60"/>
      </w:pPr>
      <w:r>
        <w:rPr>
          <w:rFonts w:ascii="Helvetica Neue" w:hAnsi="Helvetica Neue" w:cs="Helvetica Neue"/>
          <w:sz w:val="28"/>
          <w:sz-cs w:val="28"/>
          <w:b/>
          <w:color w:val="141414"/>
        </w:rPr>
        <w:t xml:space="preserve"/>
        <w:tab/>
        <w:t xml:space="preserve">1</w:t>
        <w:tab/>
        <w:t xml:space="preserve"/>
      </w:r>
      <w:r>
        <w:rPr>
          <w:rFonts w:ascii="Helvetica Neue" w:hAnsi="Helvetica Neue" w:cs="Helvetica Neue"/>
          <w:sz w:val="28"/>
          <w:sz-cs w:val="28"/>
          <w:b/>
          <w:spacing w:val="0"/>
          <w:color w:val="141414"/>
        </w:rPr>
        <w:t xml:space="preserve">OWASP API Security Top 10 (2023 Edition):</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https://owasp.org/www-project-api-security/</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2</w:t>
        <w:tab/>
        <w:t xml:space="preserve"/>
      </w:r>
      <w:r>
        <w:rPr>
          <w:rFonts w:ascii="Helvetica Neue" w:hAnsi="Helvetica Neue" w:cs="Helvetica Neue"/>
          <w:sz w:val="28"/>
          <w:sz-cs w:val="28"/>
          <w:b/>
          <w:spacing w:val="0"/>
          <w:color w:val="141414"/>
        </w:rPr>
        <w:t xml:space="preserve">OWASP Top 10 for Large Language Model Applications (2025/2026):</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https://genai.owasp.org/</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3</w:t>
        <w:tab/>
        <w:t xml:space="preserve"/>
      </w:r>
      <w:r>
        <w:rPr>
          <w:rFonts w:ascii="Helvetica Neue" w:hAnsi="Helvetica Neue" w:cs="Helvetica Neue"/>
          <w:sz w:val="28"/>
          <w:sz-cs w:val="28"/>
          <w:b/>
          <w:spacing w:val="0"/>
          <w:color w:val="141414"/>
        </w:rPr>
        <w:t xml:space="preserve">NIST Special Publication 800-207: Zero Trust Architecture:</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https://csrc.nist.gov/publications/detail/sp/800-207/final</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4</w:t>
        <w:tab/>
        <w:t xml:space="preserve"/>
      </w:r>
      <w:r>
        <w:rPr>
          <w:rFonts w:ascii="Helvetica Neue" w:hAnsi="Helvetica Neue" w:cs="Helvetica Neue"/>
          <w:sz w:val="28"/>
          <w:sz-cs w:val="28"/>
          <w:b/>
          <w:spacing w:val="0"/>
          <w:color w:val="141414"/>
        </w:rPr>
        <w:t xml:space="preserve">CIS Google Cloud Platform Foundation Benchmark (v3.0.0):</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https://www.cisecurity.org/benchmark/google_cloud_computing_platform</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5</w:t>
        <w:tab/>
        <w:t xml:space="preserve"/>
      </w:r>
      <w:r>
        <w:rPr>
          <w:rFonts w:ascii="Helvetica Neue" w:hAnsi="Helvetica Neue" w:cs="Helvetica Neue"/>
          <w:sz w:val="28"/>
          <w:sz-cs w:val="28"/>
          <w:b/>
          <w:spacing w:val="0"/>
          <w:color w:val="141414"/>
        </w:rPr>
        <w:t xml:space="preserve">MITRE ATT&amp;CK Matrix for Cloud &amp; Enterprise:</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https://attack.mitre.org/matrices/enterprise/cloud/</w:t>
      </w:r>
      <w:r>
        <w:rPr>
          <w:rFonts w:ascii="Helvetica Neue" w:hAnsi="Helvetica Neue" w:cs="Helvetica Neue"/>
          <w:sz w:val="28"/>
          <w:sz-cs w:val="28"/>
          <w:spacing w:val="0"/>
          <w:color w:val="141414"/>
        </w:rPr>
        <w:t xml:space="preserve"/>
      </w:r>
    </w:p>
    <w:p>
      <w:pPr>
        <w:ind w:left="720" w:first-line="-720"/>
        <w:spacing w:after="60"/>
      </w:pPr>
      <w:r>
        <w:rPr>
          <w:rFonts w:ascii="Helvetica Neue" w:hAnsi="Helvetica Neue" w:cs="Helvetica Neue"/>
          <w:sz w:val="28"/>
          <w:sz-cs w:val="28"/>
          <w:b/>
          <w:color w:val="141414"/>
        </w:rPr>
        <w:t xml:space="preserve"/>
        <w:tab/>
        <w:t xml:space="preserve">6</w:t>
        <w:tab/>
        <w:t xml:space="preserve"/>
      </w:r>
      <w:r>
        <w:rPr>
          <w:rFonts w:ascii="Helvetica Neue" w:hAnsi="Helvetica Neue" w:cs="Helvetica Neue"/>
          <w:sz w:val="28"/>
          <w:sz-cs w:val="28"/>
          <w:b/>
          <w:spacing w:val="0"/>
          <w:color w:val="141414"/>
        </w:rPr>
        <w:t xml:space="preserve">IETF RFC 6749 &amp; RFC 7636 (OAuth 2.1 &amp; PKCE):</w:t>
      </w:r>
      <w:r>
        <w:rPr>
          <w:rFonts w:ascii="Helvetica Neue" w:hAnsi="Helvetica Neue" w:cs="Helvetica Neue"/>
          <w:sz w:val="28"/>
          <w:sz-cs w:val="28"/>
          <w:spacing w:val="0"/>
          <w:color w:val="141414"/>
        </w:rPr>
        <w:t xml:space="preserve"/>
        <w:br/>
        <w:t xml:space="preserve">URL: </w:t>
      </w:r>
      <w:r>
        <w:rPr>
          <w:rFonts w:ascii="Helvetica Neue" w:hAnsi="Helvetica Neue" w:cs="Helvetica Neue"/>
          <w:sz w:val="28"/>
          <w:sz-cs w:val="28"/>
          <w:u w:val="single"/>
          <w:spacing w:val="0"/>
          <w:color w:val="0000E9"/>
        </w:rPr>
        <w:t xml:space="preserve">https://datatracker.ietf.org/doc/html/rfc7636</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6D6D6D"/>
        </w:rPr>
        <w:t xml:space="preserve"/>
      </w:r>
    </w:p>
    <w:p>
      <w:pPr>
        <w:jc w:val="center"/>
        <w:spacing w:after="160"/>
      </w:pPr>
      <w:r>
        <w:rPr>
          <w:rFonts w:ascii="Helvetica Neue" w:hAnsi="Helvetica Neue" w:cs="Helvetica Neue"/>
          <w:sz w:val="22"/>
          <w:sz-cs w:val="22"/>
          <w:spacing w:val="0"/>
          <w:color w:val="4D5055"/>
        </w:rPr>
        <w:t xml:space="preserve">© 2026 Google LLC / Joabson Saccomani. All rights reserved. Distributed under the Apache License 2.0.</w:t>
        <w:br/>
        <w:t xml:space="preserve">ASPR is an advanced enterprise cloud security framework developed for Google Cloud Platform.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