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1A73E8"/>
          <w:sz w:val="40"/>
        </w:rPr>
        <w:t>Cloud Security Posture Review (CSPR)</w:t>
      </w:r>
    </w:p>
    <w:p>
      <w:pPr>
        <w:spacing w:after="240"/>
      </w:pPr>
      <w:r>
        <w:rPr>
          <w:rFonts w:ascii="Arial" w:hAnsi="Arial"/>
          <w:b w:val="0"/>
          <w:i w:val="0"/>
          <w:color w:val="5F6368"/>
          <w:sz w:val="25"/>
        </w:rPr>
        <w:t>Unified Customer Prerequisite Setup Guide &amp; Operational Blueprint</w:t>
      </w:r>
    </w:p>
    <w:tbl>
      <w:tblPr>
        <w:tblW w:type="auto" w:w="0"/>
        <w:jc w:val="center"/>
        <w:tblLayout w:type="fixed"/>
        <w:tblLook w:firstColumn="1" w:firstRow="1" w:lastColumn="0" w:lastRow="0" w:noHBand="0" w:noVBand="1" w:val="04A0"/>
      </w:tblPr>
      <w:tblGrid>
        <w:gridCol w:w="4968"/>
        <w:gridCol w:w="4968"/>
      </w:tblGrid>
      <w:tr>
        <w:tc>
          <w:tcPr>
            <w:tcW w:type="dxa" w:w="3168"/>
            <w:shd w:fill="F8F9FA"/>
          </w:tcPr>
          <w:p>
            <w:pPr>
              <w:spacing w:after="40"/>
            </w:pPr>
            <w:r>
              <w:rPr>
                <w:rFonts w:ascii="Arial" w:hAnsi="Arial"/>
                <w:b/>
                <w:i w:val="0"/>
                <w:color w:val="202124"/>
                <w:sz w:val="19"/>
              </w:rPr>
              <w:t>Target Organization:</w:t>
            </w:r>
          </w:p>
        </w:tc>
        <w:tc>
          <w:tcPr>
            <w:tcW w:type="dxa" w:w="6624"/>
            <w:shd w:fill="FFFFFF"/>
          </w:tcPr>
          <w:p>
            <w:pPr>
              <w:spacing w:after="40"/>
            </w:pPr>
            <w:r>
              <w:rPr>
                <w:rFonts w:ascii="Arial" w:hAnsi="Arial"/>
                <w:b w:val="0"/>
                <w:i w:val="0"/>
                <w:color w:val="202124"/>
                <w:sz w:val="19"/>
              </w:rPr>
              <w:t>Nu Pagamentos S.A. (Nubank)</w:t>
            </w:r>
          </w:p>
        </w:tc>
      </w:tr>
      <w:tr>
        <w:tc>
          <w:tcPr>
            <w:tcW w:type="dxa" w:w="3168"/>
            <w:shd w:fill="F8F9FA"/>
          </w:tcPr>
          <w:p>
            <w:pPr>
              <w:spacing w:after="40"/>
            </w:pPr>
            <w:r>
              <w:rPr>
                <w:rFonts w:ascii="Arial" w:hAnsi="Arial"/>
                <w:b/>
                <w:i w:val="0"/>
                <w:color w:val="202124"/>
                <w:sz w:val="19"/>
              </w:rPr>
              <w:t>Engagement Framework:</w:t>
            </w:r>
          </w:p>
        </w:tc>
        <w:tc>
          <w:tcPr>
            <w:tcW w:type="dxa" w:w="6624"/>
            <w:shd w:fill="FFFFFF"/>
          </w:tcPr>
          <w:p>
            <w:pPr>
              <w:spacing w:after="40"/>
            </w:pPr>
            <w:r>
              <w:rPr>
                <w:rFonts w:ascii="Arial" w:hAnsi="Arial"/>
                <w:b w:val="0"/>
                <w:i w:val="0"/>
                <w:color w:val="202124"/>
                <w:sz w:val="19"/>
              </w:rPr>
              <w:t>Google Cloud Security Posture Review (CSPR) v3.0</w:t>
            </w:r>
          </w:p>
        </w:tc>
      </w:tr>
      <w:tr>
        <w:tc>
          <w:tcPr>
            <w:tcW w:type="dxa" w:w="3168"/>
            <w:shd w:fill="F8F9FA"/>
          </w:tcPr>
          <w:p>
            <w:pPr>
              <w:spacing w:after="40"/>
            </w:pPr>
            <w:r>
              <w:rPr>
                <w:rFonts w:ascii="Arial" w:hAnsi="Arial"/>
                <w:b/>
                <w:i w:val="0"/>
                <w:color w:val="202124"/>
                <w:sz w:val="19"/>
              </w:rPr>
              <w:t>Google Cloud PSO Lead:</w:t>
            </w:r>
          </w:p>
        </w:tc>
        <w:tc>
          <w:tcPr>
            <w:tcW w:type="dxa" w:w="6624"/>
            <w:shd w:fill="FFFFFF"/>
          </w:tcPr>
          <w:p>
            <w:pPr>
              <w:spacing w:after="40"/>
            </w:pPr>
            <w:r>
              <w:rPr>
                <w:rFonts w:ascii="Arial" w:hAnsi="Arial"/>
                <w:b w:val="0"/>
                <w:i w:val="0"/>
                <w:color w:val="202124"/>
                <w:sz w:val="19"/>
              </w:rPr>
              <w:t>Joabson Saccomani (jsaccomani@google.com)</w:t>
            </w:r>
          </w:p>
        </w:tc>
      </w:tr>
      <w:tr>
        <w:tc>
          <w:tcPr>
            <w:tcW w:type="dxa" w:w="3168"/>
            <w:shd w:fill="F8F9FA"/>
          </w:tcPr>
          <w:p>
            <w:pPr>
              <w:spacing w:after="40"/>
            </w:pPr>
            <w:r>
              <w:rPr>
                <w:rFonts w:ascii="Arial" w:hAnsi="Arial"/>
                <w:b/>
                <w:i w:val="0"/>
                <w:color w:val="202124"/>
                <w:sz w:val="19"/>
              </w:rPr>
              <w:t>Primary Audience:</w:t>
            </w:r>
          </w:p>
        </w:tc>
        <w:tc>
          <w:tcPr>
            <w:tcW w:type="dxa" w:w="6624"/>
            <w:shd w:fill="FFFFFF"/>
          </w:tcPr>
          <w:p>
            <w:pPr>
              <w:spacing w:after="40"/>
            </w:pPr>
            <w:r>
              <w:rPr>
                <w:rFonts w:ascii="Arial" w:hAnsi="Arial"/>
                <w:b w:val="0"/>
                <w:i w:val="0"/>
                <w:color w:val="202124"/>
                <w:sz w:val="19"/>
              </w:rPr>
              <w:t>Nubank Cloud Security &amp; Infrastructure Engineering Teams</w:t>
            </w:r>
          </w:p>
        </w:tc>
      </w:tr>
      <w:tr>
        <w:tc>
          <w:tcPr>
            <w:tcW w:type="dxa" w:w="3168"/>
            <w:shd w:fill="F8F9FA"/>
          </w:tcPr>
          <w:p>
            <w:pPr>
              <w:spacing w:after="40"/>
            </w:pPr>
            <w:r>
              <w:rPr>
                <w:rFonts w:ascii="Arial" w:hAnsi="Arial"/>
                <w:b/>
                <w:i w:val="0"/>
                <w:color w:val="202124"/>
                <w:sz w:val="19"/>
              </w:rPr>
              <w:t>Scope of Document:</w:t>
            </w:r>
          </w:p>
        </w:tc>
        <w:tc>
          <w:tcPr>
            <w:tcW w:type="dxa" w:w="6624"/>
            <w:shd w:fill="FFFFFF"/>
          </w:tcPr>
          <w:p>
            <w:pPr>
              <w:spacing w:after="40"/>
            </w:pPr>
            <w:r>
              <w:rPr>
                <w:rFonts w:ascii="Arial" w:hAnsi="Arial"/>
                <w:b w:val="0"/>
                <w:i w:val="0"/>
                <w:color w:val="202124"/>
                <w:sz w:val="19"/>
              </w:rPr>
              <w:t>Prerequisite Environment Setup (Steps 1 &amp; 2) and PSO Handoff (Step 3)</w:t>
            </w:r>
          </w:p>
        </w:tc>
      </w:tr>
    </w:tbl>
    <w:p>
      <w:pPr>
        <w:spacing w:after="160"/>
      </w:pPr>
    </w:p>
    <w:tbl>
      <w:tblPr>
        <w:tblW w:type="auto" w:w="0"/>
        <w:jc w:val="center"/>
        <w:tblLook w:firstColumn="1" w:firstRow="1" w:lastColumn="0" w:lastRow="0" w:noHBand="0" w:noVBand="1" w:val="04A0"/>
      </w:tblPr>
      <w:tblGrid>
        <w:gridCol w:w="9936"/>
      </w:tblGrid>
      <w:tr>
        <w:tc>
          <w:tcPr>
            <w:tcW w:type="dxa" w:w="9792"/>
            <w:shd w:fill="E8F0FE"/>
            <w:tcBorders>
              <w:top w:val="none"/>
              <w:left w:val="single" w:sz="36" w:space="0" w:color="1A73E8"/>
              <w:bottom w:val="none"/>
              <w:right w:val="none"/>
            </w:tcBorders>
          </w:tcPr>
          <w:p>
            <w:pPr>
              <w:spacing w:before="80" w:after="80" w:line="276" w:lineRule="auto"/>
            </w:pPr>
            <w:r>
              <w:rPr>
                <w:rFonts w:ascii="Arial" w:hAnsi="Arial"/>
                <w:b/>
                <w:i w:val="0"/>
                <w:color w:val="202124"/>
                <w:sz w:val="19"/>
              </w:rPr>
              <w:t xml:space="preserve">CUSTOMER DATA PRIVACY &amp; TENANT ISOLATION GUARANTEE: </w:t>
            </w:r>
            <w:r>
              <w:rPr>
                <w:rFonts w:ascii="Arial" w:hAnsi="Arial"/>
                <w:b w:val="0"/>
                <w:i w:val="0"/>
                <w:color w:val="202124"/>
                <w:sz w:val="19"/>
              </w:rPr>
              <w:t>Customer Tenant Isolation Guarantee: All data extraction, processing, and BigQuery storage occurs strictly within a dedicated, isolated GCP project owned by Nubank. No telemetry, customer data, or metadata is ever transferred to Google Cloud external environments. Google Cloud PSO operates with least-privilege IAM roles scoped exclusively to the assessment project.</w:t>
            </w:r>
          </w:p>
        </w:tc>
      </w:tr>
    </w:tbl>
    <w:p>
      <w:pPr>
        <w:spacing w:after="80"/>
      </w:pPr>
    </w:p>
    <w:p>
      <w:pPr>
        <w:spacing w:before="280" w:after="80"/>
      </w:pPr>
      <w:r>
        <w:rPr>
          <w:rFonts w:ascii="Arial" w:hAnsi="Arial"/>
          <w:b/>
          <w:i w:val="0"/>
          <w:color w:val="1A73E8"/>
          <w:sz w:val="26"/>
        </w:rPr>
        <w:t>1. Engagement Overview &amp; Architecture Security Principles</w:t>
      </w:r>
    </w:p>
    <w:p>
      <w:pPr>
        <w:spacing w:after="80" w:line="276" w:lineRule="auto"/>
      </w:pPr>
      <w:r>
        <w:rPr>
          <w:rFonts w:ascii="Arial" w:hAnsi="Arial"/>
          <w:b w:val="0"/>
          <w:i w:val="0"/>
          <w:color w:val="202124"/>
          <w:sz w:val="20"/>
        </w:rPr>
        <w:t>The Google Cloud CSPR team has been engaged by Nubank to perform a comprehensive Cloud Security Posture Review (CSPR). The objective is to evaluate cloud security posture against Google Cloud Security Best Practices, CIS Benchmarks, and industry regulatory frameworks, identifying architecture misconfigurations, IAM over-privileging, and threat risks across the organization.</w:t>
      </w:r>
    </w:p>
    <w:p>
      <w:pPr>
        <w:spacing w:after="80" w:line="276" w:lineRule="auto"/>
      </w:pPr>
      <w:r>
        <w:rPr>
          <w:rFonts w:ascii="Arial" w:hAnsi="Arial"/>
          <w:b w:val="0"/>
          <w:i w:val="0"/>
          <w:color w:val="202124"/>
          <w:sz w:val="20"/>
        </w:rPr>
        <w:t>To perform this review, Google Cloud PSO requires a dedicated GCP project to run the CSPR prerequisite toolkit container and store the audit telemetry in BigQuery.</w:t>
      </w:r>
    </w:p>
    <w:p>
      <w:pPr>
        <w:spacing w:after="80" w:line="276" w:lineRule="auto"/>
      </w:pPr>
      <w:r>
        <w:rPr>
          <w:rFonts w:ascii="Arial" w:hAnsi="Arial"/>
          <w:b w:val="0"/>
          <w:i w:val="0"/>
          <w:color w:val="202124"/>
          <w:sz w:val="20"/>
        </w:rPr>
        <w:t>Key architectural pillars:</w:t>
      </w:r>
    </w:p>
    <w:p>
      <w:pPr>
        <w:spacing w:after="80" w:line="276" w:lineRule="auto"/>
      </w:pPr>
      <w:r>
        <w:rPr>
          <w:rFonts w:ascii="Arial" w:hAnsi="Arial"/>
          <w:b/>
          <w:i w:val="0"/>
          <w:color w:val="202124"/>
          <w:sz w:val="20"/>
        </w:rPr>
        <w:t xml:space="preserve">• Dedicated Project: </w:t>
      </w:r>
      <w:r>
        <w:rPr>
          <w:rFonts w:ascii="Arial" w:hAnsi="Arial"/>
          <w:b w:val="0"/>
          <w:i w:val="0"/>
          <w:color w:val="202124"/>
          <w:sz w:val="20"/>
        </w:rPr>
        <w:t>A newly created, isolated GCP project under the Nubank Organization, strictly dedicated to this assessment. It must not host any business workloads.</w:t>
      </w:r>
    </w:p>
    <w:p>
      <w:pPr>
        <w:spacing w:after="80" w:line="276" w:lineRule="auto"/>
      </w:pPr>
      <w:r>
        <w:rPr>
          <w:rFonts w:ascii="Arial" w:hAnsi="Arial"/>
          <w:b/>
          <w:i w:val="0"/>
          <w:color w:val="202124"/>
          <w:sz w:val="20"/>
        </w:rPr>
        <w:t xml:space="preserve">• Autonomous Serverless Collector: </w:t>
      </w:r>
      <w:r>
        <w:rPr>
          <w:rFonts w:ascii="Arial" w:hAnsi="Arial"/>
          <w:b w:val="0"/>
          <w:i w:val="0"/>
          <w:color w:val="202124"/>
          <w:sz w:val="20"/>
        </w:rPr>
        <w:t>All scanning queries run through a dedicated Cloud Run Job assuming the identity of a restricted service account.</w:t>
      </w:r>
    </w:p>
    <w:p>
      <w:pPr>
        <w:spacing w:after="80" w:line="276" w:lineRule="auto"/>
      </w:pPr>
      <w:r>
        <w:rPr>
          <w:rFonts w:ascii="Arial" w:hAnsi="Arial"/>
          <w:b/>
          <w:i w:val="0"/>
          <w:color w:val="202124"/>
          <w:sz w:val="20"/>
        </w:rPr>
        <w:t xml:space="preserve">• Structured Ingestion: </w:t>
      </w:r>
      <w:r>
        <w:rPr>
          <w:rFonts w:ascii="Arial" w:hAnsi="Arial"/>
          <w:b w:val="0"/>
          <w:i w:val="0"/>
          <w:color w:val="202124"/>
          <w:sz w:val="20"/>
        </w:rPr>
        <w:t>Telemetry is structured across BigQuery datasets (cspr_cai, cspr_policy, cspr_rec, cspr_finding).</w:t>
      </w:r>
    </w:p>
    <w:p>
      <w:pPr>
        <w:spacing w:before="280" w:after="80"/>
      </w:pPr>
      <w:r>
        <w:rPr>
          <w:rFonts w:ascii="Arial" w:hAnsi="Arial"/>
          <w:b/>
          <w:i w:val="0"/>
          <w:color w:val="1A73E8"/>
          <w:sz w:val="26"/>
        </w:rPr>
        <w:t>2. Required Customer Administrator Roles (Before Starting)</w:t>
      </w:r>
    </w:p>
    <w:p>
      <w:pPr>
        <w:spacing w:after="80" w:line="276" w:lineRule="auto"/>
      </w:pPr>
      <w:r>
        <w:rPr>
          <w:rFonts w:ascii="Arial" w:hAnsi="Arial"/>
          <w:b w:val="0"/>
          <w:i w:val="0"/>
          <w:color w:val="202124"/>
          <w:sz w:val="20"/>
        </w:rPr>
        <w:t>To execute the setup, the Nubank Security Administrator running the script or manual commands must possess the following IAM permissions:</w:t>
      </w:r>
    </w:p>
    <w:tbl>
      <w:tblPr>
        <w:tblW w:type="auto" w:w="0"/>
        <w:jc w:val="center"/>
        <w:tblLayout w:type="fixed"/>
        <w:tblLook w:firstColumn="1" w:firstRow="1" w:lastColumn="0" w:lastRow="0" w:noHBand="0" w:noVBand="1" w:val="04A0"/>
      </w:tblPr>
      <w:tblGrid>
        <w:gridCol w:w="3312"/>
        <w:gridCol w:w="3312"/>
        <w:gridCol w:w="3312"/>
      </w:tblGrid>
      <w:tr>
        <w:tc>
          <w:tcPr>
            <w:tcW w:type="dxa" w:w="3264"/>
            <w:shd w:fill="1A73E8"/>
          </w:tcPr>
          <w:p>
            <w:pPr>
              <w:spacing w:before="60" w:after="60"/>
            </w:pPr>
            <w:r>
              <w:rPr>
                <w:rFonts w:ascii="Arial" w:hAnsi="Arial"/>
                <w:b/>
                <w:i w:val="0"/>
                <w:color w:val="FFFFFF"/>
                <w:sz w:val="19"/>
              </w:rPr>
              <w:t>Administrative Role</w:t>
            </w:r>
          </w:p>
        </w:tc>
        <w:tc>
          <w:tcPr>
            <w:tcW w:type="dxa" w:w="3264"/>
            <w:shd w:fill="1A73E8"/>
          </w:tcPr>
          <w:p>
            <w:pPr>
              <w:spacing w:before="60" w:after="60"/>
            </w:pPr>
            <w:r>
              <w:rPr>
                <w:rFonts w:ascii="Arial" w:hAnsi="Arial"/>
                <w:b/>
                <w:i w:val="0"/>
                <w:color w:val="FFFFFF"/>
                <w:sz w:val="19"/>
              </w:rPr>
              <w:t>Required Scope</w:t>
            </w:r>
          </w:p>
        </w:tc>
        <w:tc>
          <w:tcPr>
            <w:tcW w:type="dxa" w:w="3264"/>
            <w:shd w:fill="1A73E8"/>
          </w:tcPr>
          <w:p>
            <w:pPr>
              <w:spacing w:before="60" w:after="60"/>
            </w:pPr>
            <w:r>
              <w:rPr>
                <w:rFonts w:ascii="Arial" w:hAnsi="Arial"/>
                <w:b/>
                <w:i w:val="0"/>
                <w:color w:val="FFFFFF"/>
                <w:sz w:val="19"/>
              </w:rPr>
              <w:t>Operational Purpose</w:t>
            </w:r>
          </w:p>
        </w:tc>
      </w:tr>
      <w:tr>
        <w:tc>
          <w:tcPr>
            <w:tcW w:type="dxa" w:w="3264"/>
            <w:shd w:fill="FFFFFF"/>
          </w:tcPr>
          <w:p>
            <w:pPr>
              <w:spacing w:before="40" w:after="40"/>
            </w:pPr>
            <w:r>
              <w:rPr>
                <w:rFonts w:ascii="Arial" w:hAnsi="Arial"/>
                <w:b w:val="0"/>
                <w:i w:val="0"/>
                <w:color w:val="202124"/>
                <w:sz w:val="18"/>
              </w:rPr>
              <w:t>roles/resourcemanager.organizationAdmin</w:t>
            </w:r>
          </w:p>
        </w:tc>
        <w:tc>
          <w:tcPr>
            <w:tcW w:type="dxa" w:w="3264"/>
            <w:shd w:fill="FFFFFF"/>
          </w:tcPr>
          <w:p>
            <w:pPr>
              <w:spacing w:before="40" w:after="40"/>
            </w:pPr>
            <w:r>
              <w:rPr>
                <w:rFonts w:ascii="Arial" w:hAnsi="Arial"/>
                <w:b w:val="0"/>
                <w:i w:val="0"/>
                <w:color w:val="202124"/>
                <w:sz w:val="18"/>
              </w:rPr>
              <w:t>Organization Level</w:t>
            </w:r>
          </w:p>
        </w:tc>
        <w:tc>
          <w:tcPr>
            <w:tcW w:type="dxa" w:w="3264"/>
            <w:shd w:fill="FFFFFF"/>
          </w:tcPr>
          <w:p>
            <w:pPr>
              <w:spacing w:before="40" w:after="40"/>
            </w:pPr>
            <w:r>
              <w:rPr>
                <w:rFonts w:ascii="Arial" w:hAnsi="Arial"/>
                <w:b w:val="0"/>
                <w:i w:val="0"/>
                <w:color w:val="202124"/>
                <w:sz w:val="18"/>
              </w:rPr>
              <w:t>Grant viewer roles to the Cloud Run Service Account across the organization.</w:t>
            </w:r>
          </w:p>
        </w:tc>
      </w:tr>
      <w:tr>
        <w:tc>
          <w:tcPr>
            <w:tcW w:type="dxa" w:w="3264"/>
            <w:shd w:fill="F8F9FA"/>
          </w:tcPr>
          <w:p>
            <w:pPr>
              <w:spacing w:before="40" w:after="40"/>
            </w:pPr>
            <w:r>
              <w:rPr>
                <w:rFonts w:ascii="Arial" w:hAnsi="Arial"/>
                <w:b w:val="0"/>
                <w:i w:val="0"/>
                <w:color w:val="202124"/>
                <w:sz w:val="18"/>
              </w:rPr>
              <w:t>roles/resourcemanager.folderAdmin</w:t>
            </w:r>
          </w:p>
        </w:tc>
        <w:tc>
          <w:tcPr>
            <w:tcW w:type="dxa" w:w="3264"/>
            <w:shd w:fill="F8F9FA"/>
          </w:tcPr>
          <w:p>
            <w:pPr>
              <w:spacing w:before="40" w:after="40"/>
            </w:pPr>
            <w:r>
              <w:rPr>
                <w:rFonts w:ascii="Arial" w:hAnsi="Arial"/>
                <w:b w:val="0"/>
                <w:i w:val="0"/>
                <w:color w:val="202124"/>
                <w:sz w:val="18"/>
              </w:rPr>
              <w:t>Organization Level</w:t>
            </w:r>
          </w:p>
        </w:tc>
        <w:tc>
          <w:tcPr>
            <w:tcW w:type="dxa" w:w="3264"/>
            <w:shd w:fill="F8F9FA"/>
          </w:tcPr>
          <w:p>
            <w:pPr>
              <w:spacing w:before="40" w:after="40"/>
            </w:pPr>
            <w:r>
              <w:rPr>
                <w:rFonts w:ascii="Arial" w:hAnsi="Arial"/>
                <w:b w:val="0"/>
                <w:i w:val="0"/>
                <w:color w:val="202124"/>
                <w:sz w:val="18"/>
              </w:rPr>
              <w:t>Create the dedicated folder google-cspr-nubank to isolate the CSPR project.</w:t>
            </w:r>
          </w:p>
        </w:tc>
      </w:tr>
      <w:tr>
        <w:tc>
          <w:tcPr>
            <w:tcW w:type="dxa" w:w="3264"/>
            <w:shd w:fill="FFFFFF"/>
          </w:tcPr>
          <w:p>
            <w:pPr>
              <w:spacing w:before="40" w:after="40"/>
            </w:pPr>
            <w:r>
              <w:rPr>
                <w:rFonts w:ascii="Arial" w:hAnsi="Arial"/>
                <w:b w:val="0"/>
                <w:i w:val="0"/>
                <w:color w:val="202124"/>
                <w:sz w:val="18"/>
              </w:rPr>
              <w:t>roles/billing.user</w:t>
            </w:r>
          </w:p>
        </w:tc>
        <w:tc>
          <w:tcPr>
            <w:tcW w:type="dxa" w:w="3264"/>
            <w:shd w:fill="FFFFFF"/>
          </w:tcPr>
          <w:p>
            <w:pPr>
              <w:spacing w:before="40" w:after="40"/>
            </w:pPr>
            <w:r>
              <w:rPr>
                <w:rFonts w:ascii="Arial" w:hAnsi="Arial"/>
                <w:b w:val="0"/>
                <w:i w:val="0"/>
                <w:color w:val="202124"/>
                <w:sz w:val="18"/>
              </w:rPr>
              <w:t>Billing Account Level</w:t>
            </w:r>
          </w:p>
        </w:tc>
        <w:tc>
          <w:tcPr>
            <w:tcW w:type="dxa" w:w="3264"/>
            <w:shd w:fill="FFFFFF"/>
          </w:tcPr>
          <w:p>
            <w:pPr>
              <w:spacing w:before="40" w:after="40"/>
            </w:pPr>
            <w:r>
              <w:rPr>
                <w:rFonts w:ascii="Arial" w:hAnsi="Arial"/>
                <w:b w:val="0"/>
                <w:i w:val="0"/>
                <w:color w:val="202124"/>
                <w:sz w:val="18"/>
              </w:rPr>
              <w:t>Link the active billing account to the newly provisioned CSPR project.</w:t>
            </w:r>
          </w:p>
        </w:tc>
      </w:tr>
      <w:tr>
        <w:tc>
          <w:tcPr>
            <w:tcW w:type="dxa" w:w="3264"/>
            <w:shd w:fill="F8F9FA"/>
          </w:tcPr>
          <w:p>
            <w:pPr>
              <w:spacing w:before="40" w:after="40"/>
            </w:pPr>
            <w:r>
              <w:rPr>
                <w:rFonts w:ascii="Arial" w:hAnsi="Arial"/>
                <w:b w:val="0"/>
                <w:i w:val="0"/>
                <w:color w:val="202124"/>
                <w:sz w:val="18"/>
              </w:rPr>
              <w:t>roles/orgpolicy.policyAdmin</w:t>
            </w:r>
          </w:p>
        </w:tc>
        <w:tc>
          <w:tcPr>
            <w:tcW w:type="dxa" w:w="3264"/>
            <w:shd w:fill="F8F9FA"/>
          </w:tcPr>
          <w:p>
            <w:pPr>
              <w:spacing w:before="40" w:after="40"/>
            </w:pPr>
            <w:r>
              <w:rPr>
                <w:rFonts w:ascii="Arial" w:hAnsi="Arial"/>
                <w:b w:val="0"/>
                <w:i w:val="0"/>
                <w:color w:val="202124"/>
                <w:sz w:val="18"/>
              </w:rPr>
              <w:t>Project / Org Level</w:t>
            </w:r>
          </w:p>
        </w:tc>
        <w:tc>
          <w:tcPr>
            <w:tcW w:type="dxa" w:w="3264"/>
            <w:shd w:fill="F8F9FA"/>
          </w:tcPr>
          <w:p>
            <w:pPr>
              <w:spacing w:before="40" w:after="40"/>
            </w:pPr>
            <w:r>
              <w:rPr>
                <w:rFonts w:ascii="Arial" w:hAnsi="Arial"/>
                <w:b w:val="0"/>
                <w:i w:val="0"/>
                <w:color w:val="202124"/>
                <w:sz w:val="18"/>
              </w:rPr>
              <w:t>Override Domain Restricted Sharing (DRS) constraint at the CSPR project level.</w:t>
            </w:r>
          </w:p>
        </w:tc>
      </w:tr>
      <w:tr>
        <w:tc>
          <w:tcPr>
            <w:tcW w:type="dxa" w:w="3264"/>
            <w:shd w:fill="FFFFFF"/>
          </w:tcPr>
          <w:p>
            <w:pPr>
              <w:spacing w:before="40" w:after="40"/>
            </w:pPr>
            <w:r>
              <w:rPr>
                <w:rFonts w:ascii="Arial" w:hAnsi="Arial"/>
                <w:b w:val="0"/>
                <w:i w:val="0"/>
                <w:color w:val="202124"/>
                <w:sz w:val="18"/>
              </w:rPr>
              <w:t>roles/owner (or Project Creator)</w:t>
            </w:r>
          </w:p>
        </w:tc>
        <w:tc>
          <w:tcPr>
            <w:tcW w:type="dxa" w:w="3264"/>
            <w:shd w:fill="FFFFFF"/>
          </w:tcPr>
          <w:p>
            <w:pPr>
              <w:spacing w:before="40" w:after="40"/>
            </w:pPr>
            <w:r>
              <w:rPr>
                <w:rFonts w:ascii="Arial" w:hAnsi="Arial"/>
                <w:b w:val="0"/>
                <w:i w:val="0"/>
                <w:color w:val="202124"/>
                <w:sz w:val="18"/>
              </w:rPr>
              <w:t>Project Level</w:t>
            </w:r>
          </w:p>
        </w:tc>
        <w:tc>
          <w:tcPr>
            <w:tcW w:type="dxa" w:w="3264"/>
            <w:shd w:fill="FFFFFF"/>
          </w:tcPr>
          <w:p>
            <w:pPr>
              <w:spacing w:before="40" w:after="40"/>
            </w:pPr>
            <w:r>
              <w:rPr>
                <w:rFonts w:ascii="Arial" w:hAnsi="Arial"/>
                <w:b w:val="0"/>
                <w:i w:val="0"/>
                <w:color w:val="202124"/>
                <w:sz w:val="18"/>
              </w:rPr>
              <w:t>Enable required Google Cloud APIs, create Artifact Registry, and provision Service Account.</w:t>
            </w:r>
          </w:p>
        </w:tc>
      </w:tr>
    </w:tbl>
    <w:p>
      <w:pPr>
        <w:spacing w:after="160"/>
      </w:pPr>
    </w:p>
    <w:p>
      <w:pPr>
        <w:spacing w:before="280" w:after="80"/>
      </w:pPr>
      <w:r>
        <w:rPr>
          <w:rFonts w:ascii="Arial" w:hAnsi="Arial"/>
          <w:b/>
          <w:i w:val="0"/>
          <w:color w:val="1A73E8"/>
          <w:sz w:val="26"/>
        </w:rPr>
        <w:t>3. Method 1 (Recommended): Automated Script Execution</w:t>
      </w:r>
    </w:p>
    <w:p>
      <w:pPr>
        <w:spacing w:after="80" w:line="276" w:lineRule="auto"/>
      </w:pPr>
      <w:r>
        <w:rPr>
          <w:rFonts w:ascii="Arial" w:hAnsi="Arial"/>
          <w:b w:val="0"/>
          <w:i w:val="0"/>
          <w:color w:val="202124"/>
          <w:sz w:val="20"/>
        </w:rPr>
        <w:t>To eliminate manual copy-pasting, prevent configuration drift, and ensure rapid execution, Google Cloud PSO provides a fully automated, idempotent Bash script:</w:t>
      </w:r>
    </w:p>
    <w:p>
      <w:pPr>
        <w:spacing w:after="80" w:line="276" w:lineRule="auto"/>
      </w:pPr>
      <w:r>
        <w:rPr>
          <w:rFonts w:ascii="Arial" w:hAnsi="Arial"/>
          <w:b/>
          <w:i w:val="0"/>
          <w:color w:val="202124"/>
          <w:sz w:val="20"/>
        </w:rPr>
        <w:t xml:space="preserve">• </w:t>
      </w:r>
      <w:r>
        <w:rPr>
          <w:rFonts w:ascii="Arial" w:hAnsi="Arial"/>
          <w:b w:val="0"/>
          <w:i w:val="0"/>
          <w:color w:val="202124"/>
          <w:sz w:val="20"/>
        </w:rPr>
        <w:t>Script Location: scripts/01_setup_cspr_prereqs.sh (available in the engagement package)</w:t>
      </w:r>
    </w:p>
    <w:p>
      <w:pPr>
        <w:spacing w:after="80" w:line="276" w:lineRule="auto"/>
      </w:pPr>
      <w:r>
        <w:rPr>
          <w:rFonts w:ascii="Arial" w:hAnsi="Arial"/>
          <w:b/>
          <w:i w:val="0"/>
          <w:color w:val="202124"/>
          <w:sz w:val="20"/>
        </w:rPr>
        <w:t xml:space="preserve">• </w:t>
      </w:r>
      <w:r>
        <w:rPr>
          <w:rFonts w:ascii="Arial" w:hAnsi="Arial"/>
          <w:b w:val="0"/>
          <w:i w:val="0"/>
          <w:color w:val="202124"/>
          <w:sz w:val="20"/>
        </w:rPr>
        <w:t>Execution Environment: Google Cloud Shell (recommended) or any authenticated terminal with gcloud installed.</w:t>
      </w:r>
    </w:p>
    <w:p>
      <w:pPr>
        <w:spacing w:before="200" w:after="60"/>
      </w:pPr>
      <w:r>
        <w:rPr>
          <w:rFonts w:ascii="Arial" w:hAnsi="Arial"/>
          <w:b/>
          <w:i w:val="0"/>
          <w:color w:val="202124"/>
          <w:sz w:val="22"/>
        </w:rPr>
        <w:t>3.1 Launching the Script in Google Cloud Shell</w:t>
      </w:r>
    </w:p>
    <w:p>
      <w:pPr>
        <w:spacing w:after="80" w:line="276" w:lineRule="auto"/>
      </w:pPr>
      <w:r>
        <w:rPr>
          <w:rFonts w:ascii="Arial" w:hAnsi="Arial"/>
          <w:b w:val="0"/>
          <w:i w:val="0"/>
          <w:color w:val="202124"/>
          <w:sz w:val="20"/>
        </w:rPr>
        <w:t>Open Google Cloud Shell in Nubank GCP Console, upload the setup package, and execute:</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 Make the script executable and run:</w:t>
              <w:br/>
              <w:t>chmod +x scripts/01_setup_cspr_prereqs.sh</w:t>
              <w:br/>
              <w:t>./scripts/01_setup_cspr_prereqs.sh</w:t>
            </w:r>
          </w:p>
        </w:tc>
      </w:tr>
    </w:tbl>
    <w:p>
      <w:pPr>
        <w:spacing w:after="80"/>
      </w:pPr>
    </w:p>
    <w:p>
      <w:pPr>
        <w:spacing w:before="200" w:after="60"/>
      </w:pPr>
      <w:r>
        <w:rPr>
          <w:rFonts w:ascii="Arial" w:hAnsi="Arial"/>
          <w:b/>
          <w:i w:val="0"/>
          <w:color w:val="202124"/>
          <w:sz w:val="22"/>
        </w:rPr>
        <w:t>3.2 Intelligent Auto-Detection &amp; Interactive Prompts</w:t>
      </w:r>
    </w:p>
    <w:p>
      <w:pPr>
        <w:spacing w:after="80" w:line="276" w:lineRule="auto"/>
      </w:pPr>
      <w:r>
        <w:rPr>
          <w:rFonts w:ascii="Arial" w:hAnsi="Arial"/>
          <w:b w:val="0"/>
          <w:i w:val="0"/>
          <w:color w:val="202124"/>
          <w:sz w:val="20"/>
        </w:rPr>
        <w:t>The script automatically queries the GCP environment to detect:</w:t>
      </w:r>
    </w:p>
    <w:p>
      <w:pPr>
        <w:spacing w:after="80" w:line="276" w:lineRule="auto"/>
      </w:pPr>
      <w:r>
        <w:rPr>
          <w:rFonts w:ascii="Arial" w:hAnsi="Arial"/>
          <w:b/>
          <w:i w:val="0"/>
          <w:color w:val="202124"/>
          <w:sz w:val="20"/>
        </w:rPr>
        <w:t xml:space="preserve">1. Organization ID: </w:t>
      </w:r>
      <w:r>
        <w:rPr>
          <w:rFonts w:ascii="Arial" w:hAnsi="Arial"/>
          <w:b w:val="0"/>
          <w:i w:val="0"/>
          <w:color w:val="202124"/>
          <w:sz w:val="20"/>
        </w:rPr>
        <w:t>Queries accessible organizations via gcloud organizations list and automatically pre-selects Nubank Organization ID (31564119954).</w:t>
      </w:r>
    </w:p>
    <w:p>
      <w:pPr>
        <w:spacing w:after="80" w:line="276" w:lineRule="auto"/>
      </w:pPr>
      <w:r>
        <w:rPr>
          <w:rFonts w:ascii="Arial" w:hAnsi="Arial"/>
          <w:b/>
          <w:i w:val="0"/>
          <w:color w:val="202124"/>
          <w:sz w:val="20"/>
        </w:rPr>
        <w:t xml:space="preserve">2. Billing Account: </w:t>
      </w:r>
      <w:r>
        <w:rPr>
          <w:rFonts w:ascii="Arial" w:hAnsi="Arial"/>
          <w:b w:val="0"/>
          <w:i w:val="0"/>
          <w:color w:val="202124"/>
          <w:sz w:val="20"/>
        </w:rPr>
        <w:t>Queries open billing accounts via gcloud billing accounts list and pre-selects the primary billing account.</w:t>
      </w:r>
    </w:p>
    <w:p>
      <w:pPr>
        <w:spacing w:after="80" w:line="276" w:lineRule="auto"/>
      </w:pPr>
      <w:r>
        <w:rPr>
          <w:rFonts w:ascii="Arial" w:hAnsi="Arial"/>
          <w:b/>
          <w:i w:val="0"/>
          <w:color w:val="202124"/>
          <w:sz w:val="20"/>
        </w:rPr>
        <w:t xml:space="preserve">3. Security Reviewer: </w:t>
      </w:r>
      <w:r>
        <w:rPr>
          <w:rFonts w:ascii="Arial" w:hAnsi="Arial"/>
          <w:b w:val="0"/>
          <w:i w:val="0"/>
          <w:color w:val="202124"/>
          <w:sz w:val="20"/>
        </w:rPr>
        <w:t>Pre-populates Joabson Saccomani (jsaccomani@google.com) to receive audit and deploy access.</w:t>
      </w:r>
    </w:p>
    <w:p>
      <w:pPr>
        <w:spacing w:after="80" w:line="276" w:lineRule="auto"/>
      </w:pPr>
      <w:r>
        <w:rPr>
          <w:rFonts w:ascii="Arial" w:hAnsi="Arial"/>
          <w:b/>
          <w:i w:val="0"/>
          <w:color w:val="202124"/>
          <w:sz w:val="20"/>
        </w:rPr>
        <w:t xml:space="preserve">4. Confirmation Gate: </w:t>
      </w:r>
      <w:r>
        <w:rPr>
          <w:rFonts w:ascii="Arial" w:hAnsi="Arial"/>
          <w:b w:val="0"/>
          <w:i w:val="0"/>
          <w:color w:val="202124"/>
          <w:sz w:val="20"/>
        </w:rPr>
        <w:t>Displays a structured parameter table and requires explicit confirmation before applying any changes.</w:t>
      </w:r>
    </w:p>
    <w:p>
      <w:pPr>
        <w:spacing w:before="200" w:after="60"/>
      </w:pPr>
      <w:r>
        <w:rPr>
          <w:rFonts w:ascii="Arial" w:hAnsi="Arial"/>
          <w:b/>
          <w:i w:val="0"/>
          <w:color w:val="202124"/>
          <w:sz w:val="22"/>
        </w:rPr>
        <w:t>3.3 Automated 7-Step Deployment Process</w:t>
      </w:r>
    </w:p>
    <w:p>
      <w:pPr>
        <w:spacing w:after="80" w:line="276" w:lineRule="auto"/>
      </w:pPr>
      <w:r>
        <w:rPr>
          <w:rFonts w:ascii="Arial" w:hAnsi="Arial"/>
          <w:b w:val="0"/>
          <w:i w:val="0"/>
          <w:color w:val="202124"/>
          <w:sz w:val="20"/>
        </w:rPr>
        <w:t>Upon confirmation, the script executes all prerequisite operations:</w:t>
      </w:r>
    </w:p>
    <w:tbl>
      <w:tblPr>
        <w:tblW w:type="auto" w:w="0"/>
        <w:jc w:val="center"/>
        <w:tblLayout w:type="fixed"/>
        <w:tblLook w:firstColumn="1" w:firstRow="1" w:lastColumn="0" w:lastRow="0" w:noHBand="0" w:noVBand="1" w:val="04A0"/>
      </w:tblPr>
      <w:tblGrid>
        <w:gridCol w:w="3312"/>
        <w:gridCol w:w="3312"/>
        <w:gridCol w:w="3312"/>
      </w:tblGrid>
      <w:tr>
        <w:tc>
          <w:tcPr>
            <w:tcW w:type="dxa" w:w="3264"/>
            <w:shd w:fill="1A73E8"/>
          </w:tcPr>
          <w:p>
            <w:pPr>
              <w:spacing w:before="60" w:after="60"/>
            </w:pPr>
            <w:r>
              <w:rPr>
                <w:rFonts w:ascii="Arial" w:hAnsi="Arial"/>
                <w:b/>
                <w:i w:val="0"/>
                <w:color w:val="FFFFFF"/>
                <w:sz w:val="19"/>
              </w:rPr>
              <w:t>Step #</w:t>
            </w:r>
          </w:p>
        </w:tc>
        <w:tc>
          <w:tcPr>
            <w:tcW w:type="dxa" w:w="3264"/>
            <w:shd w:fill="1A73E8"/>
          </w:tcPr>
          <w:p>
            <w:pPr>
              <w:spacing w:before="60" w:after="60"/>
            </w:pPr>
            <w:r>
              <w:rPr>
                <w:rFonts w:ascii="Arial" w:hAnsi="Arial"/>
                <w:b/>
                <w:i w:val="0"/>
                <w:color w:val="FFFFFF"/>
                <w:sz w:val="19"/>
              </w:rPr>
              <w:t>Execution Phase</w:t>
            </w:r>
          </w:p>
        </w:tc>
        <w:tc>
          <w:tcPr>
            <w:tcW w:type="dxa" w:w="3264"/>
            <w:shd w:fill="1A73E8"/>
          </w:tcPr>
          <w:p>
            <w:pPr>
              <w:spacing w:before="60" w:after="60"/>
            </w:pPr>
            <w:r>
              <w:rPr>
                <w:rFonts w:ascii="Arial" w:hAnsi="Arial"/>
                <w:b/>
                <w:i w:val="0"/>
                <w:color w:val="FFFFFF"/>
                <w:sz w:val="19"/>
              </w:rPr>
              <w:t>Automated Technical Actions Performed</w:t>
            </w:r>
          </w:p>
        </w:tc>
      </w:tr>
      <w:tr>
        <w:tc>
          <w:tcPr>
            <w:tcW w:type="dxa" w:w="3264"/>
            <w:shd w:fill="FFFFFF"/>
          </w:tcPr>
          <w:p>
            <w:pPr>
              <w:spacing w:before="40" w:after="40"/>
            </w:pPr>
            <w:r>
              <w:rPr>
                <w:rFonts w:ascii="Arial" w:hAnsi="Arial"/>
                <w:b w:val="0"/>
                <w:i w:val="0"/>
                <w:color w:val="202124"/>
                <w:sz w:val="18"/>
              </w:rPr>
              <w:t>[1/7]</w:t>
            </w:r>
          </w:p>
        </w:tc>
        <w:tc>
          <w:tcPr>
            <w:tcW w:type="dxa" w:w="3264"/>
            <w:shd w:fill="FFFFFF"/>
          </w:tcPr>
          <w:p>
            <w:pPr>
              <w:spacing w:before="40" w:after="40"/>
            </w:pPr>
            <w:r>
              <w:rPr>
                <w:rFonts w:ascii="Arial" w:hAnsi="Arial"/>
                <w:b w:val="0"/>
                <w:i w:val="0"/>
                <w:color w:val="202124"/>
                <w:sz w:val="18"/>
              </w:rPr>
              <w:t>Project &amp; Billing</w:t>
            </w:r>
          </w:p>
        </w:tc>
        <w:tc>
          <w:tcPr>
            <w:tcW w:type="dxa" w:w="3264"/>
            <w:shd w:fill="FFFFFF"/>
          </w:tcPr>
          <w:p>
            <w:pPr>
              <w:spacing w:before="40" w:after="40"/>
            </w:pPr>
            <w:r>
              <w:rPr>
                <w:rFonts w:ascii="Arial" w:hAnsi="Arial"/>
                <w:b w:val="0"/>
                <w:i w:val="0"/>
                <w:color w:val="202124"/>
                <w:sz w:val="18"/>
              </w:rPr>
              <w:t>Verifies or creates dedicated folder google-cspr-nubank and project cspr-assessment-nubank, then links billing.</w:t>
            </w:r>
          </w:p>
        </w:tc>
      </w:tr>
      <w:tr>
        <w:tc>
          <w:tcPr>
            <w:tcW w:type="dxa" w:w="3264"/>
            <w:shd w:fill="F8F9FA"/>
          </w:tcPr>
          <w:p>
            <w:pPr>
              <w:spacing w:before="40" w:after="40"/>
            </w:pPr>
            <w:r>
              <w:rPr>
                <w:rFonts w:ascii="Arial" w:hAnsi="Arial"/>
                <w:b w:val="0"/>
                <w:i w:val="0"/>
                <w:color w:val="202124"/>
                <w:sz w:val="18"/>
              </w:rPr>
              <w:t>[2/7]</w:t>
            </w:r>
          </w:p>
        </w:tc>
        <w:tc>
          <w:tcPr>
            <w:tcW w:type="dxa" w:w="3264"/>
            <w:shd w:fill="F8F9FA"/>
          </w:tcPr>
          <w:p>
            <w:pPr>
              <w:spacing w:before="40" w:after="40"/>
            </w:pPr>
            <w:r>
              <w:rPr>
                <w:rFonts w:ascii="Arial" w:hAnsi="Arial"/>
                <w:b w:val="0"/>
                <w:i w:val="0"/>
                <w:color w:val="202124"/>
                <w:sz w:val="18"/>
              </w:rPr>
              <w:t>API Enablement</w:t>
            </w:r>
          </w:p>
        </w:tc>
        <w:tc>
          <w:tcPr>
            <w:tcW w:type="dxa" w:w="3264"/>
            <w:shd w:fill="F8F9FA"/>
          </w:tcPr>
          <w:p>
            <w:pPr>
              <w:spacing w:before="40" w:after="40"/>
            </w:pPr>
            <w:r>
              <w:rPr>
                <w:rFonts w:ascii="Arial" w:hAnsi="Arial"/>
                <w:b w:val="0"/>
                <w:i w:val="0"/>
                <w:color w:val="202124"/>
                <w:sz w:val="18"/>
              </w:rPr>
              <w:t>Enables the 7 mandatory APIs: cloudasset, bigquery, run, artifactregistry, policyanalyzer, recommender, serviceusage.</w:t>
            </w:r>
          </w:p>
        </w:tc>
      </w:tr>
      <w:tr>
        <w:tc>
          <w:tcPr>
            <w:tcW w:type="dxa" w:w="3264"/>
            <w:shd w:fill="FFFFFF"/>
          </w:tcPr>
          <w:p>
            <w:pPr>
              <w:spacing w:before="40" w:after="40"/>
            </w:pPr>
            <w:r>
              <w:rPr>
                <w:rFonts w:ascii="Arial" w:hAnsi="Arial"/>
                <w:b w:val="0"/>
                <w:i w:val="0"/>
                <w:color w:val="202124"/>
                <w:sz w:val="18"/>
              </w:rPr>
              <w:t>[3/7]</w:t>
            </w:r>
          </w:p>
        </w:tc>
        <w:tc>
          <w:tcPr>
            <w:tcW w:type="dxa" w:w="3264"/>
            <w:shd w:fill="FFFFFF"/>
          </w:tcPr>
          <w:p>
            <w:pPr>
              <w:spacing w:before="40" w:after="40"/>
            </w:pPr>
            <w:r>
              <w:rPr>
                <w:rFonts w:ascii="Arial" w:hAnsi="Arial"/>
                <w:b w:val="0"/>
                <w:i w:val="0"/>
                <w:color w:val="202124"/>
                <w:sz w:val="18"/>
              </w:rPr>
              <w:t>DRS Configuration</w:t>
            </w:r>
          </w:p>
        </w:tc>
        <w:tc>
          <w:tcPr>
            <w:tcW w:type="dxa" w:w="3264"/>
            <w:shd w:fill="FFFFFF"/>
          </w:tcPr>
          <w:p>
            <w:pPr>
              <w:spacing w:before="40" w:after="40"/>
            </w:pPr>
            <w:r>
              <w:rPr>
                <w:rFonts w:ascii="Arial" w:hAnsi="Arial"/>
                <w:b w:val="0"/>
                <w:i w:val="0"/>
                <w:color w:val="202124"/>
                <w:sz w:val="18"/>
              </w:rPr>
              <w:t>Overrides Domain Restricted Sharing (DRS) constraint (constraints/iam.allowedPolicyMemberDomains) at project level.</w:t>
            </w:r>
          </w:p>
        </w:tc>
      </w:tr>
      <w:tr>
        <w:tc>
          <w:tcPr>
            <w:tcW w:type="dxa" w:w="3264"/>
            <w:shd w:fill="F8F9FA"/>
          </w:tcPr>
          <w:p>
            <w:pPr>
              <w:spacing w:before="40" w:after="40"/>
            </w:pPr>
            <w:r>
              <w:rPr>
                <w:rFonts w:ascii="Arial" w:hAnsi="Arial"/>
                <w:b w:val="0"/>
                <w:i w:val="0"/>
                <w:color w:val="202124"/>
                <w:sz w:val="18"/>
              </w:rPr>
              <w:t>[4/7]</w:t>
            </w:r>
          </w:p>
        </w:tc>
        <w:tc>
          <w:tcPr>
            <w:tcW w:type="dxa" w:w="3264"/>
            <w:shd w:fill="F8F9FA"/>
          </w:tcPr>
          <w:p>
            <w:pPr>
              <w:spacing w:before="40" w:after="40"/>
            </w:pPr>
            <w:r>
              <w:rPr>
                <w:rFonts w:ascii="Arial" w:hAnsi="Arial"/>
                <w:b w:val="0"/>
                <w:i w:val="0"/>
                <w:color w:val="202124"/>
                <w:sz w:val="18"/>
              </w:rPr>
              <w:t>Artifact Registry</w:t>
            </w:r>
          </w:p>
        </w:tc>
        <w:tc>
          <w:tcPr>
            <w:tcW w:type="dxa" w:w="3264"/>
            <w:shd w:fill="F8F9FA"/>
          </w:tcPr>
          <w:p>
            <w:pPr>
              <w:spacing w:before="40" w:after="40"/>
            </w:pPr>
            <w:r>
              <w:rPr>
                <w:rFonts w:ascii="Arial" w:hAnsi="Arial"/>
                <w:b w:val="0"/>
                <w:i w:val="0"/>
                <w:color w:val="202124"/>
                <w:sz w:val="18"/>
              </w:rPr>
              <w:t>Creates repository customer-cspr-toolkit in us-east1 and grants roles/artifactregistry.writer to jsaccomani@google.com.</w:t>
            </w:r>
          </w:p>
        </w:tc>
      </w:tr>
      <w:tr>
        <w:tc>
          <w:tcPr>
            <w:tcW w:type="dxa" w:w="3264"/>
            <w:shd w:fill="FFFFFF"/>
          </w:tcPr>
          <w:p>
            <w:pPr>
              <w:spacing w:before="40" w:after="40"/>
            </w:pPr>
            <w:r>
              <w:rPr>
                <w:rFonts w:ascii="Arial" w:hAnsi="Arial"/>
                <w:b w:val="0"/>
                <w:i w:val="0"/>
                <w:color w:val="202124"/>
                <w:sz w:val="18"/>
              </w:rPr>
              <w:t>[5/7]</w:t>
            </w:r>
          </w:p>
        </w:tc>
        <w:tc>
          <w:tcPr>
            <w:tcW w:type="dxa" w:w="3264"/>
            <w:shd w:fill="FFFFFF"/>
          </w:tcPr>
          <w:p>
            <w:pPr>
              <w:spacing w:before="40" w:after="40"/>
            </w:pPr>
            <w:r>
              <w:rPr>
                <w:rFonts w:ascii="Arial" w:hAnsi="Arial"/>
                <w:b w:val="0"/>
                <w:i w:val="0"/>
                <w:color w:val="202124"/>
                <w:sz w:val="18"/>
              </w:rPr>
              <w:t>Service Account</w:t>
            </w:r>
          </w:p>
        </w:tc>
        <w:tc>
          <w:tcPr>
            <w:tcW w:type="dxa" w:w="3264"/>
            <w:shd w:fill="FFFFFF"/>
          </w:tcPr>
          <w:p>
            <w:pPr>
              <w:spacing w:before="40" w:after="40"/>
            </w:pPr>
            <w:r>
              <w:rPr>
                <w:rFonts w:ascii="Arial" w:hAnsi="Arial"/>
                <w:b w:val="0"/>
                <w:i w:val="0"/>
                <w:color w:val="202124"/>
                <w:sz w:val="18"/>
              </w:rPr>
              <w:t>Creates cspr-prereq-cloudrun-sa, binds 3 Project roles and 7 Organization Viewer roles.</w:t>
            </w:r>
          </w:p>
        </w:tc>
      </w:tr>
      <w:tr>
        <w:tc>
          <w:tcPr>
            <w:tcW w:type="dxa" w:w="3264"/>
            <w:shd w:fill="F8F9FA"/>
          </w:tcPr>
          <w:p>
            <w:pPr>
              <w:spacing w:before="40" w:after="40"/>
            </w:pPr>
            <w:r>
              <w:rPr>
                <w:rFonts w:ascii="Arial" w:hAnsi="Arial"/>
                <w:b w:val="0"/>
                <w:i w:val="0"/>
                <w:color w:val="202124"/>
                <w:sz w:val="18"/>
              </w:rPr>
              <w:t>[6/7]</w:t>
            </w:r>
          </w:p>
        </w:tc>
        <w:tc>
          <w:tcPr>
            <w:tcW w:type="dxa" w:w="3264"/>
            <w:shd w:fill="F8F9FA"/>
          </w:tcPr>
          <w:p>
            <w:pPr>
              <w:spacing w:before="40" w:after="40"/>
            </w:pPr>
            <w:r>
              <w:rPr>
                <w:rFonts w:ascii="Arial" w:hAnsi="Arial"/>
                <w:b w:val="0"/>
                <w:i w:val="0"/>
                <w:color w:val="202124"/>
                <w:sz w:val="18"/>
              </w:rPr>
              <w:t>Manifest Render</w:t>
            </w:r>
          </w:p>
        </w:tc>
        <w:tc>
          <w:tcPr>
            <w:tcW w:type="dxa" w:w="3264"/>
            <w:shd w:fill="F8F9FA"/>
          </w:tcPr>
          <w:p>
            <w:pPr>
              <w:spacing w:before="40" w:after="40"/>
            </w:pPr>
            <w:r>
              <w:rPr>
                <w:rFonts w:ascii="Arial" w:hAnsi="Arial"/>
                <w:b w:val="0"/>
                <w:i w:val="0"/>
                <w:color w:val="202124"/>
                <w:sz w:val="18"/>
              </w:rPr>
              <w:t>Interpolates variables into Cloud Run Job manifest template (templates/cloudrun-prereq-job.template.yaml).</w:t>
            </w:r>
          </w:p>
        </w:tc>
      </w:tr>
      <w:tr>
        <w:tc>
          <w:tcPr>
            <w:tcW w:type="dxa" w:w="3264"/>
            <w:shd w:fill="FFFFFF"/>
          </w:tcPr>
          <w:p>
            <w:pPr>
              <w:spacing w:before="40" w:after="40"/>
            </w:pPr>
            <w:r>
              <w:rPr>
                <w:rFonts w:ascii="Arial" w:hAnsi="Arial"/>
                <w:b w:val="0"/>
                <w:i w:val="0"/>
                <w:color w:val="202124"/>
                <w:sz w:val="18"/>
              </w:rPr>
              <w:t>[7/7]</w:t>
            </w:r>
          </w:p>
        </w:tc>
        <w:tc>
          <w:tcPr>
            <w:tcW w:type="dxa" w:w="3264"/>
            <w:shd w:fill="FFFFFF"/>
          </w:tcPr>
          <w:p>
            <w:pPr>
              <w:spacing w:before="40" w:after="40"/>
            </w:pPr>
            <w:r>
              <w:rPr>
                <w:rFonts w:ascii="Arial" w:hAnsi="Arial"/>
                <w:b w:val="0"/>
                <w:i w:val="0"/>
                <w:color w:val="202124"/>
                <w:sz w:val="18"/>
              </w:rPr>
              <w:t>PSO Access Grants</w:t>
            </w:r>
          </w:p>
        </w:tc>
        <w:tc>
          <w:tcPr>
            <w:tcW w:type="dxa" w:w="3264"/>
            <w:shd w:fill="FFFFFF"/>
          </w:tcPr>
          <w:p>
            <w:pPr>
              <w:spacing w:before="40" w:after="40"/>
            </w:pPr>
            <w:r>
              <w:rPr>
                <w:rFonts w:ascii="Arial" w:hAnsi="Arial"/>
                <w:b w:val="0"/>
                <w:i w:val="0"/>
                <w:color w:val="202124"/>
                <w:sz w:val="18"/>
              </w:rPr>
              <w:t>Binds BigQuery Data Editor, BigQuery User, Logging Viewer, Run Admin, and SA User to jsaccomani@google.com.</w:t>
            </w:r>
          </w:p>
        </w:tc>
      </w:tr>
    </w:tbl>
    <w:p>
      <w:pPr>
        <w:spacing w:after="160"/>
      </w:pPr>
    </w:p>
    <w:p>
      <w:pPr>
        <w:spacing w:before="200" w:after="60"/>
      </w:pPr>
      <w:r>
        <w:rPr>
          <w:rFonts w:ascii="Arial" w:hAnsi="Arial"/>
          <w:b/>
          <w:i w:val="0"/>
          <w:color w:val="202124"/>
          <w:sz w:val="22"/>
        </w:rPr>
        <w:t>3.4 Automated Connection Report &amp; PSO Handoff</w:t>
      </w:r>
    </w:p>
    <w:p>
      <w:pPr>
        <w:spacing w:after="80" w:line="276" w:lineRule="auto"/>
      </w:pPr>
      <w:r>
        <w:rPr>
          <w:rFonts w:ascii="Arial" w:hAnsi="Arial"/>
          <w:b w:val="0"/>
          <w:i w:val="0"/>
          <w:color w:val="202124"/>
          <w:sz w:val="20"/>
        </w:rPr>
        <w:t>Once the script finishes execution, it generates a comprehensive CSPR Environment Summary report directly in the terminal and saves it to:</w:t>
      </w:r>
    </w:p>
    <w:p>
      <w:pPr>
        <w:spacing w:after="80" w:line="276" w:lineRule="auto"/>
      </w:pPr>
      <w:r>
        <w:rPr>
          <w:rFonts w:ascii="Arial" w:hAnsi="Arial"/>
          <w:b/>
          <w:i w:val="0"/>
          <w:color w:val="202124"/>
          <w:sz w:val="20"/>
        </w:rPr>
        <w:t xml:space="preserve">• </w:t>
      </w:r>
      <w:r>
        <w:rPr>
          <w:rFonts w:ascii="Arial" w:hAnsi="Arial"/>
          <w:b w:val="0"/>
          <w:i w:val="0"/>
          <w:color w:val="202124"/>
          <w:sz w:val="20"/>
        </w:rPr>
        <w:t>Saved File: local_tests/cspr_environment_summary_&lt;PROJECT_ID&gt;.txt</w:t>
      </w:r>
    </w:p>
    <w:p>
      <w:pPr>
        <w:spacing w:after="80" w:line="276" w:lineRule="auto"/>
      </w:pPr>
      <w:r>
        <w:rPr>
          <w:rFonts w:ascii="Arial" w:hAnsi="Arial"/>
          <w:b w:val="0"/>
          <w:i w:val="0"/>
          <w:color w:val="202124"/>
          <w:sz w:val="20"/>
        </w:rPr>
        <w:t>The Nubank administrator simply copies this report and sends it to Joabson Saccomani (jsaccomani@google.com) to trigger Step 3.</w:t>
      </w:r>
    </w:p>
    <w:p>
      <w:pPr>
        <w:spacing w:before="280" w:after="80"/>
      </w:pPr>
      <w:r>
        <w:rPr>
          <w:rFonts w:ascii="Arial" w:hAnsi="Arial"/>
          <w:b/>
          <w:i w:val="0"/>
          <w:color w:val="1A73E8"/>
          <w:sz w:val="26"/>
        </w:rPr>
        <w:t>4. Method 2 (Alternative): Manual Step-by-Step Execution</w:t>
      </w:r>
    </w:p>
    <w:p>
      <w:pPr>
        <w:spacing w:after="80" w:line="276" w:lineRule="auto"/>
      </w:pPr>
      <w:r>
        <w:rPr>
          <w:rFonts w:ascii="Arial" w:hAnsi="Arial"/>
          <w:b w:val="0"/>
          <w:i w:val="0"/>
          <w:color w:val="202124"/>
          <w:sz w:val="20"/>
        </w:rPr>
        <w:t>For security compliance audits or manual validation, this section details the individual gcloud commands executed by the automated script.</w:t>
      </w:r>
    </w:p>
    <w:p>
      <w:pPr>
        <w:spacing w:before="200" w:after="60"/>
      </w:pPr>
      <w:r>
        <w:rPr>
          <w:rFonts w:ascii="Arial" w:hAnsi="Arial"/>
          <w:b/>
          <w:i w:val="0"/>
          <w:color w:val="202124"/>
          <w:sz w:val="22"/>
        </w:rPr>
        <w:t>4.1 Initialize Environment Variables</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export BQ_PROJECT_ID="cspr-assessment-nubank"</w:t>
              <w:br/>
              <w:t>export ORGANIZATION_ID="31564119954"</w:t>
              <w:br/>
              <w:t>export BILLING_ACCOUNT_ID="&lt;YOUR_BILLING_ACCOUNT_ID&gt;"</w:t>
              <w:br/>
              <w:t>export LOCATION="us-east1"</w:t>
              <w:br/>
              <w:t>export GCP_USER_EMAIL_ADDRESS="jsaccomani@google.com"</w:t>
              <w:br/>
              <w:t>export SA_NAME="cspr-prereq-cloudrun-sa"</w:t>
              <w:br/>
              <w:t>export SA_EMAIL="@.iam.gserviceaccount.com"</w:t>
            </w:r>
          </w:p>
        </w:tc>
      </w:tr>
    </w:tbl>
    <w:p>
      <w:pPr>
        <w:spacing w:after="80"/>
      </w:pPr>
    </w:p>
    <w:p>
      <w:pPr>
        <w:spacing w:before="200" w:after="60"/>
      </w:pPr>
      <w:r>
        <w:rPr>
          <w:rFonts w:ascii="Arial" w:hAnsi="Arial"/>
          <w:b/>
          <w:i w:val="0"/>
          <w:color w:val="202124"/>
          <w:sz w:val="22"/>
        </w:rPr>
        <w:t>4.2 Create Dedicated Project &amp; Link Billing</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 Create project under Nubank Organization</w:t>
              <w:br/>
              <w:t>gcloud projects create    --organization=   --name="Google CSPR Assessment Nubank"</w:t>
              <w:br/>
              <w:br/>
              <w:t># Link active billing account</w:t>
              <w:br/>
              <w:t>gcloud billing projects link    --billing-account=</w:t>
            </w:r>
          </w:p>
        </w:tc>
      </w:tr>
    </w:tbl>
    <w:p>
      <w:pPr>
        <w:spacing w:after="80"/>
      </w:pPr>
    </w:p>
    <w:p>
      <w:pPr>
        <w:spacing w:before="200" w:after="60"/>
      </w:pPr>
      <w:r>
        <w:rPr>
          <w:rFonts w:ascii="Arial" w:hAnsi="Arial"/>
          <w:b/>
          <w:i w:val="0"/>
          <w:color w:val="202124"/>
          <w:sz w:val="22"/>
        </w:rPr>
        <w:t>4.3 Enable Required Google Cloud APIs</w:t>
      </w:r>
    </w:p>
    <w:p>
      <w:pPr>
        <w:spacing w:after="80" w:line="276" w:lineRule="auto"/>
      </w:pPr>
      <w:r>
        <w:rPr>
          <w:rFonts w:ascii="Arial" w:hAnsi="Arial"/>
          <w:b w:val="0"/>
          <w:i w:val="0"/>
          <w:color w:val="202124"/>
          <w:sz w:val="20"/>
        </w:rPr>
        <w:t>The CSPR toolkit requires 7 specific APIs to ingest telemetry into BigQuery:</w:t>
      </w:r>
    </w:p>
    <w:tbl>
      <w:tblPr>
        <w:tblW w:type="auto" w:w="0"/>
        <w:jc w:val="center"/>
        <w:tblLayout w:type="fixed"/>
        <w:tblLook w:firstColumn="1" w:firstRow="1" w:lastColumn="0" w:lastRow="0" w:noHBand="0" w:noVBand="1" w:val="04A0"/>
      </w:tblPr>
      <w:tblGrid>
        <w:gridCol w:w="3312"/>
        <w:gridCol w:w="3312"/>
        <w:gridCol w:w="3312"/>
      </w:tblGrid>
      <w:tr>
        <w:tc>
          <w:tcPr>
            <w:tcW w:type="dxa" w:w="3264"/>
            <w:shd w:fill="1A73E8"/>
          </w:tcPr>
          <w:p>
            <w:pPr>
              <w:spacing w:before="60" w:after="60"/>
            </w:pPr>
            <w:r>
              <w:rPr>
                <w:rFonts w:ascii="Arial" w:hAnsi="Arial"/>
                <w:b/>
                <w:i w:val="0"/>
                <w:color w:val="FFFFFF"/>
                <w:sz w:val="19"/>
              </w:rPr>
              <w:t>Google Cloud API</w:t>
            </w:r>
          </w:p>
        </w:tc>
        <w:tc>
          <w:tcPr>
            <w:tcW w:type="dxa" w:w="3264"/>
            <w:shd w:fill="1A73E8"/>
          </w:tcPr>
          <w:p>
            <w:pPr>
              <w:spacing w:before="60" w:after="60"/>
            </w:pPr>
            <w:r>
              <w:rPr>
                <w:rFonts w:ascii="Arial" w:hAnsi="Arial"/>
                <w:b/>
                <w:i w:val="0"/>
                <w:color w:val="FFFFFF"/>
                <w:sz w:val="19"/>
              </w:rPr>
              <w:t>API Identifier</w:t>
            </w:r>
          </w:p>
        </w:tc>
        <w:tc>
          <w:tcPr>
            <w:tcW w:type="dxa" w:w="3264"/>
            <w:shd w:fill="1A73E8"/>
          </w:tcPr>
          <w:p>
            <w:pPr>
              <w:spacing w:before="60" w:after="60"/>
            </w:pPr>
            <w:r>
              <w:rPr>
                <w:rFonts w:ascii="Arial" w:hAnsi="Arial"/>
                <w:b/>
                <w:i w:val="0"/>
                <w:color w:val="FFFFFF"/>
                <w:sz w:val="19"/>
              </w:rPr>
              <w:t>Operational Purpose in CSPR</w:t>
            </w:r>
          </w:p>
        </w:tc>
      </w:tr>
      <w:tr>
        <w:tc>
          <w:tcPr>
            <w:tcW w:type="dxa" w:w="3264"/>
            <w:shd w:fill="FFFFFF"/>
          </w:tcPr>
          <w:p>
            <w:pPr>
              <w:spacing w:before="40" w:after="40"/>
            </w:pPr>
            <w:r>
              <w:rPr>
                <w:rFonts w:ascii="Arial" w:hAnsi="Arial"/>
                <w:b w:val="0"/>
                <w:i w:val="0"/>
                <w:color w:val="202124"/>
                <w:sz w:val="18"/>
              </w:rPr>
              <w:t>Cloud Asset Inventory</w:t>
            </w:r>
          </w:p>
        </w:tc>
        <w:tc>
          <w:tcPr>
            <w:tcW w:type="dxa" w:w="3264"/>
            <w:shd w:fill="FFFFFF"/>
          </w:tcPr>
          <w:p>
            <w:pPr>
              <w:spacing w:before="40" w:after="40"/>
            </w:pPr>
            <w:r>
              <w:rPr>
                <w:rFonts w:ascii="Arial" w:hAnsi="Arial"/>
                <w:b w:val="0"/>
                <w:i w:val="0"/>
                <w:color w:val="202124"/>
                <w:sz w:val="18"/>
              </w:rPr>
              <w:t>cloudasset.googleapis.com</w:t>
            </w:r>
          </w:p>
        </w:tc>
        <w:tc>
          <w:tcPr>
            <w:tcW w:type="dxa" w:w="3264"/>
            <w:shd w:fill="FFFFFF"/>
          </w:tcPr>
          <w:p>
            <w:pPr>
              <w:spacing w:before="40" w:after="40"/>
            </w:pPr>
            <w:r>
              <w:rPr>
                <w:rFonts w:ascii="Arial" w:hAnsi="Arial"/>
                <w:b w:val="0"/>
                <w:i w:val="0"/>
                <w:color w:val="202124"/>
                <w:sz w:val="18"/>
              </w:rPr>
              <w:t>Exports complete inventory of GCP resources, networks, and IAM policies.</w:t>
            </w:r>
          </w:p>
        </w:tc>
      </w:tr>
      <w:tr>
        <w:tc>
          <w:tcPr>
            <w:tcW w:type="dxa" w:w="3264"/>
            <w:shd w:fill="F8F9FA"/>
          </w:tcPr>
          <w:p>
            <w:pPr>
              <w:spacing w:before="40" w:after="40"/>
            </w:pPr>
            <w:r>
              <w:rPr>
                <w:rFonts w:ascii="Arial" w:hAnsi="Arial"/>
                <w:b w:val="0"/>
                <w:i w:val="0"/>
                <w:color w:val="202124"/>
                <w:sz w:val="18"/>
              </w:rPr>
              <w:t>BigQuery API</w:t>
            </w:r>
          </w:p>
        </w:tc>
        <w:tc>
          <w:tcPr>
            <w:tcW w:type="dxa" w:w="3264"/>
            <w:shd w:fill="F8F9FA"/>
          </w:tcPr>
          <w:p>
            <w:pPr>
              <w:spacing w:before="40" w:after="40"/>
            </w:pPr>
            <w:r>
              <w:rPr>
                <w:rFonts w:ascii="Arial" w:hAnsi="Arial"/>
                <w:b w:val="0"/>
                <w:i w:val="0"/>
                <w:color w:val="202124"/>
                <w:sz w:val="18"/>
              </w:rPr>
              <w:t>bigquery.googleapis.com</w:t>
            </w:r>
          </w:p>
        </w:tc>
        <w:tc>
          <w:tcPr>
            <w:tcW w:type="dxa" w:w="3264"/>
            <w:shd w:fill="F8F9FA"/>
          </w:tcPr>
          <w:p>
            <w:pPr>
              <w:spacing w:before="40" w:after="40"/>
            </w:pPr>
            <w:r>
              <w:rPr>
                <w:rFonts w:ascii="Arial" w:hAnsi="Arial"/>
                <w:b w:val="0"/>
                <w:i w:val="0"/>
                <w:color w:val="202124"/>
                <w:sz w:val="18"/>
              </w:rPr>
              <w:t>Stores raw asset caches and findings tables for analytical querying.</w:t>
            </w:r>
          </w:p>
        </w:tc>
      </w:tr>
      <w:tr>
        <w:tc>
          <w:tcPr>
            <w:tcW w:type="dxa" w:w="3264"/>
            <w:shd w:fill="FFFFFF"/>
          </w:tcPr>
          <w:p>
            <w:pPr>
              <w:spacing w:before="40" w:after="40"/>
            </w:pPr>
            <w:r>
              <w:rPr>
                <w:rFonts w:ascii="Arial" w:hAnsi="Arial"/>
                <w:b w:val="0"/>
                <w:i w:val="0"/>
                <w:color w:val="202124"/>
                <w:sz w:val="18"/>
              </w:rPr>
              <w:t>Cloud Run Admin API</w:t>
            </w:r>
          </w:p>
        </w:tc>
        <w:tc>
          <w:tcPr>
            <w:tcW w:type="dxa" w:w="3264"/>
            <w:shd w:fill="FFFFFF"/>
          </w:tcPr>
          <w:p>
            <w:pPr>
              <w:spacing w:before="40" w:after="40"/>
            </w:pPr>
            <w:r>
              <w:rPr>
                <w:rFonts w:ascii="Arial" w:hAnsi="Arial"/>
                <w:b w:val="0"/>
                <w:i w:val="0"/>
                <w:color w:val="202124"/>
                <w:sz w:val="18"/>
              </w:rPr>
              <w:t>run.googleapis.com</w:t>
            </w:r>
          </w:p>
        </w:tc>
        <w:tc>
          <w:tcPr>
            <w:tcW w:type="dxa" w:w="3264"/>
            <w:shd w:fill="FFFFFF"/>
          </w:tcPr>
          <w:p>
            <w:pPr>
              <w:spacing w:before="40" w:after="40"/>
            </w:pPr>
            <w:r>
              <w:rPr>
                <w:rFonts w:ascii="Arial" w:hAnsi="Arial"/>
                <w:b w:val="0"/>
                <w:i w:val="0"/>
                <w:color w:val="202124"/>
                <w:sz w:val="18"/>
              </w:rPr>
              <w:t>Executes the containerized collector job serverlessly.</w:t>
            </w:r>
          </w:p>
        </w:tc>
      </w:tr>
      <w:tr>
        <w:tc>
          <w:tcPr>
            <w:tcW w:type="dxa" w:w="3264"/>
            <w:shd w:fill="F8F9FA"/>
          </w:tcPr>
          <w:p>
            <w:pPr>
              <w:spacing w:before="40" w:after="40"/>
            </w:pPr>
            <w:r>
              <w:rPr>
                <w:rFonts w:ascii="Arial" w:hAnsi="Arial"/>
                <w:b w:val="0"/>
                <w:i w:val="0"/>
                <w:color w:val="202124"/>
                <w:sz w:val="18"/>
              </w:rPr>
              <w:t>Artifact Registry API</w:t>
            </w:r>
          </w:p>
        </w:tc>
        <w:tc>
          <w:tcPr>
            <w:tcW w:type="dxa" w:w="3264"/>
            <w:shd w:fill="F8F9FA"/>
          </w:tcPr>
          <w:p>
            <w:pPr>
              <w:spacing w:before="40" w:after="40"/>
            </w:pPr>
            <w:r>
              <w:rPr>
                <w:rFonts w:ascii="Arial" w:hAnsi="Arial"/>
                <w:b w:val="0"/>
                <w:i w:val="0"/>
                <w:color w:val="202124"/>
                <w:sz w:val="18"/>
              </w:rPr>
              <w:t>artifactregistry.googleapis.com</w:t>
            </w:r>
          </w:p>
        </w:tc>
        <w:tc>
          <w:tcPr>
            <w:tcW w:type="dxa" w:w="3264"/>
            <w:shd w:fill="F8F9FA"/>
          </w:tcPr>
          <w:p>
            <w:pPr>
              <w:spacing w:before="40" w:after="40"/>
            </w:pPr>
            <w:r>
              <w:rPr>
                <w:rFonts w:ascii="Arial" w:hAnsi="Arial"/>
                <w:b w:val="0"/>
                <w:i w:val="0"/>
                <w:color w:val="202124"/>
                <w:sz w:val="18"/>
              </w:rPr>
              <w:t>Hosts the proprietary CSPR container images pushed by Google Cloud PSO.</w:t>
            </w:r>
          </w:p>
        </w:tc>
      </w:tr>
      <w:tr>
        <w:tc>
          <w:tcPr>
            <w:tcW w:type="dxa" w:w="3264"/>
            <w:shd w:fill="FFFFFF"/>
          </w:tcPr>
          <w:p>
            <w:pPr>
              <w:spacing w:before="40" w:after="40"/>
            </w:pPr>
            <w:r>
              <w:rPr>
                <w:rFonts w:ascii="Arial" w:hAnsi="Arial"/>
                <w:b w:val="0"/>
                <w:i w:val="0"/>
                <w:color w:val="202124"/>
                <w:sz w:val="18"/>
              </w:rPr>
              <w:t>Policy Analyzer API</w:t>
            </w:r>
          </w:p>
        </w:tc>
        <w:tc>
          <w:tcPr>
            <w:tcW w:type="dxa" w:w="3264"/>
            <w:shd w:fill="FFFFFF"/>
          </w:tcPr>
          <w:p>
            <w:pPr>
              <w:spacing w:before="40" w:after="40"/>
            </w:pPr>
            <w:r>
              <w:rPr>
                <w:rFonts w:ascii="Arial" w:hAnsi="Arial"/>
                <w:b w:val="0"/>
                <w:i w:val="0"/>
                <w:color w:val="202124"/>
                <w:sz w:val="18"/>
              </w:rPr>
              <w:t>policyanalyzer.googleapis.com</w:t>
            </w:r>
          </w:p>
        </w:tc>
        <w:tc>
          <w:tcPr>
            <w:tcW w:type="dxa" w:w="3264"/>
            <w:shd w:fill="FFFFFF"/>
          </w:tcPr>
          <w:p>
            <w:pPr>
              <w:spacing w:before="40" w:after="40"/>
            </w:pPr>
            <w:r>
              <w:rPr>
                <w:rFonts w:ascii="Arial" w:hAnsi="Arial"/>
                <w:b w:val="0"/>
                <w:i w:val="0"/>
                <w:color w:val="202124"/>
                <w:sz w:val="18"/>
              </w:rPr>
              <w:t>Analyzes service account key usage and inactive identities.</w:t>
            </w:r>
          </w:p>
        </w:tc>
      </w:tr>
      <w:tr>
        <w:tc>
          <w:tcPr>
            <w:tcW w:type="dxa" w:w="3264"/>
            <w:shd w:fill="F8F9FA"/>
          </w:tcPr>
          <w:p>
            <w:pPr>
              <w:spacing w:before="40" w:after="40"/>
            </w:pPr>
            <w:r>
              <w:rPr>
                <w:rFonts w:ascii="Arial" w:hAnsi="Arial"/>
                <w:b w:val="0"/>
                <w:i w:val="0"/>
                <w:color w:val="202124"/>
                <w:sz w:val="18"/>
              </w:rPr>
              <w:t>Recommender API</w:t>
            </w:r>
          </w:p>
        </w:tc>
        <w:tc>
          <w:tcPr>
            <w:tcW w:type="dxa" w:w="3264"/>
            <w:shd w:fill="F8F9FA"/>
          </w:tcPr>
          <w:p>
            <w:pPr>
              <w:spacing w:before="40" w:after="40"/>
            </w:pPr>
            <w:r>
              <w:rPr>
                <w:rFonts w:ascii="Arial" w:hAnsi="Arial"/>
                <w:b w:val="0"/>
                <w:i w:val="0"/>
                <w:color w:val="202124"/>
                <w:sz w:val="18"/>
              </w:rPr>
              <w:t>recommender.googleapis.com</w:t>
            </w:r>
          </w:p>
        </w:tc>
        <w:tc>
          <w:tcPr>
            <w:tcW w:type="dxa" w:w="3264"/>
            <w:shd w:fill="F8F9FA"/>
          </w:tcPr>
          <w:p>
            <w:pPr>
              <w:spacing w:before="40" w:after="40"/>
            </w:pPr>
            <w:r>
              <w:rPr>
                <w:rFonts w:ascii="Arial" w:hAnsi="Arial"/>
                <w:b w:val="0"/>
                <w:i w:val="0"/>
                <w:color w:val="202124"/>
                <w:sz w:val="18"/>
              </w:rPr>
              <w:t>Exports IAM over-privileging, firewall, and security recommendations.</w:t>
            </w:r>
          </w:p>
        </w:tc>
      </w:tr>
      <w:tr>
        <w:tc>
          <w:tcPr>
            <w:tcW w:type="dxa" w:w="3264"/>
            <w:shd w:fill="FFFFFF"/>
          </w:tcPr>
          <w:p>
            <w:pPr>
              <w:spacing w:before="40" w:after="40"/>
            </w:pPr>
            <w:r>
              <w:rPr>
                <w:rFonts w:ascii="Arial" w:hAnsi="Arial"/>
                <w:b w:val="0"/>
                <w:i w:val="0"/>
                <w:color w:val="202124"/>
                <w:sz w:val="18"/>
              </w:rPr>
              <w:t>Service Usage API</w:t>
            </w:r>
          </w:p>
        </w:tc>
        <w:tc>
          <w:tcPr>
            <w:tcW w:type="dxa" w:w="3264"/>
            <w:shd w:fill="FFFFFF"/>
          </w:tcPr>
          <w:p>
            <w:pPr>
              <w:spacing w:before="40" w:after="40"/>
            </w:pPr>
            <w:r>
              <w:rPr>
                <w:rFonts w:ascii="Arial" w:hAnsi="Arial"/>
                <w:b w:val="0"/>
                <w:i w:val="0"/>
                <w:color w:val="202124"/>
                <w:sz w:val="18"/>
              </w:rPr>
              <w:t>serviceusage.googleapis.com</w:t>
            </w:r>
          </w:p>
        </w:tc>
        <w:tc>
          <w:tcPr>
            <w:tcW w:type="dxa" w:w="3264"/>
            <w:shd w:fill="FFFFFF"/>
          </w:tcPr>
          <w:p>
            <w:pPr>
              <w:spacing w:before="40" w:after="40"/>
            </w:pPr>
            <w:r>
              <w:rPr>
                <w:rFonts w:ascii="Arial" w:hAnsi="Arial"/>
                <w:b w:val="0"/>
                <w:i w:val="0"/>
                <w:color w:val="202124"/>
                <w:sz w:val="18"/>
              </w:rPr>
              <w:t>Enables inspection of active services across organization projects.</w:t>
            </w:r>
          </w:p>
        </w:tc>
      </w:tr>
    </w:tbl>
    <w:p>
      <w:pPr>
        <w:spacing w:after="160"/>
      </w:pP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gcloud services enable   cloudasset.googleapis.com   bigquery.googleapis.com   run.googleapis.com   artifactregistry.googleapis.com   policyanalyzer.googleapis.com   recommender.googleapis.com   serviceusage.googleapis.com   --project=</w:t>
            </w:r>
          </w:p>
        </w:tc>
      </w:tr>
    </w:tbl>
    <w:p>
      <w:pPr>
        <w:spacing w:after="80"/>
      </w:pPr>
    </w:p>
    <w:p>
      <w:pPr>
        <w:spacing w:before="200" w:after="60"/>
      </w:pPr>
      <w:r>
        <w:rPr>
          <w:rFonts w:ascii="Arial" w:hAnsi="Arial"/>
          <w:b/>
          <w:i w:val="0"/>
          <w:color w:val="202124"/>
          <w:sz w:val="22"/>
        </w:rPr>
        <w:t>4.4 Configure Domain Restricted Sharing (DRS) Policy</w:t>
      </w:r>
    </w:p>
    <w:p>
      <w:pPr>
        <w:spacing w:after="80" w:line="276" w:lineRule="auto"/>
      </w:pPr>
      <w:r>
        <w:rPr>
          <w:rFonts w:ascii="Arial" w:hAnsi="Arial"/>
          <w:b w:val="0"/>
          <w:i w:val="0"/>
          <w:color w:val="202124"/>
          <w:sz w:val="20"/>
        </w:rPr>
        <w:t>Because Nubank organization policy restricts IAM membership to internal domains, the DRS constraint must be overridden at the project level to permit jsaccomani@google.com:</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cat &lt;&lt; EOF &gt; /tmp/drs_override.yaml</w:t>
              <w:br/>
              <w:t>name: projects//policies/iam.allowedPolicyMemberDomains</w:t>
              <w:br/>
              <w:t>spec:</w:t>
              <w:br/>
              <w:t xml:space="preserve">  rules:</w:t>
              <w:br/>
              <w:t xml:space="preserve">  - allowAll: true</w:t>
              <w:br/>
              <w:t>EOF</w:t>
              <w:br/>
              <w:br/>
              <w:t>gcloud org-policies set-policy /tmp/drs_override.yaml   --project=</w:t>
            </w:r>
          </w:p>
        </w:tc>
      </w:tr>
    </w:tbl>
    <w:p>
      <w:pPr>
        <w:spacing w:after="80"/>
      </w:pPr>
    </w:p>
    <w:p>
      <w:pPr>
        <w:spacing w:before="200" w:after="60"/>
      </w:pPr>
      <w:r>
        <w:rPr>
          <w:rFonts w:ascii="Arial" w:hAnsi="Arial"/>
          <w:b/>
          <w:i w:val="0"/>
          <w:color w:val="202124"/>
          <w:sz w:val="22"/>
        </w:rPr>
        <w:t>4.5 Create Artifact Registry &amp; Grant Writer Access</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 Create dedicated Docker repository in us-east1</w:t>
              <w:br/>
              <w:t>gcloud artifacts repositories create customer-cspr-toolkit   --repository-format=docker   --location=   --description="CSPR Toolkit Container Images"   --project=</w:t>
              <w:br/>
              <w:br/>
              <w:t># Grant writer permissions to Google Cloud PSO Lead</w:t>
              <w:br/>
              <w:t>gcloud artifacts repositories add-iam-policy-binding customer-cspr-toolkit   --location=   --member="user:"   --role="roles/artifactregistry.writer"   --project=</w:t>
            </w:r>
          </w:p>
        </w:tc>
      </w:tr>
    </w:tbl>
    <w:p>
      <w:pPr>
        <w:spacing w:after="80"/>
      </w:pPr>
    </w:p>
    <w:p>
      <w:pPr>
        <w:spacing w:before="200" w:after="60"/>
      </w:pPr>
      <w:r>
        <w:rPr>
          <w:rFonts w:ascii="Arial" w:hAnsi="Arial"/>
          <w:b/>
          <w:i w:val="0"/>
          <w:color w:val="202124"/>
          <w:sz w:val="22"/>
        </w:rPr>
        <w:t>4.6 Create Service Account &amp; Assign IAM Roles</w:t>
      </w:r>
    </w:p>
    <w:p>
      <w:pPr>
        <w:spacing w:after="80" w:line="276" w:lineRule="auto"/>
      </w:pPr>
      <w:r>
        <w:rPr>
          <w:rFonts w:ascii="Arial" w:hAnsi="Arial"/>
          <w:b w:val="0"/>
          <w:i w:val="0"/>
          <w:color w:val="202124"/>
          <w:sz w:val="20"/>
        </w:rPr>
        <w:t>Create the runtime service account and grant required permissions:</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 1. Create Service Account</w:t>
              <w:br/>
              <w:t>gcloud iam service-accounts create    --description="Service Account executing the CSPR Toolkit Cloud Run Job"   --display-name="cspr_toolkit_cloudrun_sa"   --project=</w:t>
              <w:br/>
              <w:br/>
              <w:t># 2. Grant Project-Level Roles</w:t>
              <w:br/>
              <w:t>for ROLE in roles/bigquery.admin roles/iam.serviceAccountTokenCreator roles/resourcemanager.projectMover; do</w:t>
              <w:br/>
              <w:t xml:space="preserve">  gcloud projects add-iam-policy-binding      --member="serviceAccount:"     --role="" --quiet</w:t>
              <w:br/>
              <w:t>done</w:t>
              <w:br/>
              <w:br/>
              <w:t># 3. Grant Organization-Level Viewer Roles</w:t>
              <w:br/>
              <w:t>for ROLE in roles/cloudasset.viewer roles/orgpolicy.policyViewer             roles/policyanalyzer.activityAnalysisViewer roles/recommender.exporter             roles/resourcemanager.folderViewer roles/resourcemanager.organizationViewer             roles/serviceusage.serviceUsageAdmin; do</w:t>
              <w:br/>
              <w:t xml:space="preserve">  gcloud organizations add-iam-policy-binding      --member="serviceAccount:"     --role="" --quiet</w:t>
              <w:br/>
              <w:t>done</w:t>
            </w:r>
          </w:p>
        </w:tc>
      </w:tr>
    </w:tbl>
    <w:p>
      <w:pPr>
        <w:spacing w:after="80"/>
      </w:pPr>
    </w:p>
    <w:p>
      <w:pPr>
        <w:spacing w:before="200" w:after="60"/>
      </w:pPr>
      <w:r>
        <w:rPr>
          <w:rFonts w:ascii="Arial" w:hAnsi="Arial"/>
          <w:b/>
          <w:i w:val="0"/>
          <w:color w:val="202124"/>
          <w:sz w:val="22"/>
        </w:rPr>
        <w:t>4.7 [Optional] Cloud Identity &amp; Google Workspace Domain-Wide Delegation</w:t>
      </w:r>
    </w:p>
    <w:p>
      <w:pPr>
        <w:spacing w:after="80" w:line="276" w:lineRule="auto"/>
      </w:pPr>
      <w:r>
        <w:rPr>
          <w:rFonts w:ascii="Arial" w:hAnsi="Arial"/>
          <w:b w:val="0"/>
          <w:i w:val="0"/>
          <w:color w:val="202124"/>
          <w:sz w:val="20"/>
        </w:rPr>
        <w:t>If Nubank utilizes Cloud Identity or Google Workspace and desires inspection of identity security configurations (2SV enforcement, external sharing settings, super admin privileges), Domain-Wide Delegation can be granted to the Service Account in the Google Workspace Admin Console (admin.google.com):</w:t>
      </w:r>
    </w:p>
    <w:tbl>
      <w:tblPr>
        <w:tblW w:type="auto" w:w="0"/>
        <w:jc w:val="center"/>
        <w:tblLayout w:type="fixed"/>
        <w:tblLook w:firstColumn="1" w:firstRow="1" w:lastColumn="0" w:lastRow="0" w:noHBand="0" w:noVBand="1" w:val="04A0"/>
      </w:tblPr>
      <w:tblGrid>
        <w:gridCol w:w="4968"/>
        <w:gridCol w:w="4968"/>
      </w:tblGrid>
      <w:tr>
        <w:tc>
          <w:tcPr>
            <w:tcW w:type="dxa" w:w="4896"/>
            <w:shd w:fill="1A73E8"/>
          </w:tcPr>
          <w:p>
            <w:pPr>
              <w:spacing w:before="60" w:after="60"/>
            </w:pPr>
            <w:r>
              <w:rPr>
                <w:rFonts w:ascii="Arial" w:hAnsi="Arial"/>
                <w:b/>
                <w:i w:val="0"/>
                <w:color w:val="FFFFFF"/>
                <w:sz w:val="19"/>
              </w:rPr>
              <w:t>API Scope Required</w:t>
            </w:r>
          </w:p>
        </w:tc>
        <w:tc>
          <w:tcPr>
            <w:tcW w:type="dxa" w:w="4896"/>
            <w:shd w:fill="1A73E8"/>
          </w:tcPr>
          <w:p>
            <w:pPr>
              <w:spacing w:before="60" w:after="60"/>
            </w:pPr>
            <w:r>
              <w:rPr>
                <w:rFonts w:ascii="Arial" w:hAnsi="Arial"/>
                <w:b/>
                <w:i w:val="0"/>
                <w:color w:val="FFFFFF"/>
                <w:sz w:val="19"/>
              </w:rPr>
              <w:t>Operational Purpose</w:t>
            </w:r>
          </w:p>
        </w:tc>
      </w:tr>
      <w:tr>
        <w:tc>
          <w:tcPr>
            <w:tcW w:type="dxa" w:w="4896"/>
            <w:shd w:fill="FFFFFF"/>
          </w:tcPr>
          <w:p>
            <w:pPr>
              <w:spacing w:before="40" w:after="40"/>
            </w:pPr>
            <w:r>
              <w:rPr>
                <w:rFonts w:ascii="Arial" w:hAnsi="Arial"/>
                <w:b w:val="0"/>
                <w:i w:val="0"/>
                <w:color w:val="202124"/>
                <w:sz w:val="18"/>
              </w:rPr>
              <w:t>https://www.googleapis.com/auth/admin.directory.user.readonly</w:t>
            </w:r>
          </w:p>
        </w:tc>
        <w:tc>
          <w:tcPr>
            <w:tcW w:type="dxa" w:w="4896"/>
            <w:shd w:fill="FFFFFF"/>
          </w:tcPr>
          <w:p>
            <w:pPr>
              <w:spacing w:before="40" w:after="40"/>
            </w:pPr>
            <w:r>
              <w:rPr>
                <w:rFonts w:ascii="Arial" w:hAnsi="Arial"/>
                <w:b w:val="0"/>
                <w:i w:val="0"/>
                <w:color w:val="202124"/>
                <w:sz w:val="18"/>
              </w:rPr>
              <w:t>Inspects user accounts, 2FA/2SV status, and security keys.</w:t>
            </w:r>
          </w:p>
        </w:tc>
      </w:tr>
      <w:tr>
        <w:tc>
          <w:tcPr>
            <w:tcW w:type="dxa" w:w="4896"/>
            <w:shd w:fill="F8F9FA"/>
          </w:tcPr>
          <w:p>
            <w:pPr>
              <w:spacing w:before="40" w:after="40"/>
            </w:pPr>
            <w:r>
              <w:rPr>
                <w:rFonts w:ascii="Arial" w:hAnsi="Arial"/>
                <w:b w:val="0"/>
                <w:i w:val="0"/>
                <w:color w:val="202124"/>
                <w:sz w:val="18"/>
              </w:rPr>
              <w:t>https://www.googleapis.com/auth/admin.directory.group.readonly</w:t>
            </w:r>
          </w:p>
        </w:tc>
        <w:tc>
          <w:tcPr>
            <w:tcW w:type="dxa" w:w="4896"/>
            <w:shd w:fill="F8F9FA"/>
          </w:tcPr>
          <w:p>
            <w:pPr>
              <w:spacing w:before="40" w:after="40"/>
            </w:pPr>
            <w:r>
              <w:rPr>
                <w:rFonts w:ascii="Arial" w:hAnsi="Arial"/>
                <w:b w:val="0"/>
                <w:i w:val="0"/>
                <w:color w:val="202124"/>
                <w:sz w:val="18"/>
              </w:rPr>
              <w:t>Inspects identity group memberships and external access.</w:t>
            </w:r>
          </w:p>
        </w:tc>
      </w:tr>
      <w:tr>
        <w:tc>
          <w:tcPr>
            <w:tcW w:type="dxa" w:w="4896"/>
            <w:shd w:fill="FFFFFF"/>
          </w:tcPr>
          <w:p>
            <w:pPr>
              <w:spacing w:before="40" w:after="40"/>
            </w:pPr>
            <w:r>
              <w:rPr>
                <w:rFonts w:ascii="Arial" w:hAnsi="Arial"/>
                <w:b w:val="0"/>
                <w:i w:val="0"/>
                <w:color w:val="202124"/>
                <w:sz w:val="18"/>
              </w:rPr>
              <w:t>https://www.googleapis.com/auth/admin.directory.domain.readonly</w:t>
            </w:r>
          </w:p>
        </w:tc>
        <w:tc>
          <w:tcPr>
            <w:tcW w:type="dxa" w:w="4896"/>
            <w:shd w:fill="FFFFFF"/>
          </w:tcPr>
          <w:p>
            <w:pPr>
              <w:spacing w:before="40" w:after="40"/>
            </w:pPr>
            <w:r>
              <w:rPr>
                <w:rFonts w:ascii="Arial" w:hAnsi="Arial"/>
                <w:b w:val="0"/>
                <w:i w:val="0"/>
                <w:color w:val="202124"/>
                <w:sz w:val="18"/>
              </w:rPr>
              <w:t>Validates primary and secondary domains configured in Cloud Identity.</w:t>
            </w:r>
          </w:p>
        </w:tc>
      </w:tr>
      <w:tr>
        <w:tc>
          <w:tcPr>
            <w:tcW w:type="dxa" w:w="4896"/>
            <w:shd w:fill="F8F9FA"/>
          </w:tcPr>
          <w:p>
            <w:pPr>
              <w:spacing w:before="40" w:after="40"/>
            </w:pPr>
            <w:r>
              <w:rPr>
                <w:rFonts w:ascii="Arial" w:hAnsi="Arial"/>
                <w:b w:val="0"/>
                <w:i w:val="0"/>
                <w:color w:val="202124"/>
                <w:sz w:val="18"/>
              </w:rPr>
              <w:t>https://www.googleapis.com/auth/admin.directory.rolemanagement.readonly</w:t>
            </w:r>
          </w:p>
        </w:tc>
        <w:tc>
          <w:tcPr>
            <w:tcW w:type="dxa" w:w="4896"/>
            <w:shd w:fill="F8F9FA"/>
          </w:tcPr>
          <w:p>
            <w:pPr>
              <w:spacing w:before="40" w:after="40"/>
            </w:pPr>
            <w:r>
              <w:rPr>
                <w:rFonts w:ascii="Arial" w:hAnsi="Arial"/>
                <w:b w:val="0"/>
                <w:i w:val="0"/>
                <w:color w:val="202124"/>
                <w:sz w:val="18"/>
              </w:rPr>
              <w:t>Audits custom admin roles and assigned administrative privileges.</w:t>
            </w:r>
          </w:p>
        </w:tc>
      </w:tr>
    </w:tbl>
    <w:p>
      <w:pPr>
        <w:spacing w:after="160"/>
      </w:pPr>
    </w:p>
    <w:p>
      <w:pPr>
        <w:spacing w:before="200" w:after="60"/>
      </w:pPr>
      <w:r>
        <w:rPr>
          <w:rFonts w:ascii="Arial" w:hAnsi="Arial"/>
          <w:b/>
          <w:i w:val="0"/>
          <w:color w:val="202124"/>
          <w:sz w:val="22"/>
        </w:rPr>
        <w:t>4.8 Cloud Run Job Manifest &amp; Configuration Flags</w:t>
      </w:r>
    </w:p>
    <w:p>
      <w:pPr>
        <w:spacing w:after="80" w:line="276" w:lineRule="auto"/>
      </w:pPr>
      <w:r>
        <w:rPr>
          <w:rFonts w:ascii="Arial" w:hAnsi="Arial"/>
          <w:b w:val="0"/>
          <w:i w:val="0"/>
          <w:color w:val="202124"/>
          <w:sz w:val="20"/>
        </w:rPr>
        <w:t>The Cloud Run Job specification defines which data sources are ingested. The flags can be adjusted based on requirements:</w:t>
      </w:r>
    </w:p>
    <w:tbl>
      <w:tblPr>
        <w:tblW w:type="auto" w:w="0"/>
        <w:jc w:val="center"/>
        <w:tblLayout w:type="fixed"/>
        <w:tblLook w:firstColumn="1" w:firstRow="1" w:lastColumn="0" w:lastRow="0" w:noHBand="0" w:noVBand="1" w:val="04A0"/>
      </w:tblPr>
      <w:tblGrid>
        <w:gridCol w:w="3312"/>
        <w:gridCol w:w="3312"/>
        <w:gridCol w:w="3312"/>
      </w:tblGrid>
      <w:tr>
        <w:tc>
          <w:tcPr>
            <w:tcW w:type="dxa" w:w="3264"/>
            <w:shd w:fill="1A73E8"/>
          </w:tcPr>
          <w:p>
            <w:pPr>
              <w:spacing w:before="60" w:after="60"/>
            </w:pPr>
            <w:r>
              <w:rPr>
                <w:rFonts w:ascii="Arial" w:hAnsi="Arial"/>
                <w:b/>
                <w:i w:val="0"/>
                <w:color w:val="FFFFFF"/>
                <w:sz w:val="19"/>
              </w:rPr>
              <w:t>Configuration Flag</w:t>
            </w:r>
          </w:p>
        </w:tc>
        <w:tc>
          <w:tcPr>
            <w:tcW w:type="dxa" w:w="3264"/>
            <w:shd w:fill="1A73E8"/>
          </w:tcPr>
          <w:p>
            <w:pPr>
              <w:spacing w:before="60" w:after="60"/>
            </w:pPr>
            <w:r>
              <w:rPr>
                <w:rFonts w:ascii="Arial" w:hAnsi="Arial"/>
                <w:b/>
                <w:i w:val="0"/>
                <w:color w:val="FFFFFF"/>
                <w:sz w:val="19"/>
              </w:rPr>
              <w:t>Default</w:t>
            </w:r>
          </w:p>
        </w:tc>
        <w:tc>
          <w:tcPr>
            <w:tcW w:type="dxa" w:w="3264"/>
            <w:shd w:fill="1A73E8"/>
          </w:tcPr>
          <w:p>
            <w:pPr>
              <w:spacing w:before="60" w:after="60"/>
            </w:pPr>
            <w:r>
              <w:rPr>
                <w:rFonts w:ascii="Arial" w:hAnsi="Arial"/>
                <w:b/>
                <w:i w:val="0"/>
                <w:color w:val="FFFFFF"/>
                <w:sz w:val="19"/>
              </w:rPr>
              <w:t>Description &amp; Operational Effect</w:t>
            </w:r>
          </w:p>
        </w:tc>
      </w:tr>
      <w:tr>
        <w:tc>
          <w:tcPr>
            <w:tcW w:type="dxa" w:w="3264"/>
            <w:shd w:fill="FFFFFF"/>
          </w:tcPr>
          <w:p>
            <w:pPr>
              <w:spacing w:before="40" w:after="40"/>
            </w:pPr>
            <w:r>
              <w:rPr>
                <w:rFonts w:ascii="Arial" w:hAnsi="Arial"/>
                <w:b w:val="0"/>
                <w:i w:val="0"/>
                <w:color w:val="202124"/>
                <w:sz w:val="18"/>
              </w:rPr>
              <w:t>ENABLE_CAI</w:t>
            </w:r>
          </w:p>
        </w:tc>
        <w:tc>
          <w:tcPr>
            <w:tcW w:type="dxa" w:w="3264"/>
            <w:shd w:fill="FFFFFF"/>
          </w:tcPr>
          <w:p>
            <w:pPr>
              <w:spacing w:before="40" w:after="40"/>
            </w:pPr>
            <w:r>
              <w:rPr>
                <w:rFonts w:ascii="Arial" w:hAnsi="Arial"/>
                <w:b w:val="0"/>
                <w:i w:val="0"/>
                <w:color w:val="202124"/>
                <w:sz w:val="18"/>
              </w:rPr>
              <w:t>TRUE</w:t>
            </w:r>
          </w:p>
        </w:tc>
        <w:tc>
          <w:tcPr>
            <w:tcW w:type="dxa" w:w="3264"/>
            <w:shd w:fill="FFFFFF"/>
          </w:tcPr>
          <w:p>
            <w:pPr>
              <w:spacing w:before="40" w:after="40"/>
            </w:pPr>
            <w:r>
              <w:rPr>
                <w:rFonts w:ascii="Arial" w:hAnsi="Arial"/>
                <w:b w:val="0"/>
                <w:i w:val="0"/>
                <w:color w:val="202124"/>
                <w:sz w:val="18"/>
              </w:rPr>
              <w:t>Ingests full Cloud Asset Inventory topology (compute, VPCs, IAM allow policies).</w:t>
            </w:r>
          </w:p>
        </w:tc>
      </w:tr>
      <w:tr>
        <w:tc>
          <w:tcPr>
            <w:tcW w:type="dxa" w:w="3264"/>
            <w:shd w:fill="F8F9FA"/>
          </w:tcPr>
          <w:p>
            <w:pPr>
              <w:spacing w:before="40" w:after="40"/>
            </w:pPr>
            <w:r>
              <w:rPr>
                <w:rFonts w:ascii="Arial" w:hAnsi="Arial"/>
                <w:b w:val="0"/>
                <w:i w:val="0"/>
                <w:color w:val="202124"/>
                <w:sz w:val="18"/>
              </w:rPr>
              <w:t>ENABLE_ORGPOLICY</w:t>
            </w:r>
          </w:p>
        </w:tc>
        <w:tc>
          <w:tcPr>
            <w:tcW w:type="dxa" w:w="3264"/>
            <w:shd w:fill="F8F9FA"/>
          </w:tcPr>
          <w:p>
            <w:pPr>
              <w:spacing w:before="40" w:after="40"/>
            </w:pPr>
            <w:r>
              <w:rPr>
                <w:rFonts w:ascii="Arial" w:hAnsi="Arial"/>
                <w:b w:val="0"/>
                <w:i w:val="0"/>
                <w:color w:val="202124"/>
                <w:sz w:val="18"/>
              </w:rPr>
              <w:t>TRUE</w:t>
            </w:r>
          </w:p>
        </w:tc>
        <w:tc>
          <w:tcPr>
            <w:tcW w:type="dxa" w:w="3264"/>
            <w:shd w:fill="F8F9FA"/>
          </w:tcPr>
          <w:p>
            <w:pPr>
              <w:spacing w:before="40" w:after="40"/>
            </w:pPr>
            <w:r>
              <w:rPr>
                <w:rFonts w:ascii="Arial" w:hAnsi="Arial"/>
                <w:b w:val="0"/>
                <w:i w:val="0"/>
                <w:color w:val="202124"/>
                <w:sz w:val="18"/>
              </w:rPr>
              <w:t>Ingests active and effective Organization Policies and constraints.</w:t>
            </w:r>
          </w:p>
        </w:tc>
      </w:tr>
      <w:tr>
        <w:tc>
          <w:tcPr>
            <w:tcW w:type="dxa" w:w="3264"/>
            <w:shd w:fill="FFFFFF"/>
          </w:tcPr>
          <w:p>
            <w:pPr>
              <w:spacing w:before="40" w:after="40"/>
            </w:pPr>
            <w:r>
              <w:rPr>
                <w:rFonts w:ascii="Arial" w:hAnsi="Arial"/>
                <w:b w:val="0"/>
                <w:i w:val="0"/>
                <w:color w:val="202124"/>
                <w:sz w:val="18"/>
              </w:rPr>
              <w:t>ENABLE_RECOMMENDER_EXPORT</w:t>
            </w:r>
          </w:p>
        </w:tc>
        <w:tc>
          <w:tcPr>
            <w:tcW w:type="dxa" w:w="3264"/>
            <w:shd w:fill="FFFFFF"/>
          </w:tcPr>
          <w:p>
            <w:pPr>
              <w:spacing w:before="40" w:after="40"/>
            </w:pPr>
            <w:r>
              <w:rPr>
                <w:rFonts w:ascii="Arial" w:hAnsi="Arial"/>
                <w:b w:val="0"/>
                <w:i w:val="0"/>
                <w:color w:val="202124"/>
                <w:sz w:val="18"/>
              </w:rPr>
              <w:t>TRUE</w:t>
            </w:r>
          </w:p>
        </w:tc>
        <w:tc>
          <w:tcPr>
            <w:tcW w:type="dxa" w:w="3264"/>
            <w:shd w:fill="FFFFFF"/>
          </w:tcPr>
          <w:p>
            <w:pPr>
              <w:spacing w:before="40" w:after="40"/>
            </w:pPr>
            <w:r>
              <w:rPr>
                <w:rFonts w:ascii="Arial" w:hAnsi="Arial"/>
                <w:b w:val="0"/>
                <w:i w:val="0"/>
                <w:color w:val="202124"/>
                <w:sz w:val="18"/>
              </w:rPr>
              <w:t>Exports security, IAM, and cost recommendations into BigQuery.</w:t>
            </w:r>
          </w:p>
        </w:tc>
      </w:tr>
      <w:tr>
        <w:tc>
          <w:tcPr>
            <w:tcW w:type="dxa" w:w="3264"/>
            <w:shd w:fill="F8F9FA"/>
          </w:tcPr>
          <w:p>
            <w:pPr>
              <w:spacing w:before="40" w:after="40"/>
            </w:pPr>
            <w:r>
              <w:rPr>
                <w:rFonts w:ascii="Arial" w:hAnsi="Arial"/>
                <w:b w:val="0"/>
                <w:i w:val="0"/>
                <w:color w:val="202124"/>
                <w:sz w:val="18"/>
              </w:rPr>
              <w:t>ENABLE_SAKEY_ANALYZER</w:t>
            </w:r>
          </w:p>
        </w:tc>
        <w:tc>
          <w:tcPr>
            <w:tcW w:type="dxa" w:w="3264"/>
            <w:shd w:fill="F8F9FA"/>
          </w:tcPr>
          <w:p>
            <w:pPr>
              <w:spacing w:before="40" w:after="40"/>
            </w:pPr>
            <w:r>
              <w:rPr>
                <w:rFonts w:ascii="Arial" w:hAnsi="Arial"/>
                <w:b w:val="0"/>
                <w:i w:val="0"/>
                <w:color w:val="202124"/>
                <w:sz w:val="18"/>
              </w:rPr>
              <w:t>TRUE</w:t>
            </w:r>
          </w:p>
        </w:tc>
        <w:tc>
          <w:tcPr>
            <w:tcW w:type="dxa" w:w="3264"/>
            <w:shd w:fill="F8F9FA"/>
          </w:tcPr>
          <w:p>
            <w:pPr>
              <w:spacing w:before="40" w:after="40"/>
            </w:pPr>
            <w:r>
              <w:rPr>
                <w:rFonts w:ascii="Arial" w:hAnsi="Arial"/>
                <w:b w:val="0"/>
                <w:i w:val="0"/>
                <w:color w:val="202124"/>
                <w:sz w:val="18"/>
              </w:rPr>
              <w:t>Ingests Policy Analyzer data for unused Service Account keys.</w:t>
            </w:r>
          </w:p>
        </w:tc>
      </w:tr>
      <w:tr>
        <w:tc>
          <w:tcPr>
            <w:tcW w:type="dxa" w:w="3264"/>
            <w:shd w:fill="FFFFFF"/>
          </w:tcPr>
          <w:p>
            <w:pPr>
              <w:spacing w:before="40" w:after="40"/>
            </w:pPr>
            <w:r>
              <w:rPr>
                <w:rFonts w:ascii="Arial" w:hAnsi="Arial"/>
                <w:b w:val="0"/>
                <w:i w:val="0"/>
                <w:color w:val="202124"/>
                <w:sz w:val="18"/>
              </w:rPr>
              <w:t>ENABLE_CLOUD_IDENTITY</w:t>
            </w:r>
          </w:p>
        </w:tc>
        <w:tc>
          <w:tcPr>
            <w:tcW w:type="dxa" w:w="3264"/>
            <w:shd w:fill="FFFFFF"/>
          </w:tcPr>
          <w:p>
            <w:pPr>
              <w:spacing w:before="40" w:after="40"/>
            </w:pPr>
            <w:r>
              <w:rPr>
                <w:rFonts w:ascii="Arial" w:hAnsi="Arial"/>
                <w:b w:val="0"/>
                <w:i w:val="0"/>
                <w:color w:val="202124"/>
                <w:sz w:val="18"/>
              </w:rPr>
              <w:t>FALSE</w:t>
            </w:r>
          </w:p>
        </w:tc>
        <w:tc>
          <w:tcPr>
            <w:tcW w:type="dxa" w:w="3264"/>
            <w:shd w:fill="FFFFFF"/>
          </w:tcPr>
          <w:p>
            <w:pPr>
              <w:spacing w:before="40" w:after="40"/>
            </w:pPr>
            <w:r>
              <w:rPr>
                <w:rFonts w:ascii="Arial" w:hAnsi="Arial"/>
                <w:b w:val="0"/>
                <w:i w:val="0"/>
                <w:color w:val="202124"/>
                <w:sz w:val="18"/>
              </w:rPr>
              <w:t>Set to TRUE only if Domain-Wide Delegation was configured in Section 4.7.</w:t>
            </w:r>
          </w:p>
        </w:tc>
      </w:tr>
      <w:tr>
        <w:tc>
          <w:tcPr>
            <w:tcW w:type="dxa" w:w="3264"/>
            <w:shd w:fill="F8F9FA"/>
          </w:tcPr>
          <w:p>
            <w:pPr>
              <w:spacing w:before="40" w:after="40"/>
            </w:pPr>
            <w:r>
              <w:rPr>
                <w:rFonts w:ascii="Arial" w:hAnsi="Arial"/>
                <w:b w:val="0"/>
                <w:i w:val="0"/>
                <w:color w:val="202124"/>
                <w:sz w:val="18"/>
              </w:rPr>
              <w:t>ENABLE_ALL</w:t>
            </w:r>
          </w:p>
        </w:tc>
        <w:tc>
          <w:tcPr>
            <w:tcW w:type="dxa" w:w="3264"/>
            <w:shd w:fill="F8F9FA"/>
          </w:tcPr>
          <w:p>
            <w:pPr>
              <w:spacing w:before="40" w:after="40"/>
            </w:pPr>
            <w:r>
              <w:rPr>
                <w:rFonts w:ascii="Arial" w:hAnsi="Arial"/>
                <w:b w:val="0"/>
                <w:i w:val="0"/>
                <w:color w:val="202124"/>
                <w:sz w:val="18"/>
              </w:rPr>
              <w:t>FALSE</w:t>
            </w:r>
          </w:p>
        </w:tc>
        <w:tc>
          <w:tcPr>
            <w:tcW w:type="dxa" w:w="3264"/>
            <w:shd w:fill="F8F9FA"/>
          </w:tcPr>
          <w:p>
            <w:pPr>
              <w:spacing w:before="40" w:after="40"/>
            </w:pPr>
            <w:r>
              <w:rPr>
                <w:rFonts w:ascii="Arial" w:hAnsi="Arial"/>
                <w:b w:val="0"/>
                <w:i w:val="0"/>
                <w:color w:val="202124"/>
                <w:sz w:val="18"/>
              </w:rPr>
              <w:t>Overrides individual flags and enables all data sources.</w:t>
            </w:r>
          </w:p>
        </w:tc>
      </w:tr>
    </w:tbl>
    <w:p>
      <w:pPr>
        <w:spacing w:after="160"/>
      </w:pPr>
    </w:p>
    <w:p>
      <w:pPr>
        <w:spacing w:before="200" w:after="60"/>
      </w:pPr>
      <w:r>
        <w:rPr>
          <w:rFonts w:ascii="Arial" w:hAnsi="Arial"/>
          <w:b/>
          <w:i w:val="0"/>
          <w:color w:val="202124"/>
          <w:sz w:val="22"/>
        </w:rPr>
        <w:t>4.9 Grant Google Cloud PSO Team IAM Roles</w:t>
      </w:r>
    </w:p>
    <w:tbl>
      <w:tblPr>
        <w:tblW w:type="auto" w:w="0"/>
        <w:jc w:val="center"/>
        <w:tblLook w:firstColumn="1" w:firstRow="1" w:lastColumn="0" w:lastRow="0" w:noHBand="0" w:noVBand="1" w:val="04A0"/>
      </w:tblPr>
      <w:tblGrid>
        <w:gridCol w:w="9936"/>
      </w:tblGrid>
      <w:tr>
        <w:tc>
          <w:tcPr>
            <w:tcW w:type="dxa" w:w="9792"/>
            <w:shd w:fill="F1F3F4"/>
            <w:tcBorders>
              <w:top w:val="single" w:sz="6" w:space="0" w:color="DADCE0"/>
              <w:left w:val="single" w:sz="6" w:space="0" w:color="DADCE0"/>
              <w:bottom w:val="single" w:sz="6" w:space="0" w:color="DADCE0"/>
              <w:right w:val="single" w:sz="6" w:space="0" w:color="DADCE0"/>
            </w:tcBorders>
          </w:tcPr>
          <w:p>
            <w:pPr>
              <w:spacing w:before="80" w:after="80" w:line="252" w:lineRule="auto"/>
            </w:pPr>
            <w:r>
              <w:rPr>
                <w:rFonts w:ascii="Consolas" w:hAnsi="Consolas"/>
                <w:b w:val="0"/>
                <w:i w:val="0"/>
                <w:color w:val="202124"/>
                <w:sz w:val="17"/>
              </w:rPr>
              <w:t>for ROLE in roles/bigquery.dataEditor roles/bigquery.user roles/logging.viewer             roles/run.admin roles/iam.serviceAccountUser roles/serviceusage.serviceUsageConsumer; do</w:t>
              <w:br/>
              <w:t xml:space="preserve">  gcloud projects add-iam-policy-binding      --member="user:"     --role="" --quiet</w:t>
              <w:br/>
              <w:t>done</w:t>
            </w:r>
          </w:p>
        </w:tc>
      </w:tr>
    </w:tbl>
    <w:p>
      <w:pPr>
        <w:spacing w:after="80"/>
      </w:pPr>
    </w:p>
    <w:p>
      <w:pPr>
        <w:spacing w:before="280" w:after="80"/>
      </w:pPr>
      <w:r>
        <w:rPr>
          <w:rFonts w:ascii="Arial" w:hAnsi="Arial"/>
          <w:b/>
          <w:i w:val="0"/>
          <w:color w:val="1A73E8"/>
          <w:sz w:val="26"/>
        </w:rPr>
        <w:t>5. Post-Setup Handoff &amp; PSO Execution Workflow (Step 3 Overview)</w:t>
      </w:r>
    </w:p>
    <w:p>
      <w:pPr>
        <w:spacing w:after="80" w:line="276" w:lineRule="auto"/>
      </w:pPr>
      <w:r>
        <w:rPr>
          <w:rFonts w:ascii="Arial" w:hAnsi="Arial"/>
          <w:b w:val="0"/>
          <w:i w:val="0"/>
          <w:color w:val="202124"/>
          <w:sz w:val="20"/>
        </w:rPr>
        <w:t>Once the Nubank team completes the setup and sends cspr_environment_summary.txt to Joabson Saccomani, responsibility passes to the Google Cloud PSO team. Nubank engineers do not need to execute anything further.</w:t>
      </w:r>
    </w:p>
    <w:p>
      <w:pPr>
        <w:spacing w:after="80" w:line="276" w:lineRule="auto"/>
      </w:pPr>
      <w:r>
        <w:rPr>
          <w:rFonts w:ascii="Arial" w:hAnsi="Arial"/>
          <w:b w:val="0"/>
          <w:i w:val="0"/>
          <w:color w:val="202124"/>
          <w:sz w:val="20"/>
        </w:rPr>
        <w:t>Google Cloud PSO executes the following pipeline:</w:t>
      </w:r>
    </w:p>
    <w:p>
      <w:pPr>
        <w:spacing w:after="80" w:line="276" w:lineRule="auto"/>
      </w:pPr>
      <w:r>
        <w:rPr>
          <w:rFonts w:ascii="Arial" w:hAnsi="Arial"/>
          <w:b/>
          <w:i w:val="0"/>
          <w:color w:val="202124"/>
          <w:sz w:val="20"/>
        </w:rPr>
        <w:t xml:space="preserve">1. Container Upload: </w:t>
      </w:r>
      <w:r>
        <w:rPr>
          <w:rFonts w:ascii="Arial" w:hAnsi="Arial"/>
          <w:b w:val="0"/>
          <w:i w:val="0"/>
          <w:color w:val="202124"/>
          <w:sz w:val="20"/>
        </w:rPr>
        <w:t>Google PSO pulls the proprietary image us-docker.pkg.dev/cloud-pso-security/cspr-toolkit/cspr-toolkit-prerequisites:v3.0.8 and pushes it to Nubank customer-cspr-toolkit repository.</w:t>
      </w:r>
    </w:p>
    <w:p>
      <w:pPr>
        <w:spacing w:after="80" w:line="276" w:lineRule="auto"/>
      </w:pPr>
      <w:r>
        <w:rPr>
          <w:rFonts w:ascii="Arial" w:hAnsi="Arial"/>
          <w:b/>
          <w:i w:val="0"/>
          <w:color w:val="202124"/>
          <w:sz w:val="20"/>
        </w:rPr>
        <w:t xml:space="preserve">2. Job Dispatch: </w:t>
      </w:r>
      <w:r>
        <w:rPr>
          <w:rFonts w:ascii="Arial" w:hAnsi="Arial"/>
          <w:b w:val="0"/>
          <w:i w:val="0"/>
          <w:color w:val="202124"/>
          <w:sz w:val="20"/>
        </w:rPr>
        <w:t>Google PSO replaces the Job manifest and triggers gcloud run jobs execute cspr-prereq-job --wait.</w:t>
      </w:r>
    </w:p>
    <w:p>
      <w:pPr>
        <w:spacing w:after="80" w:line="276" w:lineRule="auto"/>
      </w:pPr>
      <w:r>
        <w:rPr>
          <w:rFonts w:ascii="Arial" w:hAnsi="Arial"/>
          <w:b/>
          <w:i w:val="0"/>
          <w:color w:val="202124"/>
          <w:sz w:val="20"/>
        </w:rPr>
        <w:t xml:space="preserve">3. Telemetry Ingestion (48-72h): </w:t>
      </w:r>
      <w:r>
        <w:rPr>
          <w:rFonts w:ascii="Arial" w:hAnsi="Arial"/>
          <w:b w:val="0"/>
          <w:i w:val="0"/>
          <w:color w:val="202124"/>
          <w:sz w:val="20"/>
        </w:rPr>
        <w:t>Cloud Asset Inventory and Org Policies populate immediately. Recommenders (cspr_rec) require 48 to 72 hours for complete historical consolidation.</w:t>
      </w:r>
    </w:p>
    <w:p>
      <w:pPr>
        <w:spacing w:after="80" w:line="276" w:lineRule="auto"/>
      </w:pPr>
      <w:r>
        <w:rPr>
          <w:rFonts w:ascii="Arial" w:hAnsi="Arial"/>
          <w:b/>
          <w:i w:val="0"/>
          <w:color w:val="202124"/>
          <w:sz w:val="20"/>
        </w:rPr>
        <w:t xml:space="preserve">4. Findings Generation: </w:t>
      </w:r>
      <w:r>
        <w:rPr>
          <w:rFonts w:ascii="Arial" w:hAnsi="Arial"/>
          <w:b w:val="0"/>
          <w:i w:val="0"/>
          <w:color w:val="202124"/>
          <w:sz w:val="20"/>
        </w:rPr>
        <w:t>Google PSO runs cspr-toolkit-findings to evaluate CIS benchmarks and generates the Review Checklist and Looker Studio dashboard for Week 3 Discovery Workshops.</w:t>
      </w:r>
    </w:p>
    <w:p>
      <w:pPr>
        <w:spacing w:before="280" w:after="80"/>
      </w:pPr>
      <w:r>
        <w:rPr>
          <w:rFonts w:ascii="Arial" w:hAnsi="Arial"/>
          <w:b/>
          <w:i w:val="0"/>
          <w:color w:val="1A73E8"/>
          <w:sz w:val="26"/>
        </w:rPr>
        <w:t>6. Appendix: Advanced Troubleshooting &amp; Organization Policies</w:t>
      </w:r>
    </w:p>
    <w:p>
      <w:pPr>
        <w:spacing w:before="200" w:after="60"/>
      </w:pPr>
      <w:r>
        <w:rPr>
          <w:rFonts w:ascii="Arial" w:hAnsi="Arial"/>
          <w:b/>
          <w:i w:val="0"/>
          <w:color w:val="202124"/>
          <w:sz w:val="22"/>
        </w:rPr>
        <w:t>Appendix A: Domain Restricted Sharing (DRS) Policy Handling</w:t>
      </w:r>
    </w:p>
    <w:p>
      <w:pPr>
        <w:spacing w:after="80" w:line="276" w:lineRule="auto"/>
      </w:pPr>
      <w:r>
        <w:rPr>
          <w:rFonts w:ascii="Arial" w:hAnsi="Arial"/>
          <w:b w:val="0"/>
          <w:i w:val="0"/>
          <w:color w:val="202124"/>
          <w:sz w:val="20"/>
        </w:rPr>
        <w:t>If Nubank strictly prohibits disabling constraints/iam.allowedPolicyMemberDomains even at the project level, Nubank can add Google Customer ID to the allowed domains list:</w:t>
      </w:r>
    </w:p>
    <w:p>
      <w:pPr>
        <w:spacing w:after="80" w:line="276" w:lineRule="auto"/>
      </w:pPr>
      <w:r>
        <w:rPr>
          <w:rFonts w:ascii="Arial" w:hAnsi="Arial"/>
          <w:b/>
          <w:i w:val="0"/>
          <w:color w:val="202124"/>
          <w:sz w:val="20"/>
        </w:rPr>
        <w:t xml:space="preserve">• </w:t>
      </w:r>
      <w:r>
        <w:rPr>
          <w:rFonts w:ascii="Arial" w:hAnsi="Arial"/>
          <w:b w:val="0"/>
          <w:i w:val="0"/>
          <w:color w:val="202124"/>
          <w:sz w:val="20"/>
        </w:rPr>
        <w:t>Google Cloud Customer ID: C02h8e9nw</w:t>
      </w:r>
    </w:p>
    <w:p>
      <w:pPr>
        <w:spacing w:after="80" w:line="276" w:lineRule="auto"/>
      </w:pPr>
      <w:r>
        <w:rPr>
          <w:rFonts w:ascii="Arial" w:hAnsi="Arial"/>
          <w:b/>
          <w:i w:val="0"/>
          <w:color w:val="202124"/>
          <w:sz w:val="20"/>
        </w:rPr>
        <w:t xml:space="preserve">• Note: </w:t>
      </w:r>
      <w:r>
        <w:rPr>
          <w:rFonts w:ascii="Arial" w:hAnsi="Arial"/>
          <w:b w:val="0"/>
          <w:i w:val="0"/>
          <w:color w:val="202124"/>
          <w:sz w:val="20"/>
        </w:rPr>
        <w:t>Adding C02h8e9nw allows IAM role grants to @google.com identities without disabling DRS.</w:t>
      </w:r>
    </w:p>
    <w:p>
      <w:pPr>
        <w:spacing w:before="200" w:after="60"/>
      </w:pPr>
      <w:r>
        <w:rPr>
          <w:rFonts w:ascii="Arial" w:hAnsi="Arial"/>
          <w:b/>
          <w:i w:val="0"/>
          <w:color w:val="202124"/>
          <w:sz w:val="22"/>
        </w:rPr>
        <w:t>Appendix B: Restrict Resource Service Usage Policy</w:t>
      </w:r>
    </w:p>
    <w:p>
      <w:pPr>
        <w:spacing w:after="80" w:line="276" w:lineRule="auto"/>
      </w:pPr>
      <w:r>
        <w:rPr>
          <w:rFonts w:ascii="Arial" w:hAnsi="Arial"/>
          <w:b w:val="0"/>
          <w:i w:val="0"/>
          <w:color w:val="202124"/>
          <w:sz w:val="20"/>
        </w:rPr>
        <w:t>If the customer uses constraints/gcp.restrictServiceUsage at the Organization level, ensure the 7 mandatory APIs (cloudasset, bigquery, run, artifactregistry, policyanalyzer, recommender, serviceusage) are included in the allowed services list.</w:t>
      </w:r>
    </w:p>
    <w:p>
      <w:pPr>
        <w:spacing w:before="200" w:after="60"/>
      </w:pPr>
      <w:r>
        <w:rPr>
          <w:rFonts w:ascii="Arial" w:hAnsi="Arial"/>
          <w:b/>
          <w:i w:val="0"/>
          <w:color w:val="202124"/>
          <w:sz w:val="22"/>
        </w:rPr>
        <w:t>Appendix C: Allowed VPC Egress for Cloud Run</w:t>
      </w:r>
    </w:p>
    <w:p>
      <w:pPr>
        <w:spacing w:after="80" w:line="276" w:lineRule="auto"/>
      </w:pPr>
      <w:r>
        <w:rPr>
          <w:rFonts w:ascii="Arial" w:hAnsi="Arial"/>
          <w:b w:val="0"/>
          <w:i w:val="0"/>
          <w:color w:val="202124"/>
          <w:sz w:val="20"/>
        </w:rPr>
        <w:t>If constraints/run.allowedVPCEgress is enforced, Cloud Run Job creation without a VPC connector may be blocked. In this scenario, add the annotation run.googleapis.com/vpc-access-egress: all-traffic or execute the container image locally within Nubank VPC.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