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A32D2D"/>
          <w:sz w:val="64"/>
          <w:szCs w:val="64"/>
        </w:rPr>
        <w:t xml:space="preserve">CricRelay</w:t>
      </w:r>
    </w:p>
    <w:p>
      <w:pPr>
        <w:spacing w:after="40"/>
      </w:pPr>
      <w:r>
        <w:rPr>
          <w:rFonts w:ascii="Arial" w:cs="Arial" w:eastAsia="Arial" w:hAnsi="Arial"/>
          <w:color w:val="501313"/>
          <w:sz w:val="32"/>
          <w:szCs w:val="32"/>
        </w:rPr>
        <w:t xml:space="preserve">Legal Risk Analysis &amp; Mitigation Plan</w:t>
      </w:r>
    </w:p>
    <w:p>
      <w:pPr>
        <w:spacing w:after="40"/>
      </w:pPr>
      <w:r>
        <w:rPr>
          <w:rFonts w:ascii="Arial" w:cs="Arial" w:eastAsia="Arial" w:hAnsi="Arial"/>
          <w:color w:val="546E7A"/>
          <w:sz w:val="22"/>
          <w:szCs w:val="22"/>
        </w:rPr>
        <w:t xml:space="preserve">All three product tiers — v1.0 — May 2026</w:t>
      </w:r>
    </w:p>
    <w:p>
      <w:pPr>
        <w:pBdr>
          <w:left w:val="single" w:color="A32D2D" w:sz="16" w:space="12"/>
        </w:pBdr>
        <w:spacing w:after="360" w:before="240"/>
        <w:ind w:left="360"/>
      </w:pPr>
      <w:r>
        <w:rPr>
          <w:rFonts w:ascii="Arial" w:cs="Arial" w:eastAsia="Arial" w:hAnsi="Arial"/>
          <w:i/>
          <w:iCs/>
          <w:color w:val="546E7A"/>
          <w:sz w:val="22"/>
          <w:szCs w:val="22"/>
        </w:rPr>
        <w:t xml:space="preserve">Every credible legal, regulatory, contractual, and commercial risk facing CricRelay across all three product tiers (Go, Pro, Elite). For each: likelihood, severity, mitigation strategy, and timing. Written as if Claude were CricRelay’s general counsel. Not legal advice — a UK solicitor must review before any of this is acted upon.</w:t>
      </w:r>
    </w:p>
    <w:p>
      <w:pPr>
        <w:pBdr>
          <w:left w:val="single" w:color="A32D2D" w:sz="14" w:space="8"/>
        </w:pBdr>
        <w:shd w:fill="FCEBEB" w:val="clear"/>
        <w:spacing w:after="100"/>
        <w:ind w:left="360"/>
      </w:pPr>
      <w:r>
        <w:rPr>
          <w:rFonts w:ascii="Arial" w:cs="Arial" w:eastAsia="Arial" w:hAnsi="Arial"/>
          <w:b/>
          <w:bCs/>
          <w:color w:val="501313"/>
          <w:sz w:val="20"/>
          <w:szCs w:val="20"/>
        </w:rPr>
        <w:t xml:space="preserve">CRITICAL DISCLAIMER: This document is for strategic planning only. Before taking any action that could create legal exposure — contacting ECB, signing manufacturer agreements, registering trade marks, launching products — the founder must engage a UK solicitor experienced in technology, IP, and competition law. Recommended firms: Bird &amp; Bird, Mishcon de Reya, Taylor Wessing, or specialist sports/tech firm Wiggin LLP.</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26"/>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Document ID</w:t>
            </w:r>
          </w:p>
        </w:tc>
        <w:tc>
          <w:tcPr>
            <w:tcW w:type="dxa" w:w="6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CRL-LEGAL-001</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Status</w:t>
            </w:r>
          </w:p>
        </w:tc>
        <w:tc>
          <w:tcPr>
            <w:tcW w:type="dxa" w:w="6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Internal strategic analysis — not legal advice</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Prepared for</w:t>
            </w:r>
          </w:p>
        </w:tc>
        <w:tc>
          <w:tcPr>
            <w:tcW w:type="dxa" w:w="6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CricRelay founder</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Date</w:t>
            </w:r>
          </w:p>
        </w:tc>
        <w:tc>
          <w:tcPr>
            <w:tcW w:type="dxa" w:w="6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May 2026</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Jurisdictions</w:t>
            </w:r>
          </w:p>
        </w:tc>
        <w:tc>
          <w:tcPr>
            <w:tcW w:type="dxa" w:w="6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England &amp; Wales primary. Australia, NZ, India secondary.</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Next review</w:t>
            </w:r>
          </w:p>
        </w:tc>
        <w:tc>
          <w:tcPr>
            <w:tcW w:type="dxa" w:w="6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Before any external action is taken</w:t>
            </w:r>
          </w:p>
        </w:tc>
      </w:tr>
    </w:tbl>
    <w:p>
      <w:r>
        <w:br w:type="page"/>
      </w:r>
    </w:p>
    <w:p>
      <w:pPr>
        <w:pStyle w:val="Heading1"/>
        <w:pBdr>
          <w:bottom w:val="single" w:color="A32D2D" w:sz="4" w:space="4"/>
        </w:pBdr>
        <w:spacing w:after="120" w:before="360"/>
      </w:pPr>
      <w:r>
        <w:rPr>
          <w:rFonts w:ascii="Arial" w:cs="Arial" w:eastAsia="Arial" w:hAnsi="Arial"/>
          <w:b/>
          <w:bCs/>
          <w:color w:val="A32D2D"/>
          <w:sz w:val="32"/>
          <w:szCs w:val="32"/>
        </w:rPr>
        <w:t xml:space="preserve">1. Executive summary</w:t>
      </w:r>
    </w:p>
    <w:p>
      <w:pPr>
        <w:spacing w:after="100"/>
      </w:pPr>
      <w:r>
        <w:rPr>
          <w:rFonts w:ascii="Arial" w:cs="Arial" w:eastAsia="Arial" w:hAnsi="Arial"/>
          <w:sz w:val="22"/>
          <w:szCs w:val="22"/>
        </w:rPr>
        <w:t xml:space="preserve">CricRelay sits at the intersection of four legally sensitive areas: (1) interfacing with ECB-owned scoring software via an undocumented but publicly known Bluetooth protocol; (2) competing directly with FrogBox, an ECB commercial partner owned by Sportradar; (3) using YouTube Live infrastructure with embedded score data; and (4) selling hardware containing 5G modems, lithium batteries, and electronic gimbals subject to UK and EU product safety regimes.</w:t>
      </w:r>
    </w:p>
    <w:p>
      <w:pPr>
        <w:spacing w:after="100"/>
      </w:pPr>
      <w:r>
        <w:t xml:space="preserve"/>
      </w:r>
    </w:p>
    <w:p>
      <w:pPr>
        <w:spacing w:after="100"/>
      </w:pPr>
      <w:r>
        <w:rPr>
          <w:rFonts w:ascii="Arial" w:cs="Arial" w:eastAsia="Arial" w:hAnsi="Arial"/>
          <w:sz w:val="22"/>
          <w:szCs w:val="22"/>
        </w:rPr>
        <w:t xml:space="preserve">The single most important strategic finding: the ECB’s own published guidance directs scoreboard manufacturers to contact play.cricket@ecb.co.uk for Bluetooth integration. CricRelay’s product is, in technical terms, a scoreboard with a streaming output. Positioning it accurately as a scoreboard manufacturer (not as a video streaming competitor to FrogBox) is the single most valuable strategic move available.</w:t>
      </w:r>
    </w:p>
    <w:p>
      <w:pPr>
        <w:spacing w:after="100"/>
      </w:pPr>
      <w:r>
        <w:t xml:space="preserve"/>
      </w:r>
    </w:p>
    <w:p>
      <w:pPr>
        <w:pStyle w:val="Heading2"/>
        <w:spacing w:after="80" w:before="240"/>
      </w:pPr>
      <w:r>
        <w:rPr>
          <w:rFonts w:ascii="Arial" w:cs="Arial" w:eastAsia="Arial" w:hAnsi="Arial"/>
          <w:b/>
          <w:bCs/>
          <w:color w:val="501313"/>
          <w:sz w:val="26"/>
          <w:szCs w:val="26"/>
        </w:rPr>
        <w:t xml:space="preserve">Top five risks ranked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500"/>
        <w:gridCol w:w="2326"/>
      </w:tblGrid>
      <w:tr>
        <w:tc>
          <w:tcPr>
            <w:tcW w:type="dxa" w:w="38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5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26"/>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Tiers affected</w:t>
            </w:r>
          </w:p>
        </w:tc>
      </w:tr>
      <w:tr>
        <w:tc>
          <w:tcPr>
            <w:tcW w:type="dxa" w:w="3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 ECB withdraws or restricts BLE protocol access</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Medium</w:t>
            </w:r>
          </w:p>
        </w:tc>
        <w:tc>
          <w:tcPr>
            <w:tcW w:type="dxa" w:w="1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Existential</w:t>
            </w:r>
          </w:p>
        </w:tc>
        <w:tc>
          <w:tcPr>
            <w:tcW w:type="dxa" w:w="23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All three</w:t>
            </w:r>
          </w:p>
        </w:tc>
      </w:tr>
      <w:tr>
        <w:tc>
          <w:tcPr>
            <w:tcW w:type="dxa" w:w="3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2. FrogBox / Sportradar competitive lobbying with ECB</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Medium-high</w:t>
            </w:r>
          </w:p>
        </w:tc>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High</w:t>
            </w:r>
          </w:p>
        </w:tc>
        <w:tc>
          <w:tcPr>
            <w:tcW w:type="dxa" w:w="23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All three</w:t>
            </w:r>
          </w:p>
        </w:tc>
      </w:tr>
      <w:tr>
        <w:tc>
          <w:tcPr>
            <w:tcW w:type="dxa" w:w="3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3. Product safety breach (LiPo, 5G RF, UKCA marking)</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Low if managed</w:t>
            </w:r>
          </w:p>
        </w:tc>
        <w:tc>
          <w:tcPr>
            <w:tcW w:type="dxa" w:w="1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High</w:t>
            </w:r>
          </w:p>
        </w:tc>
        <w:tc>
          <w:tcPr>
            <w:tcW w:type="dxa" w:w="23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All three</w:t>
            </w:r>
          </w:p>
        </w:tc>
      </w:tr>
      <w:tr>
        <w:tc>
          <w:tcPr>
            <w:tcW w:type="dxa" w:w="3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4. PCS Terms of Service ‘reverse engineering’ clause</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Medium</w:t>
            </w:r>
          </w:p>
        </w:tc>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Medium-high</w:t>
            </w:r>
          </w:p>
        </w:tc>
        <w:tc>
          <w:tcPr>
            <w:tcW w:type="dxa" w:w="23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All three</w:t>
            </w:r>
          </w:p>
        </w:tc>
      </w:tr>
      <w:tr>
        <w:tc>
          <w:tcPr>
            <w:tcW w:type="dxa" w:w="3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5. UK GDPR — club and player data</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Low-medium</w:t>
            </w:r>
          </w:p>
        </w:tc>
        <w:tc>
          <w:tcPr>
            <w:tcW w:type="dxa" w:w="1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Medium</w:t>
            </w:r>
          </w:p>
        </w:tc>
        <w:tc>
          <w:tcPr>
            <w:tcW w:type="dxa" w:w="23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All three</w:t>
            </w:r>
          </w:p>
        </w:tc>
      </w:tr>
    </w:tbl>
    <w:p>
      <w:pPr>
        <w:spacing w:after="100"/>
      </w:pPr>
      <w:r>
        <w:t xml:space="preserve"/>
      </w:r>
    </w:p>
    <w:p>
      <w:pPr>
        <w:pStyle w:val="Heading2"/>
        <w:spacing w:after="80" w:before="240"/>
      </w:pPr>
      <w:r>
        <w:rPr>
          <w:rFonts w:ascii="Arial" w:cs="Arial" w:eastAsia="Arial" w:hAnsi="Arial"/>
          <w:b/>
          <w:bCs/>
          <w:color w:val="501313"/>
          <w:sz w:val="26"/>
          <w:szCs w:val="26"/>
        </w:rPr>
        <w:t xml:space="preserve">Top five mitigations — in order</w:t>
      </w:r>
    </w:p>
    <w:p>
      <w:pPr>
        <w:pStyle w:val="ListParagraph"/>
        <w:numPr>
          <w:ilvl w:val="0"/>
          <w:numId w:val="2"/>
        </w:numPr>
        <w:spacing w:after="60"/>
      </w:pPr>
      <w:r>
        <w:rPr>
          <w:rFonts w:ascii="Arial" w:cs="Arial" w:eastAsia="Arial" w:hAnsi="Arial"/>
          <w:sz w:val="22"/>
          <w:szCs w:val="22"/>
        </w:rPr>
        <w:t xml:space="preserve">Engage ECB now as a scoreboard manufacturer (single email). Get listed on the ECB scoreboard integration page alongside Durant and Sportsequip before launch.</w:t>
      </w:r>
    </w:p>
    <w:p>
      <w:pPr>
        <w:pStyle w:val="ListParagraph"/>
        <w:numPr>
          <w:ilvl w:val="0"/>
          <w:numId w:val="2"/>
        </w:numPr>
        <w:spacing w:after="60"/>
      </w:pPr>
      <w:r>
        <w:rPr>
          <w:rFonts w:ascii="Arial" w:cs="Arial" w:eastAsia="Arial" w:hAnsi="Arial"/>
          <w:sz w:val="22"/>
          <w:szCs w:val="22"/>
        </w:rPr>
        <w:t xml:space="preserve">Position all CricRelay marketing as ‘Bluetooth scoreboard with integrated streaming’ — never as ‘FrogBox alternative’ in formal communications.</w:t>
      </w:r>
    </w:p>
    <w:p>
      <w:pPr>
        <w:pStyle w:val="ListParagraph"/>
        <w:numPr>
          <w:ilvl w:val="0"/>
          <w:numId w:val="2"/>
        </w:numPr>
        <w:spacing w:after="60"/>
      </w:pPr>
      <w:r>
        <w:rPr>
          <w:rFonts w:ascii="Arial" w:cs="Arial" w:eastAsia="Arial" w:hAnsi="Arial"/>
          <w:sz w:val="22"/>
          <w:szCs w:val="22"/>
        </w:rPr>
        <w:t xml:space="preserve">Engage a UKCA / product certification consultant (Element Materials, Intertek, TUV SUD UK) before any hardware sale. Budget £12,000–18,000 for full compliance pack.</w:t>
      </w:r>
    </w:p>
    <w:p>
      <w:pPr>
        <w:pStyle w:val="ListParagraph"/>
        <w:numPr>
          <w:ilvl w:val="0"/>
          <w:numId w:val="2"/>
        </w:numPr>
        <w:spacing w:after="60"/>
      </w:pPr>
      <w:r>
        <w:rPr>
          <w:rFonts w:ascii="Arial" w:cs="Arial" w:eastAsia="Arial" w:hAnsi="Arial"/>
          <w:sz w:val="22"/>
          <w:szCs w:val="22"/>
        </w:rPr>
        <w:t xml:space="preserve">Register a CricRelay UK trade mark in classes 9 (electronics), 38 (telecoms), 41 (sports broadcasting). Cost £170 per class. Do this within 30 days of confirming the name.</w:t>
      </w:r>
    </w:p>
    <w:p>
      <w:pPr>
        <w:pStyle w:val="ListParagraph"/>
        <w:numPr>
          <w:ilvl w:val="0"/>
          <w:numId w:val="2"/>
        </w:numPr>
        <w:spacing w:after="60"/>
      </w:pPr>
      <w:r>
        <w:rPr>
          <w:rFonts w:ascii="Arial" w:cs="Arial" w:eastAsia="Arial" w:hAnsi="Arial"/>
          <w:sz w:val="22"/>
          <w:szCs w:val="22"/>
        </w:rPr>
        <w:t xml:space="preserve">Form a UK limited company (CricRelay Ltd) before any commercial activity. Director liability shield. £12 + £ accountant fees.</w:t>
      </w:r>
    </w:p>
    <w:p>
      <w:r>
        <w:br w:type="page"/>
      </w:r>
    </w:p>
    <w:p>
      <w:pPr>
        <w:pStyle w:val="Heading1"/>
        <w:pBdr>
          <w:bottom w:val="single" w:color="A32D2D" w:sz="4" w:space="4"/>
        </w:pBdr>
        <w:spacing w:after="120" w:before="360"/>
      </w:pPr>
      <w:r>
        <w:rPr>
          <w:rFonts w:ascii="Arial" w:cs="Arial" w:eastAsia="Arial" w:hAnsi="Arial"/>
          <w:b/>
          <w:bCs/>
          <w:color w:val="A32D2D"/>
          <w:sz w:val="32"/>
          <w:szCs w:val="32"/>
        </w:rPr>
        <w:t xml:space="preserve">2. The four legal zones CricRelay touches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c>
          <w:tcPr>
            <w:tcW w:type="dxa" w:w="18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8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3426"/>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Primary risk</w:t>
            </w:r>
          </w:p>
        </w:tc>
      </w:tr>
      <w:tr>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 ECB &amp; Play-Cricket</w:t>
            </w:r>
          </w:p>
        </w:tc>
        <w:tc>
          <w:tcPr>
            <w:tcW w:type="dxa" w:w="3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BLE protocol use, scoring data, official partner relationship</w:t>
            </w:r>
          </w:p>
        </w:tc>
        <w:tc>
          <w:tcPr>
            <w:tcW w:type="dxa" w:w="34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Protocol access withdrawn or commercial restriction imposed</w:t>
            </w:r>
          </w:p>
        </w:tc>
      </w:tr>
      <w:tr>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B. UK product safety</w:t>
            </w:r>
          </w:p>
        </w:tc>
        <w:tc>
          <w:tcPr>
            <w:tcW w:type="dxa" w:w="3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Electronics, batteries, RF emissions, EMC, CE/UKCA marking</w:t>
            </w:r>
          </w:p>
        </w:tc>
        <w:tc>
          <w:tcPr>
            <w:tcW w:type="dxa" w:w="34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Sale prohibited, recalls, fines, criminal liability for directors</w:t>
            </w:r>
          </w:p>
        </w:tc>
      </w:tr>
      <w:tr>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 Data protection</w:t>
            </w:r>
          </w:p>
        </w:tc>
        <w:tc>
          <w:tcPr>
            <w:tcW w:type="dxa" w:w="3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UK GDPR — player names, scorer details, club data</w:t>
            </w:r>
          </w:p>
        </w:tc>
        <w:tc>
          <w:tcPr>
            <w:tcW w:type="dxa" w:w="34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ICO fine up to 4% global turnover or £17.5m</w:t>
            </w:r>
          </w:p>
        </w:tc>
      </w:tr>
      <w:tr>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D. Commercial &amp; IP</w:t>
            </w:r>
          </w:p>
        </w:tc>
        <w:tc>
          <w:tcPr>
            <w:tcW w:type="dxa" w:w="3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Trade marks, copyright, contracts, competition law</w:t>
            </w:r>
          </w:p>
        </w:tc>
        <w:tc>
          <w:tcPr>
            <w:tcW w:type="dxa" w:w="34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Injunctions, brand seizure, FrogBox lawsuit</w:t>
            </w:r>
          </w:p>
        </w:tc>
      </w:tr>
    </w:tbl>
    <w:p>
      <w:r>
        <w:br w:type="page"/>
      </w:r>
    </w:p>
    <w:p>
      <w:pPr>
        <w:pStyle w:val="Heading1"/>
        <w:pBdr>
          <w:bottom w:val="single" w:color="A32D2D" w:sz="4" w:space="4"/>
        </w:pBdr>
        <w:spacing w:after="120" w:before="360"/>
      </w:pPr>
      <w:r>
        <w:rPr>
          <w:rFonts w:ascii="Arial" w:cs="Arial" w:eastAsia="Arial" w:hAnsi="Arial"/>
          <w:b/>
          <w:bCs/>
          <w:color w:val="A32D2D"/>
          <w:sz w:val="32"/>
          <w:szCs w:val="32"/>
        </w:rPr>
        <w:t xml:space="preserve">3. Zone A — ECB and Play-Cricket</w:t>
      </w:r>
    </w:p>
    <w:p>
      <w:pPr>
        <w:spacing w:after="100"/>
      </w:pPr>
      <w:r>
        <w:rPr>
          <w:rFonts w:ascii="Arial" w:cs="Arial" w:eastAsia="Arial" w:hAnsi="Arial"/>
          <w:sz w:val="22"/>
          <w:szCs w:val="22"/>
        </w:rPr>
        <w:t xml:space="preserve">This is the existential zone. If ECB or PCS technically blocks CricRelay from receiving score data, the product is dead. If ECB commercially partners exclusively with FrogBox, CricRelay becomes harder to sell. Both are credible threats. Both are manageable with proactive engagement.</w:t>
      </w:r>
    </w:p>
    <w:p>
      <w:pPr>
        <w:spacing w:after="100"/>
      </w:pPr>
      <w:r>
        <w:t xml:space="preserve"/>
      </w:r>
    </w:p>
    <w:p>
      <w:pPr>
        <w:pStyle w:val="Heading2"/>
        <w:spacing w:after="80" w:before="240"/>
      </w:pPr>
      <w:r>
        <w:rPr>
          <w:rFonts w:ascii="Arial" w:cs="Arial" w:eastAsia="Arial" w:hAnsi="Arial"/>
          <w:b/>
          <w:bCs/>
          <w:color w:val="501313"/>
          <w:sz w:val="26"/>
          <w:szCs w:val="26"/>
        </w:rPr>
        <w:t xml:space="preserve">3.1 What the ECB Terms actually say</w:t>
      </w:r>
    </w:p>
    <w:p>
      <w:pPr>
        <w:spacing w:after="100"/>
      </w:pPr>
      <w:r>
        <w:rPr>
          <w:rFonts w:ascii="Arial" w:cs="Arial" w:eastAsia="Arial" w:hAnsi="Arial"/>
          <w:sz w:val="22"/>
          <w:szCs w:val="22"/>
        </w:rPr>
        <w:t xml:space="preserve">Direct extracts from the Play-Cricket Terms of Service and PCS Software Terms (publicly accessible at play-cricket.com):</w:t>
      </w:r>
    </w:p>
    <w:p>
      <w:pPr>
        <w:spacing w:after="100"/>
      </w:pPr>
      <w:r>
        <w:t xml:space="preserve"/>
      </w:r>
    </w:p>
    <w:p>
      <w:pPr>
        <w:pBdr>
          <w:left w:val="single" w:color="BA7517" w:sz="6" w:space="8"/>
        </w:pBdr>
        <w:spacing w:after="100"/>
        <w:ind w:left="720" w:right="360"/>
      </w:pPr>
      <w:r>
        <w:rPr>
          <w:rFonts w:ascii="Arial" w:cs="Arial" w:eastAsia="Arial" w:hAnsi="Arial"/>
          <w:i/>
          <w:iCs/>
          <w:color w:val="754C0F"/>
          <w:sz w:val="20"/>
          <w:szCs w:val="20"/>
        </w:rPr>
        <w:t xml:space="preserve">"You agree not to: copy, reproduce, store, distribute, transmit, modify, create derivative works from all or any part of the Play-Cricket Service."  — Play-Cricket Terms</w:t>
      </w:r>
    </w:p>
    <w:p>
      <w:pPr>
        <w:pBdr>
          <w:left w:val="single" w:color="BA7517" w:sz="6" w:space="8"/>
        </w:pBdr>
        <w:spacing w:after="100"/>
        <w:ind w:left="720" w:right="360"/>
      </w:pPr>
      <w:r>
        <w:rPr>
          <w:rFonts w:ascii="Arial" w:cs="Arial" w:eastAsia="Arial" w:hAnsi="Arial"/>
          <w:i/>
          <w:iCs/>
          <w:color w:val="754C0F"/>
          <w:sz w:val="20"/>
          <w:szCs w:val="20"/>
        </w:rPr>
        <w:t xml:space="preserve">"Except as expressly permitted by the ECB in writing, decompile, disassemble or reverse engineer any of the software or other materials provided."  — Play-Cricket Terms</w:t>
      </w:r>
    </w:p>
    <w:p>
      <w:pPr>
        <w:pBdr>
          <w:left w:val="single" w:color="BA7517" w:sz="6" w:space="8"/>
        </w:pBdr>
        <w:spacing w:after="100"/>
        <w:ind w:left="720" w:right="360"/>
      </w:pPr>
      <w:r>
        <w:rPr>
          <w:rFonts w:ascii="Arial" w:cs="Arial" w:eastAsia="Arial" w:hAnsi="Arial"/>
          <w:i/>
          <w:iCs/>
          <w:color w:val="754C0F"/>
          <w:sz w:val="20"/>
          <w:szCs w:val="20"/>
        </w:rPr>
        <w:t xml:space="preserve">"Sell, lease, licence, loan or otherwise make available to any third party any element of the Play-Cricket Service unless expressly permitted by us."  — Play-Cricket Terms</w:t>
      </w:r>
    </w:p>
    <w:p>
      <w:pPr>
        <w:pBdr>
          <w:left w:val="single" w:color="BA7517" w:sz="6" w:space="8"/>
        </w:pBdr>
        <w:spacing w:after="100"/>
        <w:ind w:left="720" w:right="360"/>
      </w:pPr>
      <w:r>
        <w:rPr>
          <w:rFonts w:ascii="Arial" w:cs="Arial" w:eastAsia="Arial" w:hAnsi="Arial"/>
          <w:i/>
          <w:iCs/>
          <w:color w:val="754C0F"/>
          <w:sz w:val="20"/>
          <w:szCs w:val="20"/>
        </w:rPr>
        <w:t xml:space="preserve">"Play-Cricket is not offered to third parties for commercial purposes, whether for or not-for profit, apart from by exception where it can be proven to be in the interest of the game of cricket."  — ECB API guidance</w:t>
      </w:r>
    </w:p>
    <w:p>
      <w:pPr>
        <w:spacing w:after="100"/>
      </w:pPr>
      <w:r>
        <w:t xml:space="preserve"/>
      </w:r>
    </w:p>
    <w:p>
      <w:pPr>
        <w:pStyle w:val="Heading2"/>
        <w:spacing w:after="80" w:before="240"/>
      </w:pPr>
      <w:r>
        <w:rPr>
          <w:rFonts w:ascii="Arial" w:cs="Arial" w:eastAsia="Arial" w:hAnsi="Arial"/>
          <w:b/>
          <w:bCs/>
          <w:color w:val="501313"/>
          <w:sz w:val="26"/>
          <w:szCs w:val="26"/>
        </w:rPr>
        <w:t xml:space="preserve">3.2 The counter-argument — ECB invites scoreboard integration</w:t>
      </w:r>
    </w:p>
    <w:p>
      <w:pPr>
        <w:spacing w:after="100"/>
      </w:pPr>
      <w:r>
        <w:rPr>
          <w:rFonts w:ascii="Arial" w:cs="Arial" w:eastAsia="Arial" w:hAnsi="Arial"/>
          <w:sz w:val="22"/>
          <w:szCs w:val="22"/>
        </w:rPr>
        <w:t xml:space="preserve">The same ECB also publishes the following, which is the foundation of CricRelay’s legal position:</w:t>
      </w:r>
    </w:p>
    <w:p>
      <w:pPr>
        <w:spacing w:after="100"/>
      </w:pPr>
      <w:r>
        <w:t xml:space="preserve"/>
      </w:r>
    </w:p>
    <w:p>
      <w:pPr>
        <w:pBdr>
          <w:left w:val="single" w:color="BA7517" w:sz="6" w:space="8"/>
        </w:pBdr>
        <w:spacing w:after="100"/>
        <w:ind w:left="720" w:right="360"/>
      </w:pPr>
      <w:r>
        <w:rPr>
          <w:rFonts w:ascii="Arial" w:cs="Arial" w:eastAsia="Arial" w:hAnsi="Arial"/>
          <w:i/>
          <w:iCs/>
          <w:color w:val="754C0F"/>
          <w:sz w:val="20"/>
          <w:szCs w:val="20"/>
        </w:rPr>
        <w:t xml:space="preserve">"If you would like to connect Play Cricket Scorer (phone and tablet) to your scoreboard by Bluetooth you can with the help of a specially designed box. For any other manufacturer — please contact the help desk at play.cricket@ecb.co.uk for further information."  — ECB Scoreboard Integration page</w:t>
      </w:r>
    </w:p>
    <w:p>
      <w:pPr>
        <w:pBdr>
          <w:left w:val="single" w:color="BA7517" w:sz="6" w:space="8"/>
        </w:pBdr>
        <w:spacing w:after="100"/>
        <w:ind w:left="720" w:right="360"/>
      </w:pPr>
      <w:r>
        <w:rPr>
          <w:rFonts w:ascii="Arial" w:cs="Arial" w:eastAsia="Arial" w:hAnsi="Arial"/>
          <w:i/>
          <w:iCs/>
          <w:color w:val="754C0F"/>
          <w:sz w:val="20"/>
          <w:szCs w:val="20"/>
        </w:rPr>
        <w:t xml:space="preserve">"For real-time use cases we recommend exploring the local scoreboard connection capabilities offered by our scoring applications. These provide low-latency feeds direct from the device on which the game is being scored."  — ECB API guidance</w:t>
      </w:r>
    </w:p>
    <w:p>
      <w:pPr>
        <w:spacing w:after="100"/>
      </w:pPr>
      <w:r>
        <w:t xml:space="preserve"/>
      </w:r>
    </w:p>
    <w:p>
      <w:pPr>
        <w:spacing w:after="100"/>
      </w:pPr>
      <w:r>
        <w:rPr>
          <w:rFonts w:ascii="Arial" w:cs="Arial" w:eastAsia="Arial" w:hAnsi="Arial"/>
          <w:sz w:val="22"/>
          <w:szCs w:val="22"/>
        </w:rPr>
        <w:t xml:space="preserve">These two paragraphs are dispositive. The ECB publicly endorses third-party scoreboard manufacturers building Bluetooth integrations to PCS. The ECB’s own help desk handles enquiries. Existing manufacturers (Durant, Sportsequip, FSL, ESU, Scoreboards Online) operate commercially on this basis.</w:t>
      </w:r>
    </w:p>
    <w:p>
      <w:pPr>
        <w:spacing w:after="100"/>
      </w:pPr>
      <w:r>
        <w:t xml:space="preserve"/>
      </w:r>
    </w:p>
    <w:p>
      <w:pPr>
        <w:pBdr>
          <w:left w:val="single" w:color="BA7517" w:sz="10" w:space="8"/>
        </w:pBdr>
        <w:spacing w:after="100"/>
        <w:ind w:left="360"/>
      </w:pPr>
      <w:r>
        <w:rPr>
          <w:rFonts w:ascii="Arial" w:cs="Arial" w:eastAsia="Arial" w:hAnsi="Arial"/>
          <w:i/>
          <w:iCs/>
          <w:color w:val="546E7A"/>
          <w:sz w:val="20"/>
          <w:szCs w:val="20"/>
        </w:rPr>
        <w:t xml:space="preserve">Legal interpretation: CricRelay is a scoreboard with extended functionality (streaming + overlay). The scoreboard integration is permitted. The fact that the scoreboard happens to also produce a video stream is a separate commercial activity that does not, by itself, violate the PCS Terms. Position CricRelay accurately and the protocol use is on solid ground.</w:t>
      </w:r>
    </w:p>
    <w:p>
      <w:pPr>
        <w:spacing w:after="100"/>
      </w:pPr>
      <w:r>
        <w:t xml:space="preserve"/>
      </w:r>
    </w:p>
    <w:p>
      <w:pPr>
        <w:pStyle w:val="Heading2"/>
        <w:spacing w:after="80" w:before="240"/>
      </w:pPr>
      <w:r>
        <w:rPr>
          <w:rFonts w:ascii="Arial" w:cs="Arial" w:eastAsia="Arial" w:hAnsi="Arial"/>
          <w:b/>
          <w:bCs/>
          <w:color w:val="501313"/>
          <w:sz w:val="26"/>
          <w:szCs w:val="26"/>
        </w:rPr>
        <w:t xml:space="preserve">3.3 Specific ECB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626"/>
      </w:tblGrid>
      <w:tr>
        <w:tc>
          <w:tcPr>
            <w:tcW w:type="dxa" w:w="30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44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1626"/>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ECB blocks BLE protocol via PCS update</w:t>
            </w:r>
          </w:p>
        </w:tc>
        <w:tc>
          <w:tcPr>
            <w:tcW w:type="dxa" w:w="4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Engage early as scoreboard partner. Get listed on ECB scoreboard integration page alongside Durant.</w:t>
            </w:r>
          </w:p>
        </w:tc>
        <w:tc>
          <w:tcPr>
            <w:tcW w:type="dxa" w:w="1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Before launch — single email to play.cricket@ecb.co.uk</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ECB demands formal partnership agreement</w:t>
            </w:r>
          </w:p>
        </w:tc>
        <w:tc>
          <w:tcPr>
            <w:tcW w:type="dxa" w:w="4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Welcome it. Negotiate non-exclusive terms. Avoid revenue share — offer flat annual licence.</w:t>
            </w:r>
          </w:p>
        </w:tc>
        <w:tc>
          <w:tcPr>
            <w:tcW w:type="dxa" w:w="1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When ECB raises it, not before</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ECB classifies CricRelay as ‘video product’ not scoreboard</w:t>
            </w:r>
          </w:p>
        </w:tc>
        <w:tc>
          <w:tcPr>
            <w:tcW w:type="dxa" w:w="4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Hardware is a scoreboard with optional streaming. Frame all communications around scoreboard function.</w:t>
            </w:r>
          </w:p>
        </w:tc>
        <w:tc>
          <w:tcPr>
            <w:tcW w:type="dxa" w:w="1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Frame from first contact</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FrogBox lobbies ECB to restrict third parties</w:t>
            </w:r>
          </w:p>
        </w:tc>
        <w:tc>
          <w:tcPr>
            <w:tcW w:type="dxa" w:w="4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ECB cannot favour one supplier without competition law concerns. Document open scoreboard policy.</w:t>
            </w:r>
          </w:p>
        </w:tc>
        <w:tc>
          <w:tcPr>
            <w:tcW w:type="dxa" w:w="1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Pre-empt with paper trail of ECB endorsement</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ECB withdraws PCS Bluetooth support entirely</w:t>
            </w:r>
          </w:p>
        </w:tc>
        <w:tc>
          <w:tcPr>
            <w:tcW w:type="dxa" w:w="4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Severe but unlikely — would break Durant, Sportsequip, all DIY. Maintain PCS Pro USB serial backup. Build PlayHQ webhook integration for AU/NZ market resilience.</w:t>
            </w:r>
          </w:p>
        </w:tc>
        <w:tc>
          <w:tcPr>
            <w:tcW w:type="dxa" w:w="1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Long-term contingency</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PCS implements MAC whitelist of approved devices</w:t>
            </w:r>
          </w:p>
        </w:tc>
        <w:tc>
          <w:tcPr>
            <w:tcW w:type="dxa" w:w="4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Apply for approved status. Maintain compatibility tests.</w:t>
            </w:r>
          </w:p>
        </w:tc>
        <w:tc>
          <w:tcPr>
            <w:tcW w:type="dxa" w:w="1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If implemented</w:t>
            </w:r>
          </w:p>
        </w:tc>
      </w:tr>
    </w:tbl>
    <w:p>
      <w:pPr>
        <w:spacing w:after="100"/>
      </w:pPr>
      <w:r>
        <w:t xml:space="preserve"/>
      </w:r>
    </w:p>
    <w:p>
      <w:pPr>
        <w:pStyle w:val="Heading2"/>
        <w:spacing w:after="80" w:before="240"/>
      </w:pPr>
      <w:r>
        <w:rPr>
          <w:rFonts w:ascii="Arial" w:cs="Arial" w:eastAsia="Arial" w:hAnsi="Arial"/>
          <w:b/>
          <w:bCs/>
          <w:color w:val="501313"/>
          <w:sz w:val="26"/>
          <w:szCs w:val="26"/>
        </w:rPr>
        <w:t xml:space="preserve">3.4 The ‘reverse engineering’ clause — directly addressed</w:t>
      </w:r>
    </w:p>
    <w:p>
      <w:pPr>
        <w:spacing w:after="100"/>
      </w:pPr>
      <w:r>
        <w:rPr>
          <w:rFonts w:ascii="Arial" w:cs="Arial" w:eastAsia="Arial" w:hAnsi="Arial"/>
          <w:sz w:val="22"/>
          <w:szCs w:val="22"/>
        </w:rPr>
        <w:t xml:space="preserve">The PCS Terms prohibit reverse engineering the PCS software. CricRelay does not reverse engineer PCS. CricRelay implements a GATT BLE peripheral that registers itself using a service UUID that has been publicly documented by independent third parties (the Medium article by Andy Smy in 2025; the Build Your Own Scoreboard community since 2021). CricRelay does not decompile, disassemble, or modify PCS. It simply offers itself as an available Bluetooth scoreboard — exactly as PCS expects scoreboards to do.</w:t>
      </w:r>
    </w:p>
    <w:p>
      <w:pPr>
        <w:spacing w:after="100"/>
      </w:pPr>
      <w:r>
        <w:t xml:space="preserve"/>
      </w:r>
    </w:p>
    <w:p>
      <w:pPr>
        <w:pBdr>
          <w:left w:val="single" w:color="BA7517" w:sz="10" w:space="8"/>
        </w:pBdr>
        <w:spacing w:after="100"/>
        <w:ind w:left="360"/>
      </w:pPr>
      <w:r>
        <w:rPr>
          <w:rFonts w:ascii="Arial" w:cs="Arial" w:eastAsia="Arial" w:hAnsi="Arial"/>
          <w:i/>
          <w:iCs/>
          <w:color w:val="546E7A"/>
          <w:sz w:val="20"/>
          <w:szCs w:val="20"/>
        </w:rPr>
        <w:t xml:space="preserve">This is the textbook definition of ‘interoperability’ — a use case explicitly protected under UK Copyright, Designs and Patents Act 1988 sections 50B and 50BA. A user has the right to observe and study a programme to determine its underlying ideas, including for the purpose of writing an interoperable programme. The fact that CricRelay obtains the UUID from public sources (not by decompiling PCS) further strengthens this position. A solicitor must confirm this interpretation in writing before launch.</w:t>
      </w:r>
    </w:p>
    <w:p>
      <w:pPr>
        <w:spacing w:after="100"/>
      </w:pPr>
      <w:r>
        <w:t xml:space="preserve"/>
      </w:r>
    </w:p>
    <w:p>
      <w:pPr>
        <w:pStyle w:val="Heading2"/>
        <w:spacing w:after="80" w:before="240"/>
      </w:pPr>
      <w:r>
        <w:rPr>
          <w:rFonts w:ascii="Arial" w:cs="Arial" w:eastAsia="Arial" w:hAnsi="Arial"/>
          <w:b/>
          <w:bCs/>
          <w:color w:val="501313"/>
          <w:sz w:val="26"/>
          <w:szCs w:val="26"/>
        </w:rPr>
        <w:t xml:space="preserve">3.5 The ‘commercial use’ restriction — addressed</w:t>
      </w:r>
    </w:p>
    <w:p>
      <w:pPr>
        <w:spacing w:after="100"/>
      </w:pPr>
      <w:r>
        <w:rPr>
          <w:rFonts w:ascii="Arial" w:cs="Arial" w:eastAsia="Arial" w:hAnsi="Arial"/>
          <w:sz w:val="22"/>
          <w:szCs w:val="22"/>
        </w:rPr>
        <w:t xml:space="preserve">The ECB API guidance states Play-Cricket data is not offered for commercial third-party use ‘apart from by exception where it can be proven to be in the interest of the game of cricket’. This refers to the cloud-based Play-Cricket REST API, not the local BLE scoreboard feed. The two are different products and different terms.</w:t>
      </w:r>
    </w:p>
    <w:p>
      <w:pPr>
        <w:spacing w:after="100"/>
      </w:pPr>
      <w:r>
        <w:t xml:space="preserve"/>
      </w:r>
    </w:p>
    <w:p>
      <w:pPr>
        <w:pBdr>
          <w:left w:val="single" w:color="A32D2D" w:sz="14" w:space="8"/>
        </w:pBdr>
        <w:shd w:fill="FCEBEB" w:val="clear"/>
        <w:spacing w:after="100"/>
        <w:ind w:left="360"/>
      </w:pPr>
      <w:r>
        <w:rPr>
          <w:rFonts w:ascii="Arial" w:cs="Arial" w:eastAsia="Arial" w:hAnsi="Arial"/>
          <w:b/>
          <w:bCs/>
          <w:color w:val="501313"/>
          <w:sz w:val="20"/>
          <w:szCs w:val="20"/>
        </w:rPr>
        <w:t xml:space="preserve">Action: CricRelay must NEVER query the Play-Cricket cloud API. All score data must come from local BLE/USB only. This separation is the cornerstone of the legal position. If a developer adds an REST API call by mistake, the entire legal position collapses.</w:t>
      </w:r>
    </w:p>
    <w:p>
      <w:pPr>
        <w:spacing w:after="100"/>
      </w:pPr>
      <w:r>
        <w:t xml:space="preserve"/>
      </w:r>
    </w:p>
    <w:p>
      <w:r>
        <w:br w:type="page"/>
      </w:r>
    </w:p>
    <w:p>
      <w:pPr>
        <w:pStyle w:val="Heading1"/>
        <w:pBdr>
          <w:bottom w:val="single" w:color="A32D2D" w:sz="4" w:space="4"/>
        </w:pBdr>
        <w:spacing w:after="120" w:before="360"/>
      </w:pPr>
      <w:r>
        <w:rPr>
          <w:rFonts w:ascii="Arial" w:cs="Arial" w:eastAsia="Arial" w:hAnsi="Arial"/>
          <w:b/>
          <w:bCs/>
          <w:color w:val="A32D2D"/>
          <w:sz w:val="32"/>
          <w:szCs w:val="32"/>
        </w:rPr>
        <w:t xml:space="preserve">4. Zone B — UK product safety and regulatory compliance</w:t>
      </w:r>
    </w:p>
    <w:p>
      <w:pPr>
        <w:spacing w:after="100"/>
      </w:pPr>
      <w:r>
        <w:rPr>
          <w:rFonts w:ascii="Arial" w:cs="Arial" w:eastAsia="Arial" w:hAnsi="Arial"/>
          <w:sz w:val="22"/>
          <w:szCs w:val="22"/>
        </w:rPr>
        <w:t xml:space="preserve">This is the zone with the most concrete, technical, and unavoidable legal obligations. Any electronic product sold in the UK must comply with UKCA marking requirements (the UK equivalent of CE marking). Selling without compliance is a criminal offence under the Consumer Protection Act 1987 and Electrical Equipment (Safety) Regulations 2016. Director-level personal liability applies.</w:t>
      </w:r>
    </w:p>
    <w:p>
      <w:pPr>
        <w:spacing w:after="100"/>
      </w:pPr>
      <w:r>
        <w:t xml:space="preserve"/>
      </w:r>
    </w:p>
    <w:p>
      <w:pPr>
        <w:pStyle w:val="Heading2"/>
        <w:spacing w:after="80" w:before="240"/>
      </w:pPr>
      <w:r>
        <w:rPr>
          <w:rFonts w:ascii="Arial" w:cs="Arial" w:eastAsia="Arial" w:hAnsi="Arial"/>
          <w:b/>
          <w:bCs/>
          <w:color w:val="501313"/>
          <w:sz w:val="26"/>
          <w:szCs w:val="26"/>
        </w:rPr>
        <w:t xml:space="preserve">4.1 Required certifications and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226"/>
      </w:tblGrid>
      <w:tr>
        <w:tc>
          <w:tcPr>
            <w:tcW w:type="dxa" w:w="22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8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18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Tiers affected</w:t>
            </w:r>
          </w:p>
        </w:tc>
        <w:tc>
          <w:tcPr>
            <w:tcW w:type="dxa" w:w="2226"/>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Cost estimate</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UKCA marking</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Mandatory mark on all electronics sold in GB</w:t>
            </w:r>
          </w:p>
        </w:tc>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All three</w:t>
            </w:r>
          </w:p>
        </w:tc>
        <w:tc>
          <w:tcPr>
            <w:tcW w:type="dxa" w:w="2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Self-declared for low-risk; £2,000–6,000 if testing required</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UK Radio Equipment Regulations 2017</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Devices using 5G, WiFi, Bluetooth</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All three</w:t>
            </w:r>
          </w:p>
        </w:tc>
        <w:tc>
          <w:tcPr>
            <w:tcW w:type="dxa" w:w="2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£1,500–3,000 lab testing per radio</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EN 301 489 EMC</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Electromagnetic compatibility</w:t>
            </w:r>
          </w:p>
        </w:tc>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All three</w:t>
            </w:r>
          </w:p>
        </w:tc>
        <w:tc>
          <w:tcPr>
            <w:tcW w:type="dxa" w:w="2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£1,500–2,500</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EN 62368-1</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Audio/video equipment safety</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All three</w:t>
            </w:r>
          </w:p>
        </w:tc>
        <w:tc>
          <w:tcPr>
            <w:tcW w:type="dxa" w:w="2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£2,000–4,000</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EN 62133-2 / IEC 62133</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Rechargeable lithium battery safety</w:t>
            </w:r>
          </w:p>
        </w:tc>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All three</w:t>
            </w:r>
          </w:p>
        </w:tc>
        <w:tc>
          <w:tcPr>
            <w:tcW w:type="dxa" w:w="2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£1,000–2,000 per battery type</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UN38.3</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LiPo transport (required for shipping)</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All three</w:t>
            </w:r>
          </w:p>
        </w:tc>
        <w:tc>
          <w:tcPr>
            <w:tcW w:type="dxa" w:w="2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£500–1,000 test report</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UK WEEE Directive</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End-of-life electronics recycling</w:t>
            </w:r>
          </w:p>
        </w:tc>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All three</w:t>
            </w:r>
          </w:p>
        </w:tc>
        <w:tc>
          <w:tcPr>
            <w:tcW w:type="dxa" w:w="2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£500/yr scheme membership</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BS 1363</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UK plug &amp; power supply standard</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All three (any charger)</w:t>
            </w:r>
          </w:p>
        </w:tc>
        <w:tc>
          <w:tcPr>
            <w:tcW w:type="dxa" w:w="2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£300–800 per charger</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IP rating verification</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If advertising weatherproof IP67/IP65</w:t>
            </w:r>
          </w:p>
        </w:tc>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Pro, Elite (CamBox IP65, camera IP67)</w:t>
            </w:r>
          </w:p>
        </w:tc>
        <w:tc>
          <w:tcPr>
            <w:tcW w:type="dxa" w:w="2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£500–1,500 lab test</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Ofcom radio compliance</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5G modem operates on licensed UK spectrum</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All three</w:t>
            </w:r>
          </w:p>
        </w:tc>
        <w:tc>
          <w:tcPr>
            <w:tcW w:type="dxa" w:w="2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Covered by modem manufacturer cert + your integration test</w:t>
            </w:r>
          </w:p>
        </w:tc>
      </w:tr>
    </w:tbl>
    <w:p>
      <w:pPr>
        <w:spacing w:after="100"/>
      </w:pPr>
      <w:r>
        <w:t xml:space="preserve"/>
      </w:r>
    </w:p>
    <w:p>
      <w:pPr>
        <w:pBdr>
          <w:left w:val="single" w:color="A32D2D" w:sz="14" w:space="8"/>
        </w:pBdr>
        <w:shd w:fill="FCEBEB" w:val="clear"/>
        <w:spacing w:after="100"/>
        <w:ind w:left="360"/>
      </w:pPr>
      <w:r>
        <w:rPr>
          <w:rFonts w:ascii="Arial" w:cs="Arial" w:eastAsia="Arial" w:hAnsi="Arial"/>
          <w:b/>
          <w:bCs/>
          <w:color w:val="501313"/>
          <w:sz w:val="20"/>
          <w:szCs w:val="20"/>
        </w:rPr>
        <w:t xml:space="preserve">Selling a non-UKCA-marked electronic product in the UK is a criminal offence under section 3 of the Electrical Equipment (Safety) Regulations 2016. Maximum penalty: unlimited fine, 12 months imprisonment, product seizure, director disqualification.</w:t>
      </w:r>
    </w:p>
    <w:p>
      <w:pPr>
        <w:spacing w:after="100"/>
      </w:pPr>
      <w:r>
        <w:t xml:space="preserve"/>
      </w:r>
    </w:p>
    <w:p>
      <w:pPr>
        <w:pStyle w:val="Heading2"/>
        <w:spacing w:after="80" w:before="240"/>
      </w:pPr>
      <w:r>
        <w:rPr>
          <w:rFonts w:ascii="Arial" w:cs="Arial" w:eastAsia="Arial" w:hAnsi="Arial"/>
          <w:b/>
          <w:bCs/>
          <w:color w:val="501313"/>
          <w:sz w:val="26"/>
          <w:szCs w:val="26"/>
        </w:rPr>
        <w:t xml:space="preserve">4.2 Tier-by-tier safety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800"/>
        <w:gridCol w:w="3826"/>
      </w:tblGrid>
      <w:tr>
        <w:tc>
          <w:tcPr>
            <w:tcW w:type="dxa" w:w="28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8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Go</w:t>
            </w:r>
          </w:p>
        </w:tc>
        <w:tc>
          <w:tcPr>
            <w:tcW w:type="dxa" w:w="8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Pro</w:t>
            </w:r>
          </w:p>
        </w:tc>
        <w:tc>
          <w:tcPr>
            <w:tcW w:type="dxa" w:w="8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Elite</w:t>
            </w:r>
          </w:p>
        </w:tc>
        <w:tc>
          <w:tcPr>
            <w:tcW w:type="dxa" w:w="3826"/>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LiPo battery thermal runaway</w:t>
            </w:r>
          </w:p>
        </w:tc>
        <w:tc>
          <w:tcPr>
            <w:tcW w:type="dxa" w:w="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Medium</w:t>
            </w:r>
          </w:p>
        </w:tc>
        <w:tc>
          <w:tcPr>
            <w:tcW w:type="dxa" w:w="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High</w:t>
            </w:r>
          </w:p>
        </w:tc>
        <w:tc>
          <w:tcPr>
            <w:tcW w:type="dxa" w:w="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High</w:t>
            </w:r>
          </w:p>
        </w:tc>
        <w:tc>
          <w:tcPr>
            <w:tcW w:type="dxa" w:w="3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UN38.3 + EN 62133-2 cert. Use established cell suppliers (LG/Samsung/CATL via Alibaba reseller, not no-name).</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5G RF emissions exceed UK SAR limits</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Low</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Low</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Low</w:t>
            </w:r>
          </w:p>
        </w:tc>
        <w:tc>
          <w:tcPr>
            <w:tcW w:type="dxa" w:w="3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Modem maker has cert; CricRelay needs to verify antenna placement doesn’t exceed when retested</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Tripod collapse / falling on spectator</w:t>
            </w:r>
          </w:p>
        </w:tc>
        <w:tc>
          <w:tcPr>
            <w:tcW w:type="dxa" w:w="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Low</w:t>
            </w:r>
          </w:p>
        </w:tc>
        <w:tc>
          <w:tcPr>
            <w:tcW w:type="dxa" w:w="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Medium</w:t>
            </w:r>
          </w:p>
        </w:tc>
        <w:tc>
          <w:tcPr>
            <w:tcW w:type="dxa" w:w="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Medium</w:t>
            </w:r>
          </w:p>
        </w:tc>
        <w:tc>
          <w:tcPr>
            <w:tcW w:type="dxa" w:w="3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BS EN ISO 19014 stability test. Public liability insurance £2m+ recommended.</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6m mast falls in wind (Elite only)</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Medium</w:t>
            </w:r>
          </w:p>
        </w:tc>
        <w:tc>
          <w:tcPr>
            <w:tcW w:type="dxa" w:w="3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Mandatory guy ropes in instructions. Wind speed cutoff warning in CricRelay Go dashboard.</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Phone overheats inside gimbal in sun</w:t>
            </w:r>
          </w:p>
        </w:tc>
        <w:tc>
          <w:tcPr>
            <w:tcW w:type="dxa" w:w="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Medium</w:t>
            </w:r>
          </w:p>
        </w:tc>
        <w:tc>
          <w:tcPr>
            <w:tcW w:type="dxa" w:w="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w:t>
            </w:r>
          </w:p>
        </w:tc>
        <w:tc>
          <w:tcPr>
            <w:tcW w:type="dxa" w:w="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w:t>
            </w:r>
          </w:p>
        </w:tc>
        <w:tc>
          <w:tcPr>
            <w:tcW w:type="dxa" w:w="3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Tested ambient temp range. Warning label.</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Hot V-mount battery swap shock</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Low</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Low</w:t>
            </w:r>
          </w:p>
        </w:tc>
        <w:tc>
          <w:tcPr>
            <w:tcW w:type="dxa" w:w="3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Standard V-mount safety; battery has built-in protection circuit.</w:t>
            </w:r>
          </w:p>
        </w:tc>
      </w:tr>
    </w:tbl>
    <w:p>
      <w:pPr>
        <w:spacing w:after="100"/>
      </w:pPr>
      <w:r>
        <w:t xml:space="preserve"/>
      </w:r>
    </w:p>
    <w:p>
      <w:pPr>
        <w:pStyle w:val="Heading2"/>
        <w:spacing w:after="80" w:before="240"/>
      </w:pPr>
      <w:r>
        <w:rPr>
          <w:rFonts w:ascii="Arial" w:cs="Arial" w:eastAsia="Arial" w:hAnsi="Arial"/>
          <w:b/>
          <w:bCs/>
          <w:color w:val="501313"/>
          <w:sz w:val="26"/>
          <w:szCs w:val="26"/>
        </w:rPr>
        <w:t xml:space="preserve">4.3 Required documentation pack per product</w:t>
      </w:r>
    </w:p>
    <w:p>
      <w:pPr>
        <w:spacing w:after="100"/>
      </w:pPr>
      <w:r>
        <w:rPr>
          <w:rFonts w:ascii="Arial" w:cs="Arial" w:eastAsia="Arial" w:hAnsi="Arial"/>
          <w:sz w:val="22"/>
          <w:szCs w:val="22"/>
        </w:rPr>
        <w:t xml:space="preserve">Each product tier needs the following before first sale:</w:t>
      </w:r>
    </w:p>
    <w:p>
      <w:pPr>
        <w:pStyle w:val="ListParagraph"/>
        <w:numPr>
          <w:ilvl w:val="0"/>
          <w:numId w:val="2"/>
        </w:numPr>
        <w:spacing w:after="60"/>
      </w:pPr>
      <w:r>
        <w:rPr>
          <w:rFonts w:ascii="Arial" w:cs="Arial" w:eastAsia="Arial" w:hAnsi="Arial"/>
          <w:sz w:val="22"/>
          <w:szCs w:val="22"/>
        </w:rPr>
        <w:t xml:space="preserve">UK Declaration of Conformity (DoC) — signed by company director, listing every applicable standard</w:t>
      </w:r>
    </w:p>
    <w:p>
      <w:pPr>
        <w:pStyle w:val="ListParagraph"/>
        <w:numPr>
          <w:ilvl w:val="0"/>
          <w:numId w:val="2"/>
        </w:numPr>
        <w:spacing w:after="60"/>
      </w:pPr>
      <w:r>
        <w:rPr>
          <w:rFonts w:ascii="Arial" w:cs="Arial" w:eastAsia="Arial" w:hAnsi="Arial"/>
          <w:sz w:val="22"/>
          <w:szCs w:val="22"/>
        </w:rPr>
        <w:t xml:space="preserve">Technical file — schematics, BOM, test reports, risk assessment. Must be kept for 10 years after last unit sold.</w:t>
      </w:r>
    </w:p>
    <w:p>
      <w:pPr>
        <w:pStyle w:val="ListParagraph"/>
        <w:numPr>
          <w:ilvl w:val="0"/>
          <w:numId w:val="2"/>
        </w:numPr>
        <w:spacing w:after="60"/>
      </w:pPr>
      <w:r>
        <w:rPr>
          <w:rFonts w:ascii="Arial" w:cs="Arial" w:eastAsia="Arial" w:hAnsi="Arial"/>
          <w:sz w:val="22"/>
          <w:szCs w:val="22"/>
        </w:rPr>
        <w:t xml:space="preserve">Product user manual in English with safety warnings</w:t>
      </w:r>
    </w:p>
    <w:p>
      <w:pPr>
        <w:pStyle w:val="ListParagraph"/>
        <w:numPr>
          <w:ilvl w:val="0"/>
          <w:numId w:val="2"/>
        </w:numPr>
        <w:spacing w:after="60"/>
      </w:pPr>
      <w:r>
        <w:rPr>
          <w:rFonts w:ascii="Arial" w:cs="Arial" w:eastAsia="Arial" w:hAnsi="Arial"/>
          <w:sz w:val="22"/>
          <w:szCs w:val="22"/>
        </w:rPr>
        <w:t xml:space="preserve">UKCA mark physically on the product (or on permanent packaging if device too small)</w:t>
      </w:r>
    </w:p>
    <w:p>
      <w:pPr>
        <w:pStyle w:val="ListParagraph"/>
        <w:numPr>
          <w:ilvl w:val="0"/>
          <w:numId w:val="2"/>
        </w:numPr>
        <w:spacing w:after="60"/>
      </w:pPr>
      <w:r>
        <w:rPr>
          <w:rFonts w:ascii="Arial" w:cs="Arial" w:eastAsia="Arial" w:hAnsi="Arial"/>
          <w:sz w:val="22"/>
          <w:szCs w:val="22"/>
        </w:rPr>
        <w:t xml:space="preserve">Importer/manufacturer name and UK address on product label</w:t>
      </w:r>
    </w:p>
    <w:p>
      <w:pPr>
        <w:pStyle w:val="ListParagraph"/>
        <w:numPr>
          <w:ilvl w:val="0"/>
          <w:numId w:val="2"/>
        </w:numPr>
        <w:spacing w:after="60"/>
      </w:pPr>
      <w:r>
        <w:rPr>
          <w:rFonts w:ascii="Arial" w:cs="Arial" w:eastAsia="Arial" w:hAnsi="Arial"/>
          <w:sz w:val="22"/>
          <w:szCs w:val="22"/>
        </w:rPr>
        <w:t xml:space="preserve">WEEE crossed-bin symbol on product</w:t>
      </w:r>
    </w:p>
    <w:p>
      <w:pPr>
        <w:pStyle w:val="ListParagraph"/>
        <w:numPr>
          <w:ilvl w:val="0"/>
          <w:numId w:val="2"/>
        </w:numPr>
        <w:spacing w:after="60"/>
      </w:pPr>
      <w:r>
        <w:rPr>
          <w:rFonts w:ascii="Arial" w:cs="Arial" w:eastAsia="Arial" w:hAnsi="Arial"/>
          <w:sz w:val="22"/>
          <w:szCs w:val="22"/>
        </w:rPr>
        <w:t xml:space="preserve">UK Plug Indicator and BS 1363 mark on any included chargers</w:t>
      </w:r>
    </w:p>
    <w:p>
      <w:pPr>
        <w:spacing w:after="100"/>
      </w:pPr>
      <w:r>
        <w:t xml:space="preserve"/>
      </w:r>
    </w:p>
    <w:p>
      <w:pPr>
        <w:pBdr>
          <w:left w:val="single" w:color="BA7517" w:sz="10" w:space="8"/>
        </w:pBdr>
        <w:spacing w:after="100"/>
        <w:ind w:left="360"/>
      </w:pPr>
      <w:r>
        <w:rPr>
          <w:rFonts w:ascii="Arial" w:cs="Arial" w:eastAsia="Arial" w:hAnsi="Arial"/>
          <w:i/>
          <w:iCs/>
          <w:color w:val="546E7A"/>
          <w:sz w:val="20"/>
          <w:szCs w:val="20"/>
        </w:rPr>
        <w:t xml:space="preserve">Recommended consultancy: Element Materials Technology (UK), Intertek UK, or TUV SUD Product Service. Budget £12,000–18,000 for full UKCA compliance pack across all three tiers. Engage before manufacturing samples — design changes after testing are expensive.</w:t>
      </w:r>
    </w:p>
    <w:p>
      <w:r>
        <w:br w:type="page"/>
      </w:r>
    </w:p>
    <w:p>
      <w:pPr>
        <w:pStyle w:val="Heading1"/>
        <w:pBdr>
          <w:bottom w:val="single" w:color="A32D2D" w:sz="4" w:space="4"/>
        </w:pBdr>
        <w:spacing w:after="120" w:before="360"/>
      </w:pPr>
      <w:r>
        <w:rPr>
          <w:rFonts w:ascii="Arial" w:cs="Arial" w:eastAsia="Arial" w:hAnsi="Arial"/>
          <w:b/>
          <w:bCs/>
          <w:color w:val="A32D2D"/>
          <w:sz w:val="32"/>
          <w:szCs w:val="32"/>
        </w:rPr>
        <w:t xml:space="preserve">5. Zone C — UK GDPR and data protection</w:t>
      </w:r>
    </w:p>
    <w:p>
      <w:pPr>
        <w:spacing w:after="100"/>
      </w:pPr>
      <w:r>
        <w:rPr>
          <w:rFonts w:ascii="Arial" w:cs="Arial" w:eastAsia="Arial" w:hAnsi="Arial"/>
          <w:sz w:val="22"/>
          <w:szCs w:val="22"/>
        </w:rPr>
        <w:t xml:space="preserve">CricRelay processes personal data: scorer names, player names visible in scoring app, club admin contact details, IP addresses, YouTube viewer interactions. This makes CricRelay a Data Controller under UK GDPR with full ICO obligations.</w:t>
      </w:r>
    </w:p>
    <w:p>
      <w:pPr>
        <w:spacing w:after="100"/>
      </w:pPr>
      <w:r>
        <w:t xml:space="preserve"/>
      </w:r>
    </w:p>
    <w:p>
      <w:pPr>
        <w:pStyle w:val="Heading2"/>
        <w:spacing w:after="80" w:before="240"/>
      </w:pPr>
      <w:r>
        <w:rPr>
          <w:rFonts w:ascii="Arial" w:cs="Arial" w:eastAsia="Arial" w:hAnsi="Arial"/>
          <w:b/>
          <w:bCs/>
          <w:color w:val="501313"/>
          <w:sz w:val="26"/>
          <w:szCs w:val="26"/>
        </w:rPr>
        <w:t xml:space="preserve">5.1 What data CricRelay processes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000"/>
        <w:gridCol w:w="3226"/>
      </w:tblGrid>
      <w:tr>
        <w:tc>
          <w:tcPr>
            <w:tcW w:type="dxa" w:w="24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4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226"/>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Sensitivity</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Club admin name + email</w:t>
            </w:r>
          </w:p>
        </w:tc>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CricRelay Go signup</w:t>
            </w:r>
          </w:p>
        </w:tc>
        <w:tc>
          <w:tcPr>
            <w:tcW w:type="dxa" w:w="1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All</w:t>
            </w:r>
          </w:p>
        </w:tc>
        <w:tc>
          <w:tcPr>
            <w:tcW w:type="dxa" w:w="3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Standard</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Scorer device Bluetooth MAC</w:t>
            </w:r>
          </w:p>
        </w:tc>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BLE pairing</w:t>
            </w:r>
          </w:p>
        </w:tc>
        <w:tc>
          <w:tcPr>
            <w:tcW w:type="dxa" w:w="1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All</w:t>
            </w:r>
          </w:p>
        </w:tc>
        <w:tc>
          <w:tcPr>
            <w:tcW w:type="dxa" w:w="3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Low (not directly identifying)</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Match data (teams, players, scores)</w:t>
            </w:r>
          </w:p>
        </w:tc>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PCS feed</w:t>
            </w:r>
          </w:p>
        </w:tc>
        <w:tc>
          <w:tcPr>
            <w:tcW w:type="dxa" w:w="1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All</w:t>
            </w:r>
          </w:p>
        </w:tc>
        <w:tc>
          <w:tcPr>
            <w:tcW w:type="dxa" w:w="3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Standard — player names visible</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Stream URL + YouTube channel link</w:t>
            </w:r>
          </w:p>
        </w:tc>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ClubCam Go config</w:t>
            </w:r>
          </w:p>
        </w:tc>
        <w:tc>
          <w:tcPr>
            <w:tcW w:type="dxa" w:w="1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All</w:t>
            </w:r>
          </w:p>
        </w:tc>
        <w:tc>
          <w:tcPr>
            <w:tcW w:type="dxa" w:w="3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Public (YouTube link is public by design)</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Stream viewer analytics (YouTube)</w:t>
            </w:r>
          </w:p>
        </w:tc>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YouTube Studio</w:t>
            </w:r>
          </w:p>
        </w:tc>
        <w:tc>
          <w:tcPr>
            <w:tcW w:type="dxa" w:w="1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All</w:t>
            </w:r>
          </w:p>
        </w:tc>
        <w:tc>
          <w:tcPr>
            <w:tcW w:type="dxa" w:w="3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Aggregated, anonymous — low risk</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Card payment data</w:t>
            </w:r>
          </w:p>
        </w:tc>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Stripe/Adyen integration</w:t>
            </w:r>
          </w:p>
        </w:tc>
        <w:tc>
          <w:tcPr>
            <w:tcW w:type="dxa" w:w="1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All</w:t>
            </w:r>
          </w:p>
        </w:tc>
        <w:tc>
          <w:tcPr>
            <w:tcW w:type="dxa" w:w="3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High — PCI DSS scope, outsource to Stripe</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Device location (4G/5G IP geolocation)</w:t>
            </w:r>
          </w:p>
        </w:tc>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Modem</w:t>
            </w:r>
          </w:p>
        </w:tc>
        <w:tc>
          <w:tcPr>
            <w:tcW w:type="dxa" w:w="1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All</w:t>
            </w:r>
          </w:p>
        </w:tc>
        <w:tc>
          <w:tcPr>
            <w:tcW w:type="dxa" w:w="3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Standard — needed for content delivery</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Video footage of identifiable individuals</w:t>
            </w:r>
          </w:p>
        </w:tc>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Camera</w:t>
            </w:r>
          </w:p>
        </w:tc>
        <w:tc>
          <w:tcPr>
            <w:tcW w:type="dxa" w:w="1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Pro, Elite</w:t>
            </w:r>
          </w:p>
        </w:tc>
        <w:tc>
          <w:tcPr>
            <w:tcW w:type="dxa" w:w="3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Standard — sports filming consent norms apply</w:t>
            </w:r>
          </w:p>
        </w:tc>
      </w:tr>
    </w:tbl>
    <w:p>
      <w:pPr>
        <w:spacing w:after="100"/>
      </w:pPr>
      <w:r>
        <w:t xml:space="preserve"/>
      </w:r>
    </w:p>
    <w:p>
      <w:pPr>
        <w:pStyle w:val="Heading2"/>
        <w:spacing w:after="80" w:before="240"/>
      </w:pPr>
      <w:r>
        <w:rPr>
          <w:rFonts w:ascii="Arial" w:cs="Arial" w:eastAsia="Arial" w:hAnsi="Arial"/>
          <w:b/>
          <w:bCs/>
          <w:color w:val="501313"/>
          <w:sz w:val="26"/>
          <w:szCs w:val="26"/>
        </w:rPr>
        <w:t xml:space="preserve">5.2 GDPR obligations CricRelay must satisfy</w:t>
      </w:r>
    </w:p>
    <w:p>
      <w:pPr>
        <w:pStyle w:val="ListParagraph"/>
        <w:numPr>
          <w:ilvl w:val="0"/>
          <w:numId w:val="2"/>
        </w:numPr>
        <w:spacing w:after="60"/>
      </w:pPr>
      <w:r>
        <w:rPr>
          <w:rFonts w:ascii="Arial" w:cs="Arial" w:eastAsia="Arial" w:hAnsi="Arial"/>
          <w:sz w:val="22"/>
          <w:szCs w:val="22"/>
        </w:rPr>
        <w:t xml:space="preserve">Register as a Data Controller with the ICO (£52–£622/yr depending on size)</w:t>
      </w:r>
    </w:p>
    <w:p>
      <w:pPr>
        <w:pStyle w:val="ListParagraph"/>
        <w:numPr>
          <w:ilvl w:val="0"/>
          <w:numId w:val="2"/>
        </w:numPr>
        <w:spacing w:after="60"/>
      </w:pPr>
      <w:r>
        <w:rPr>
          <w:rFonts w:ascii="Arial" w:cs="Arial" w:eastAsia="Arial" w:hAnsi="Arial"/>
          <w:sz w:val="22"/>
          <w:szCs w:val="22"/>
        </w:rPr>
        <w:t xml:space="preserve">Publish a privacy notice on cricrelay.com explaining what data is collected and why</w:t>
      </w:r>
    </w:p>
    <w:p>
      <w:pPr>
        <w:pStyle w:val="ListParagraph"/>
        <w:numPr>
          <w:ilvl w:val="0"/>
          <w:numId w:val="2"/>
        </w:numPr>
        <w:spacing w:after="60"/>
      </w:pPr>
      <w:r>
        <w:rPr>
          <w:rFonts w:ascii="Arial" w:cs="Arial" w:eastAsia="Arial" w:hAnsi="Arial"/>
          <w:sz w:val="22"/>
          <w:szCs w:val="22"/>
        </w:rPr>
        <w:t xml:space="preserve">Provide a lawful basis for each processing activity (contract, legitimate interest, consent)</w:t>
      </w:r>
    </w:p>
    <w:p>
      <w:pPr>
        <w:pStyle w:val="ListParagraph"/>
        <w:numPr>
          <w:ilvl w:val="0"/>
          <w:numId w:val="2"/>
        </w:numPr>
        <w:spacing w:after="60"/>
      </w:pPr>
      <w:r>
        <w:rPr>
          <w:rFonts w:ascii="Arial" w:cs="Arial" w:eastAsia="Arial" w:hAnsi="Arial"/>
          <w:sz w:val="22"/>
          <w:szCs w:val="22"/>
        </w:rPr>
        <w:t xml:space="preserve">Implement subject access rights — someone can ask what data you hold about them</w:t>
      </w:r>
    </w:p>
    <w:p>
      <w:pPr>
        <w:pStyle w:val="ListParagraph"/>
        <w:numPr>
          <w:ilvl w:val="0"/>
          <w:numId w:val="2"/>
        </w:numPr>
        <w:spacing w:after="60"/>
      </w:pPr>
      <w:r>
        <w:rPr>
          <w:rFonts w:ascii="Arial" w:cs="Arial" w:eastAsia="Arial" w:hAnsi="Arial"/>
          <w:sz w:val="22"/>
          <w:szCs w:val="22"/>
        </w:rPr>
        <w:t xml:space="preserve">Implement right to erasure — except where you need to keep records for legal/tax reasons</w:t>
      </w:r>
    </w:p>
    <w:p>
      <w:pPr>
        <w:pStyle w:val="ListParagraph"/>
        <w:numPr>
          <w:ilvl w:val="0"/>
          <w:numId w:val="2"/>
        </w:numPr>
        <w:spacing w:after="60"/>
      </w:pPr>
      <w:r>
        <w:rPr>
          <w:rFonts w:ascii="Arial" w:cs="Arial" w:eastAsia="Arial" w:hAnsi="Arial"/>
          <w:sz w:val="22"/>
          <w:szCs w:val="22"/>
        </w:rPr>
        <w:t xml:space="preserve">Encrypt data in transit (HTTPS) and at rest (AWS encryption-at-rest)</w:t>
      </w:r>
    </w:p>
    <w:p>
      <w:pPr>
        <w:pStyle w:val="ListParagraph"/>
        <w:numPr>
          <w:ilvl w:val="0"/>
          <w:numId w:val="2"/>
        </w:numPr>
        <w:spacing w:after="60"/>
      </w:pPr>
      <w:r>
        <w:rPr>
          <w:rFonts w:ascii="Arial" w:cs="Arial" w:eastAsia="Arial" w:hAnsi="Arial"/>
          <w:sz w:val="22"/>
          <w:szCs w:val="22"/>
        </w:rPr>
        <w:t xml:space="preserve">Report personal data breaches to the ICO within 72 hours</w:t>
      </w:r>
    </w:p>
    <w:p>
      <w:pPr>
        <w:pStyle w:val="ListParagraph"/>
        <w:numPr>
          <w:ilvl w:val="0"/>
          <w:numId w:val="2"/>
        </w:numPr>
        <w:spacing w:after="60"/>
      </w:pPr>
      <w:r>
        <w:rPr>
          <w:rFonts w:ascii="Arial" w:cs="Arial" w:eastAsia="Arial" w:hAnsi="Arial"/>
          <w:sz w:val="22"/>
          <w:szCs w:val="22"/>
        </w:rPr>
        <w:t xml:space="preserve">Data Processing Agreement (DPA) with each processor (Stripe, AWS, YouTube)</w:t>
      </w:r>
    </w:p>
    <w:p>
      <w:pPr>
        <w:spacing w:after="100"/>
      </w:pPr>
      <w:r>
        <w:t xml:space="preserve"/>
      </w:r>
    </w:p>
    <w:p>
      <w:pPr>
        <w:pBdr>
          <w:left w:val="single" w:color="A32D2D" w:sz="14" w:space="8"/>
        </w:pBdr>
        <w:shd w:fill="FCEBEB" w:val="clear"/>
        <w:spacing w:after="100"/>
        <w:ind w:left="360"/>
      </w:pPr>
      <w:r>
        <w:rPr>
          <w:rFonts w:ascii="Arial" w:cs="Arial" w:eastAsia="Arial" w:hAnsi="Arial"/>
          <w:b/>
          <w:bCs/>
          <w:color w:val="501313"/>
          <w:sz w:val="20"/>
          <w:szCs w:val="20"/>
        </w:rPr>
        <w:t xml:space="preserve">ICO maximum fine: 4% of annual global turnover OR £17.5 million, whichever is higher. For a startup, even a £50,000 fine could be fatal. GDPR compliance is non-negotiable from day one.</w:t>
      </w:r>
    </w:p>
    <w:p>
      <w:pPr>
        <w:spacing w:after="100"/>
      </w:pPr>
      <w:r>
        <w:t xml:space="preserve"/>
      </w:r>
    </w:p>
    <w:p>
      <w:pPr>
        <w:pStyle w:val="Heading2"/>
        <w:spacing w:after="80" w:before="240"/>
      </w:pPr>
      <w:r>
        <w:rPr>
          <w:rFonts w:ascii="Arial" w:cs="Arial" w:eastAsia="Arial" w:hAnsi="Arial"/>
          <w:b/>
          <w:bCs/>
          <w:color w:val="501313"/>
          <w:sz w:val="26"/>
          <w:szCs w:val="26"/>
        </w:rPr>
        <w:t xml:space="preserve">5.3 The video footage issue</w:t>
      </w:r>
    </w:p>
    <w:p>
      <w:pPr>
        <w:spacing w:after="100"/>
      </w:pPr>
      <w:r>
        <w:rPr>
          <w:rFonts w:ascii="Arial" w:cs="Arial" w:eastAsia="Arial" w:hAnsi="Arial"/>
          <w:sz w:val="22"/>
          <w:szCs w:val="22"/>
        </w:rPr>
        <w:t xml:space="preserve">Pro and Elite tiers record video of identifiable individuals at cricket matches. UK GDPR considers this personal data. Some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4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3426"/>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Live streaming of matches — player consent</w:t>
            </w:r>
          </w:p>
        </w:tc>
        <w:tc>
          <w:tcPr>
            <w:tcW w:type="dxa" w:w="3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Players give implicit consent by participating in a match advertised as being streamed. The club is the Data Controller for the footage — not CricRelay.</w:t>
            </w:r>
          </w:p>
        </w:tc>
        <w:tc>
          <w:tcPr>
            <w:tcW w:type="dxa" w:w="34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CricRelay’s terms require clubs to confirm they have notified players. CricRelay is a Data Processor for video.</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Children in footage (under 18s)</w:t>
            </w:r>
          </w:p>
        </w:tc>
        <w:tc>
          <w:tcPr>
            <w:tcW w:type="dxa" w:w="3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Higher bar. Parental consent required for direct identification or featured shots.</w:t>
            </w:r>
          </w:p>
        </w:tc>
        <w:tc>
          <w:tcPr>
            <w:tcW w:type="dxa" w:w="34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Clubs are responsible. CricRelay’s terms require child safeguarding compliance — if a club streams junior matches they must follow ECB safeguarding guidelines.</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Right to be forgotten for past streams</w:t>
            </w:r>
          </w:p>
        </w:tc>
        <w:tc>
          <w:tcPr>
            <w:tcW w:type="dxa" w:w="3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Once on YouTube, deletion is the club’s responsibility via their YouTube channel.</w:t>
            </w:r>
          </w:p>
        </w:tc>
        <w:tc>
          <w:tcPr>
            <w:tcW w:type="dxa" w:w="34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CricRelay provides a one-click ‘delete this match stream’ button in CricRelay Go.</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Police request for footage</w:t>
            </w:r>
          </w:p>
        </w:tc>
        <w:tc>
          <w:tcPr>
            <w:tcW w:type="dxa" w:w="3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Police can serve a Section 22 notice. Cooperate but require formal documentation.</w:t>
            </w:r>
          </w:p>
        </w:tc>
        <w:tc>
          <w:tcPr>
            <w:tcW w:type="dxa" w:w="34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Document policy. CricRelay does not store full match video — only highlights clips for 30 days.</w:t>
            </w:r>
          </w:p>
        </w:tc>
      </w:tr>
    </w:tbl>
    <w:p>
      <w:pPr>
        <w:spacing w:after="100"/>
      </w:pPr>
      <w:r>
        <w:t xml:space="preserve"/>
      </w:r>
    </w:p>
    <w:p>
      <w:r>
        <w:br w:type="page"/>
      </w:r>
    </w:p>
    <w:p>
      <w:pPr>
        <w:pStyle w:val="Heading1"/>
        <w:pBdr>
          <w:bottom w:val="single" w:color="A32D2D" w:sz="4" w:space="4"/>
        </w:pBdr>
        <w:spacing w:after="120" w:before="360"/>
      </w:pPr>
      <w:r>
        <w:rPr>
          <w:rFonts w:ascii="Arial" w:cs="Arial" w:eastAsia="Arial" w:hAnsi="Arial"/>
          <w:b/>
          <w:bCs/>
          <w:color w:val="A32D2D"/>
          <w:sz w:val="32"/>
          <w:szCs w:val="32"/>
        </w:rPr>
        <w:t xml:space="preserve">6. Zone D — commercial and intellectual property</w:t>
      </w:r>
    </w:p>
    <w:p>
      <w:pPr>
        <w:pStyle w:val="Heading2"/>
        <w:spacing w:after="80" w:before="240"/>
      </w:pPr>
      <w:r>
        <w:rPr>
          <w:rFonts w:ascii="Arial" w:cs="Arial" w:eastAsia="Arial" w:hAnsi="Arial"/>
          <w:b/>
          <w:bCs/>
          <w:color w:val="501313"/>
          <w:sz w:val="26"/>
          <w:szCs w:val="26"/>
        </w:rPr>
        <w:t xml:space="preserve">6.1 Trade mark registration</w:t>
      </w:r>
    </w:p>
    <w:p>
      <w:pPr>
        <w:spacing w:after="100"/>
      </w:pPr>
      <w:r>
        <w:rPr>
          <w:rFonts w:ascii="Arial" w:cs="Arial" w:eastAsia="Arial" w:hAnsi="Arial"/>
          <w:sz w:val="22"/>
          <w:szCs w:val="22"/>
        </w:rPr>
        <w:t xml:space="preserve">The name CricRelay must be protected immediately. Without a registered trade mark, any party can challenge or imitate the brand. UK trade mark registration is fast and cheap.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c>
          <w:tcPr>
            <w:tcW w:type="dxa" w:w="15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40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3526"/>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Class 9</w:t>
            </w:r>
          </w:p>
        </w:tc>
        <w:tc>
          <w:tcPr>
            <w:tcW w:type="dxa" w:w="4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Electronics, software, downloadable apps</w:t>
            </w:r>
          </w:p>
        </w:tc>
        <w:tc>
          <w:tcPr>
            <w:tcW w:type="dxa" w:w="3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£170 first class, £50 each additional</w:t>
            </w:r>
          </w:p>
        </w:tc>
      </w:tr>
      <w:tr>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Class 38</w:t>
            </w:r>
          </w:p>
        </w:tc>
        <w:tc>
          <w:tcPr>
            <w:tcW w:type="dxa" w:w="4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Telecommunications, broadcasting</w:t>
            </w:r>
          </w:p>
        </w:tc>
        <w:tc>
          <w:tcPr>
            <w:tcW w:type="dxa" w:w="3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£50</w:t>
            </w:r>
          </w:p>
        </w:tc>
      </w:tr>
      <w:tr>
        <w:tc>
          <w:tcPr>
            <w:tcW w:type="dxa" w:w="1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Class 41</w:t>
            </w:r>
          </w:p>
        </w:tc>
        <w:tc>
          <w:tcPr>
            <w:tcW w:type="dxa" w:w="4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Education, training, sporting &amp; cultural activities</w:t>
            </w:r>
          </w:p>
        </w:tc>
        <w:tc>
          <w:tcPr>
            <w:tcW w:type="dxa" w:w="3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£50</w:t>
            </w:r>
          </w:p>
        </w:tc>
      </w:tr>
      <w:tr>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UK total (3 classes)</w:t>
            </w:r>
          </w:p>
        </w:tc>
        <w:tc>
          <w:tcPr>
            <w:tcW w:type="dxa" w:w="4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Full UK protection</w:t>
            </w:r>
          </w:p>
        </w:tc>
        <w:tc>
          <w:tcPr>
            <w:tcW w:type="dxa" w:w="3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£270</w:t>
            </w:r>
          </w:p>
        </w:tc>
      </w:tr>
      <w:tr>
        <w:tc>
          <w:tcPr>
            <w:tcW w:type="dxa" w:w="1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EU IPO (EUIPO)</w:t>
            </w:r>
          </w:p>
        </w:tc>
        <w:tc>
          <w:tcPr>
            <w:tcW w:type="dxa" w:w="4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27-country EU protection</w:t>
            </w:r>
          </w:p>
        </w:tc>
        <w:tc>
          <w:tcPr>
            <w:tcW w:type="dxa" w:w="3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€850 for first class, €50 each additional</w:t>
            </w:r>
          </w:p>
        </w:tc>
      </w:tr>
      <w:tr>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WIPO Madrid international</w:t>
            </w:r>
          </w:p>
        </w:tc>
        <w:tc>
          <w:tcPr>
            <w:tcW w:type="dxa" w:w="4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100+ countries inc. India, Australia, NZ</w:t>
            </w:r>
          </w:p>
        </w:tc>
        <w:tc>
          <w:tcPr>
            <w:tcW w:type="dxa" w:w="3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From £500</w:t>
            </w:r>
          </w:p>
        </w:tc>
      </w:tr>
    </w:tbl>
    <w:p>
      <w:pPr>
        <w:spacing w:after="100"/>
      </w:pPr>
      <w:r>
        <w:t xml:space="preserve"/>
      </w:r>
    </w:p>
    <w:p>
      <w:pPr>
        <w:pBdr>
          <w:left w:val="single" w:color="BA7517" w:sz="10" w:space="8"/>
        </w:pBdr>
        <w:spacing w:after="100"/>
        <w:ind w:left="360"/>
      </w:pPr>
      <w:r>
        <w:rPr>
          <w:rFonts w:ascii="Arial" w:cs="Arial" w:eastAsia="Arial" w:hAnsi="Arial"/>
          <w:i/>
          <w:iCs/>
          <w:color w:val="546E7A"/>
          <w:sz w:val="20"/>
          <w:szCs w:val="20"/>
        </w:rPr>
        <w:t xml:space="preserve">Action: register CricRelay UK trade mark within 30 days of finalising name. Class 9 mandatory, Class 38 recommended, Class 41 advisable. £270 total. Use UK IPO website directly — no need for an agent at this stage.</w:t>
      </w:r>
    </w:p>
    <w:p>
      <w:pPr>
        <w:spacing w:after="100"/>
      </w:pPr>
      <w:r>
        <w:t xml:space="preserve"/>
      </w:r>
    </w:p>
    <w:p>
      <w:pPr>
        <w:pStyle w:val="Heading2"/>
        <w:spacing w:after="80" w:before="240"/>
      </w:pPr>
      <w:r>
        <w:rPr>
          <w:rFonts w:ascii="Arial" w:cs="Arial" w:eastAsia="Arial" w:hAnsi="Arial"/>
          <w:b/>
          <w:bCs/>
          <w:color w:val="501313"/>
          <w:sz w:val="26"/>
          <w:szCs w:val="26"/>
        </w:rPr>
        <w:t xml:space="preserve">6.2 Domain registration</w:t>
      </w:r>
    </w:p>
    <w:p>
      <w:pPr>
        <w:pStyle w:val="ListParagraph"/>
        <w:numPr>
          <w:ilvl w:val="0"/>
          <w:numId w:val="2"/>
        </w:numPr>
        <w:spacing w:after="60"/>
      </w:pPr>
      <w:r>
        <w:rPr>
          <w:rFonts w:ascii="Arial" w:cs="Arial" w:eastAsia="Arial" w:hAnsi="Arial"/>
          <w:sz w:val="22"/>
          <w:szCs w:val="22"/>
        </w:rPr>
        <w:t xml:space="preserve">cricrelay.com — essential. Check availability and register immediately.</w:t>
      </w:r>
    </w:p>
    <w:p>
      <w:pPr>
        <w:pStyle w:val="ListParagraph"/>
        <w:numPr>
          <w:ilvl w:val="0"/>
          <w:numId w:val="2"/>
        </w:numPr>
        <w:spacing w:after="60"/>
      </w:pPr>
      <w:r>
        <w:rPr>
          <w:rFonts w:ascii="Arial" w:cs="Arial" w:eastAsia="Arial" w:hAnsi="Arial"/>
          <w:sz w:val="22"/>
          <w:szCs w:val="22"/>
        </w:rPr>
        <w:t xml:space="preserve">cricrelay.co.uk — essential for UK audience.</w:t>
      </w:r>
    </w:p>
    <w:p>
      <w:pPr>
        <w:pStyle w:val="ListParagraph"/>
        <w:numPr>
          <w:ilvl w:val="0"/>
          <w:numId w:val="2"/>
        </w:numPr>
        <w:spacing w:after="60"/>
      </w:pPr>
      <w:r>
        <w:rPr>
          <w:rFonts w:ascii="Arial" w:cs="Arial" w:eastAsia="Arial" w:hAnsi="Arial"/>
          <w:sz w:val="22"/>
          <w:szCs w:val="22"/>
        </w:rPr>
        <w:t xml:space="preserve">cricrelay.in, cricrelay.com.au, cricrelay.co.nz — defensive registrations for future markets.</w:t>
      </w:r>
    </w:p>
    <w:p>
      <w:pPr>
        <w:pStyle w:val="ListParagraph"/>
        <w:numPr>
          <w:ilvl w:val="0"/>
          <w:numId w:val="2"/>
        </w:numPr>
        <w:spacing w:after="60"/>
      </w:pPr>
      <w:r>
        <w:rPr>
          <w:rFonts w:ascii="Arial" w:cs="Arial" w:eastAsia="Arial" w:hAnsi="Arial"/>
          <w:sz w:val="22"/>
          <w:szCs w:val="22"/>
        </w:rPr>
        <w:t xml:space="preserve">Combined cost: ~£100/year for all six.</w:t>
      </w:r>
    </w:p>
    <w:p>
      <w:pPr>
        <w:spacing w:after="100"/>
      </w:pPr>
      <w:r>
        <w:t xml:space="preserve"/>
      </w:r>
    </w:p>
    <w:p>
      <w:pPr>
        <w:pStyle w:val="Heading2"/>
        <w:spacing w:after="80" w:before="240"/>
      </w:pPr>
      <w:r>
        <w:rPr>
          <w:rFonts w:ascii="Arial" w:cs="Arial" w:eastAsia="Arial" w:hAnsi="Arial"/>
          <w:b/>
          <w:bCs/>
          <w:color w:val="501313"/>
          <w:sz w:val="26"/>
          <w:szCs w:val="26"/>
        </w:rPr>
        <w:t xml:space="preserve">6.3 Limited company formation</w:t>
      </w:r>
    </w:p>
    <w:p>
      <w:pPr>
        <w:spacing w:after="100"/>
      </w:pPr>
      <w:r>
        <w:rPr>
          <w:rFonts w:ascii="Arial" w:cs="Arial" w:eastAsia="Arial" w:hAnsi="Arial"/>
          <w:sz w:val="22"/>
          <w:szCs w:val="22"/>
        </w:rPr>
        <w:t xml:space="preserve">Before any commercial activity, form CricRelay Ltd. This is non-negotiable. It provides:</w:t>
      </w:r>
    </w:p>
    <w:p>
      <w:pPr>
        <w:pStyle w:val="ListParagraph"/>
        <w:numPr>
          <w:ilvl w:val="0"/>
          <w:numId w:val="2"/>
        </w:numPr>
        <w:spacing w:after="60"/>
      </w:pPr>
      <w:r>
        <w:rPr>
          <w:rFonts w:ascii="Arial" w:cs="Arial" w:eastAsia="Arial" w:hAnsi="Arial"/>
          <w:sz w:val="22"/>
          <w:szCs w:val="22"/>
        </w:rPr>
        <w:t xml:space="preserve">Limited liability — directors are not personally liable for company debts (subject to UK Companies Act 2006 duties)</w:t>
      </w:r>
    </w:p>
    <w:p>
      <w:pPr>
        <w:pStyle w:val="ListParagraph"/>
        <w:numPr>
          <w:ilvl w:val="0"/>
          <w:numId w:val="2"/>
        </w:numPr>
        <w:spacing w:after="60"/>
      </w:pPr>
      <w:r>
        <w:rPr>
          <w:rFonts w:ascii="Arial" w:cs="Arial" w:eastAsia="Arial" w:hAnsi="Arial"/>
          <w:sz w:val="22"/>
          <w:szCs w:val="22"/>
        </w:rPr>
        <w:t xml:space="preserve">Trading separation — commercial activity is between CricRelay Ltd and customers, not the founder personally</w:t>
      </w:r>
    </w:p>
    <w:p>
      <w:pPr>
        <w:pStyle w:val="ListParagraph"/>
        <w:numPr>
          <w:ilvl w:val="0"/>
          <w:numId w:val="2"/>
        </w:numPr>
        <w:spacing w:after="60"/>
      </w:pPr>
      <w:r>
        <w:rPr>
          <w:rFonts w:ascii="Arial" w:cs="Arial" w:eastAsia="Arial" w:hAnsi="Arial"/>
          <w:sz w:val="22"/>
          <w:szCs w:val="22"/>
        </w:rPr>
        <w:t xml:space="preserve">Tax efficiency — 19–25% Corporation Tax vs up to 45% income tax</w:t>
      </w:r>
    </w:p>
    <w:p>
      <w:pPr>
        <w:pStyle w:val="ListParagraph"/>
        <w:numPr>
          <w:ilvl w:val="0"/>
          <w:numId w:val="2"/>
        </w:numPr>
        <w:spacing w:after="60"/>
      </w:pPr>
      <w:r>
        <w:rPr>
          <w:rFonts w:ascii="Arial" w:cs="Arial" w:eastAsia="Arial" w:hAnsi="Arial"/>
          <w:sz w:val="22"/>
          <w:szCs w:val="22"/>
        </w:rPr>
        <w:t xml:space="preserve">Credibility — clubs, ECB, manufacturers expect to deal with a registered company</w:t>
      </w:r>
    </w:p>
    <w:p>
      <w:pPr>
        <w:spacing w:after="100"/>
      </w:pPr>
      <w:r>
        <w:t xml:space="preserve"/>
      </w:r>
    </w:p>
    <w:p>
      <w:pPr>
        <w:pBdr>
          <w:left w:val="single" w:color="BA7517" w:sz="10" w:space="8"/>
        </w:pBdr>
        <w:spacing w:after="100"/>
        <w:ind w:left="360"/>
      </w:pPr>
      <w:r>
        <w:rPr>
          <w:rFonts w:ascii="Arial" w:cs="Arial" w:eastAsia="Arial" w:hAnsi="Arial"/>
          <w:i/>
          <w:iCs/>
          <w:color w:val="546E7A"/>
          <w:sz w:val="20"/>
          <w:szCs w:val="20"/>
        </w:rPr>
        <w:t xml:space="preserve">Cost: £12 Companies House filing. Allow 24 hours. Use an accountant (£500–1,500/yr) for ongoing filings. Recommended formation services: 1st Formations, Companies Made Simple.</w:t>
      </w:r>
    </w:p>
    <w:p>
      <w:pPr>
        <w:spacing w:after="100"/>
      </w:pPr>
      <w:r>
        <w:t xml:space="preserve"/>
      </w:r>
    </w:p>
    <w:p>
      <w:pPr>
        <w:pStyle w:val="Heading2"/>
        <w:spacing w:after="80" w:before="240"/>
      </w:pPr>
      <w:r>
        <w:rPr>
          <w:rFonts w:ascii="Arial" w:cs="Arial" w:eastAsia="Arial" w:hAnsi="Arial"/>
          <w:b/>
          <w:bCs/>
          <w:color w:val="501313"/>
          <w:sz w:val="26"/>
          <w:szCs w:val="26"/>
        </w:rPr>
        <w:t xml:space="preserve">6.4 Director duties and personal liability</w:t>
      </w:r>
    </w:p>
    <w:p>
      <w:pPr>
        <w:spacing w:after="100"/>
      </w:pPr>
      <w:r>
        <w:rPr>
          <w:rFonts w:ascii="Arial" w:cs="Arial" w:eastAsia="Arial" w:hAnsi="Arial"/>
          <w:sz w:val="22"/>
          <w:szCs w:val="22"/>
        </w:rPr>
        <w:t xml:space="preserve">As sole director of CricRelay Ltd, the founder has fiduciary duties under sections 171–177 of the UK Companies Act 2006. Personal liability can arise in specific circumstances: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0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Liability</w:t>
            </w:r>
          </w:p>
        </w:tc>
        <w:tc>
          <w:tcPr>
            <w:tcW w:type="dxa" w:w="3626"/>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Trading while insolvent</w:t>
            </w:r>
          </w:p>
        </w:tc>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Personal liability for company debts (Insolvency Act 1986 s.214)</w:t>
            </w:r>
          </w:p>
        </w:tc>
        <w:tc>
          <w:tcPr>
            <w:tcW w:type="dxa" w:w="3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Monthly cashflow review. Cease trading if insolvent.</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Health &amp; safety breach (product causes injury)</w:t>
            </w:r>
          </w:p>
        </w:tc>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Personal liability under Consumer Protection Act 1987</w:t>
            </w:r>
          </w:p>
        </w:tc>
        <w:tc>
          <w:tcPr>
            <w:tcW w:type="dxa" w:w="3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Full UKCA compliance. £2m+ product liability insurance.</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Personal guarantee on supplier contracts</w:t>
            </w:r>
          </w:p>
        </w:tc>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Personal liability up to guarantee amount</w:t>
            </w:r>
          </w:p>
        </w:tc>
        <w:tc>
          <w:tcPr>
            <w:tcW w:type="dxa" w:w="3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Never sign personal guarantees. Use company-only contracts.</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Tax fraud / late VAT returns</w:t>
            </w:r>
          </w:p>
        </w:tc>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HMRC can pursue director personally</w:t>
            </w:r>
          </w:p>
        </w:tc>
        <w:tc>
          <w:tcPr>
            <w:tcW w:type="dxa" w:w="3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Use a chartered accountant. Set up monthly VAT direct debit.</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Breach of fiduciary duty</w:t>
            </w:r>
          </w:p>
        </w:tc>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Personal liability to company / shareholders</w:t>
            </w:r>
          </w:p>
        </w:tc>
        <w:tc>
          <w:tcPr>
            <w:tcW w:type="dxa" w:w="3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Document decisions in board minutes.</w:t>
            </w:r>
          </w:p>
        </w:tc>
      </w:tr>
    </w:tbl>
    <w:p>
      <w:pPr>
        <w:spacing w:after="100"/>
      </w:pPr>
      <w:r>
        <w:t xml:space="preserve"/>
      </w:r>
    </w:p>
    <w:p>
      <w:r>
        <w:br w:type="page"/>
      </w:r>
    </w:p>
    <w:p>
      <w:pPr>
        <w:pStyle w:val="Heading1"/>
        <w:pBdr>
          <w:bottom w:val="single" w:color="A32D2D" w:sz="4" w:space="4"/>
        </w:pBdr>
        <w:spacing w:after="120" w:before="360"/>
      </w:pPr>
      <w:r>
        <w:rPr>
          <w:rFonts w:ascii="Arial" w:cs="Arial" w:eastAsia="Arial" w:hAnsi="Arial"/>
          <w:b/>
          <w:bCs/>
          <w:color w:val="A32D2D"/>
          <w:sz w:val="32"/>
          <w:szCs w:val="32"/>
        </w:rPr>
        <w:t xml:space="preserve">7. The FrogBox / Sportradar competitive question</w:t>
      </w:r>
    </w:p>
    <w:p>
      <w:pPr>
        <w:spacing w:after="100"/>
      </w:pPr>
      <w:r>
        <w:rPr>
          <w:rFonts w:ascii="Arial" w:cs="Arial" w:eastAsia="Arial" w:hAnsi="Arial"/>
          <w:sz w:val="22"/>
          <w:szCs w:val="22"/>
        </w:rPr>
        <w:t xml:space="preserve">FrogBox is owned by Sportradar. Sportradar is a publicly listed company (NASDAQ: SRAD) with annual revenue exceeding €1 billion. They are not a sleepy incumbent. They will notice CricRelay.</w:t>
      </w:r>
    </w:p>
    <w:p>
      <w:pPr>
        <w:spacing w:after="100"/>
      </w:pPr>
      <w:r>
        <w:t xml:space="preserve"/>
      </w:r>
    </w:p>
    <w:p>
      <w:pPr>
        <w:pStyle w:val="Heading2"/>
        <w:spacing w:after="80" w:before="240"/>
      </w:pPr>
      <w:r>
        <w:rPr>
          <w:rFonts w:ascii="Arial" w:cs="Arial" w:eastAsia="Arial" w:hAnsi="Arial"/>
          <w:b/>
          <w:bCs/>
          <w:color w:val="501313"/>
          <w:sz w:val="26"/>
          <w:szCs w:val="26"/>
        </w:rPr>
        <w:t xml:space="preserve">7.1 What FrogBox / Sportradar could legally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00"/>
        <w:gridCol w:w="2726"/>
      </w:tblGrid>
      <w:tr>
        <w:tc>
          <w:tcPr>
            <w:tcW w:type="dxa" w:w="30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Legal merit</w:t>
            </w:r>
          </w:p>
        </w:tc>
        <w:tc>
          <w:tcPr>
            <w:tcW w:type="dxa" w:w="15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726"/>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CricRelay response</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Sue for passing off / trade mark</w:t>
            </w:r>
          </w:p>
        </w:tc>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Low — CricRelay is distinctive</w:t>
            </w:r>
          </w:p>
        </w:tc>
        <w:tc>
          <w:tcPr>
            <w:tcW w:type="dxa" w:w="1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Very low</w:t>
            </w:r>
          </w:p>
        </w:tc>
        <w:tc>
          <w:tcPr>
            <w:tcW w:type="dxa" w:w="27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Trade mark registration pre-empts</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Sue for patent infringement</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Depends on Sportradar patents — freedom-to-operate search needed</w:t>
            </w:r>
          </w:p>
        </w:tc>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Low</w:t>
            </w:r>
          </w:p>
        </w:tc>
        <w:tc>
          <w:tcPr>
            <w:tcW w:type="dxa" w:w="27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Commission patent search before launch (£2,000–4,000)</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Lobby ECB to restrict third parties</w:t>
            </w:r>
          </w:p>
        </w:tc>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Significant lobbying power</w:t>
            </w:r>
          </w:p>
        </w:tc>
        <w:tc>
          <w:tcPr>
            <w:tcW w:type="dxa" w:w="1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Medium-high</w:t>
            </w:r>
          </w:p>
        </w:tc>
        <w:tc>
          <w:tcPr>
            <w:tcW w:type="dxa" w:w="27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Beat them to ECB with scoreboard partner registration</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Lobby ECB to make FrogBox the ‘only approved’ streaming product</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Could happen via partnership exclusivity</w:t>
            </w:r>
          </w:p>
        </w:tc>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Medium</w:t>
            </w:r>
          </w:p>
        </w:tc>
        <w:tc>
          <w:tcPr>
            <w:tcW w:type="dxa" w:w="27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ECB cannot favour one supplier under competition law</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Tortious interference — contacting clubs to warn against CricRelay</w:t>
            </w:r>
          </w:p>
        </w:tc>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Possibly actionable if defamatory</w:t>
            </w:r>
          </w:p>
        </w:tc>
        <w:tc>
          <w:tcPr>
            <w:tcW w:type="dxa" w:w="1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Low</w:t>
            </w:r>
          </w:p>
        </w:tc>
        <w:tc>
          <w:tcPr>
            <w:tcW w:type="dxa" w:w="27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Document any such contact. UK competition law strong here.</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Acquire CricRelay</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Friendly outcome — potential exit</w:t>
            </w:r>
          </w:p>
        </w:tc>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Medium (after 200+ clubs)</w:t>
            </w:r>
          </w:p>
        </w:tc>
        <w:tc>
          <w:tcPr>
            <w:tcW w:type="dxa" w:w="27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Welcome conversation. Not now.</w:t>
            </w:r>
          </w:p>
        </w:tc>
      </w:tr>
    </w:tbl>
    <w:p>
      <w:pPr>
        <w:spacing w:after="100"/>
      </w:pPr>
      <w:r>
        <w:t xml:space="preserve"/>
      </w:r>
    </w:p>
    <w:p>
      <w:pPr>
        <w:pStyle w:val="Heading2"/>
        <w:spacing w:after="80" w:before="240"/>
      </w:pPr>
      <w:r>
        <w:rPr>
          <w:rFonts w:ascii="Arial" w:cs="Arial" w:eastAsia="Arial" w:hAnsi="Arial"/>
          <w:b/>
          <w:bCs/>
          <w:color w:val="501313"/>
          <w:sz w:val="26"/>
          <w:szCs w:val="26"/>
        </w:rPr>
        <w:t xml:space="preserve">7.2 UK Competition Law as your shield</w:t>
      </w:r>
    </w:p>
    <w:p>
      <w:pPr>
        <w:spacing w:after="100"/>
      </w:pPr>
      <w:r>
        <w:rPr>
          <w:rFonts w:ascii="Arial" w:cs="Arial" w:eastAsia="Arial" w:hAnsi="Arial"/>
          <w:sz w:val="22"/>
          <w:szCs w:val="22"/>
        </w:rPr>
        <w:t xml:space="preserve">The UK Competition and Markets Authority (CMA) enforces the Competition Act 1998 and Enterprise Act 2002. Key protections relevant to CricRelay:</w:t>
      </w:r>
    </w:p>
    <w:p>
      <w:pPr>
        <w:pStyle w:val="ListParagraph"/>
        <w:numPr>
          <w:ilvl w:val="0"/>
          <w:numId w:val="2"/>
        </w:numPr>
        <w:spacing w:after="60"/>
      </w:pPr>
      <w:r>
        <w:rPr>
          <w:rFonts w:ascii="Arial" w:cs="Arial" w:eastAsia="Arial" w:hAnsi="Arial"/>
          <w:sz w:val="22"/>
          <w:szCs w:val="22"/>
        </w:rPr>
        <w:t xml:space="preserve">Chapter I prohibition — anti-competitive agreements. ECB cannot enter exclusive arrangements that foreclose the market to new entrants.</w:t>
      </w:r>
    </w:p>
    <w:p>
      <w:pPr>
        <w:pStyle w:val="ListParagraph"/>
        <w:numPr>
          <w:ilvl w:val="0"/>
          <w:numId w:val="2"/>
        </w:numPr>
        <w:spacing w:after="60"/>
      </w:pPr>
      <w:r>
        <w:rPr>
          <w:rFonts w:ascii="Arial" w:cs="Arial" w:eastAsia="Arial" w:hAnsi="Arial"/>
          <w:sz w:val="22"/>
          <w:szCs w:val="22"/>
        </w:rPr>
        <w:t xml:space="preserve">Chapter II prohibition — abuse of dominant position. Sportradar holds a dominant position in cricket data; tortious interference with CricRelay’s customers could trigger this.</w:t>
      </w:r>
    </w:p>
    <w:p>
      <w:pPr>
        <w:pStyle w:val="ListParagraph"/>
        <w:numPr>
          <w:ilvl w:val="0"/>
          <w:numId w:val="2"/>
        </w:numPr>
        <w:spacing w:after="60"/>
      </w:pPr>
      <w:r>
        <w:rPr>
          <w:rFonts w:ascii="Arial" w:cs="Arial" w:eastAsia="Arial" w:hAnsi="Arial"/>
          <w:sz w:val="22"/>
          <w:szCs w:val="22"/>
        </w:rPr>
        <w:t xml:space="preserve">If ECB tried to restrict scoreboard integration to FrogBox-only, the CMA would likely investigate — ECB has a public interest mission and is heavily scrutinised.</w:t>
      </w:r>
    </w:p>
    <w:p>
      <w:pPr>
        <w:spacing w:after="100"/>
      </w:pPr>
      <w:r>
        <w:t xml:space="preserve"/>
      </w:r>
    </w:p>
    <w:p>
      <w:pPr>
        <w:pBdr>
          <w:left w:val="single" w:color="BA7517" w:sz="10" w:space="8"/>
        </w:pBdr>
        <w:spacing w:after="100"/>
        <w:ind w:left="360"/>
      </w:pPr>
      <w:r>
        <w:rPr>
          <w:rFonts w:ascii="Arial" w:cs="Arial" w:eastAsia="Arial" w:hAnsi="Arial"/>
          <w:i/>
          <w:iCs/>
          <w:color w:val="546E7A"/>
          <w:sz w:val="20"/>
          <w:szCs w:val="20"/>
        </w:rPr>
        <w:t xml:space="preserve">This is why scoreboard partner status is so valuable. Once ECB has listed CricRelay alongside Durant, FrogBox cannot retroactively restrict the integration without competition law concerns.</w:t>
      </w:r>
    </w:p>
    <w:p>
      <w:pPr>
        <w:spacing w:after="100"/>
      </w:pPr>
      <w:r>
        <w:t xml:space="preserve"/>
      </w:r>
    </w:p>
    <w:p>
      <w:pPr>
        <w:pStyle w:val="Heading2"/>
        <w:spacing w:after="80" w:before="240"/>
      </w:pPr>
      <w:r>
        <w:rPr>
          <w:rFonts w:ascii="Arial" w:cs="Arial" w:eastAsia="Arial" w:hAnsi="Arial"/>
          <w:b/>
          <w:bCs/>
          <w:color w:val="501313"/>
          <w:sz w:val="26"/>
          <w:szCs w:val="26"/>
        </w:rPr>
        <w:t xml:space="preserve">7.3 Patent landscape — must investigate</w:t>
      </w:r>
    </w:p>
    <w:p>
      <w:pPr>
        <w:spacing w:after="100"/>
      </w:pPr>
      <w:r>
        <w:rPr>
          <w:rFonts w:ascii="Arial" w:cs="Arial" w:eastAsia="Arial" w:hAnsi="Arial"/>
          <w:sz w:val="22"/>
          <w:szCs w:val="22"/>
        </w:rPr>
        <w:t xml:space="preserve">Before launching Pro or Elite tiers, commission a freedom-to-operate patent search focused on:</w:t>
      </w:r>
    </w:p>
    <w:p>
      <w:pPr>
        <w:pStyle w:val="ListParagraph"/>
        <w:numPr>
          <w:ilvl w:val="0"/>
          <w:numId w:val="2"/>
        </w:numPr>
        <w:spacing w:after="60"/>
      </w:pPr>
      <w:r>
        <w:rPr>
          <w:rFonts w:ascii="Arial" w:cs="Arial" w:eastAsia="Arial" w:hAnsi="Arial"/>
          <w:sz w:val="22"/>
          <w:szCs w:val="22"/>
        </w:rPr>
        <w:t xml:space="preserve">Sportradar patents on score overlay graphics and broadcast integration</w:t>
      </w:r>
    </w:p>
    <w:p>
      <w:pPr>
        <w:pStyle w:val="ListParagraph"/>
        <w:numPr>
          <w:ilvl w:val="0"/>
          <w:numId w:val="2"/>
        </w:numPr>
        <w:spacing w:after="60"/>
      </w:pPr>
      <w:r>
        <w:rPr>
          <w:rFonts w:ascii="Arial" w:cs="Arial" w:eastAsia="Arial" w:hAnsi="Arial"/>
          <w:sz w:val="22"/>
          <w:szCs w:val="22"/>
        </w:rPr>
        <w:t xml:space="preserve">FrogBox/Sportradar patents on cricket streaming workflows</w:t>
      </w:r>
    </w:p>
    <w:p>
      <w:pPr>
        <w:pStyle w:val="ListParagraph"/>
        <w:numPr>
          <w:ilvl w:val="0"/>
          <w:numId w:val="2"/>
        </w:numPr>
        <w:spacing w:after="60"/>
      </w:pPr>
      <w:r>
        <w:rPr>
          <w:rFonts w:ascii="Arial" w:cs="Arial" w:eastAsia="Arial" w:hAnsi="Arial"/>
          <w:sz w:val="22"/>
          <w:szCs w:val="22"/>
        </w:rPr>
        <w:t xml:space="preserve">PTZ camera direction from match event data — anyone’s patents (US, EU, UK)</w:t>
      </w:r>
    </w:p>
    <w:p>
      <w:pPr>
        <w:pStyle w:val="ListParagraph"/>
        <w:numPr>
          <w:ilvl w:val="0"/>
          <w:numId w:val="2"/>
        </w:numPr>
        <w:spacing w:after="60"/>
      </w:pPr>
      <w:r>
        <w:rPr>
          <w:rFonts w:ascii="Arial" w:cs="Arial" w:eastAsia="Arial" w:hAnsi="Arial"/>
          <w:sz w:val="22"/>
          <w:szCs w:val="22"/>
        </w:rPr>
        <w:t xml:space="preserve">Multi-device Bluetooth scoring integration patents</w:t>
      </w:r>
    </w:p>
    <w:p>
      <w:pPr>
        <w:spacing w:after="100"/>
      </w:pPr>
      <w:r>
        <w:t xml:space="preserve"/>
      </w:r>
    </w:p>
    <w:p>
      <w:pPr>
        <w:pBdr>
          <w:left w:val="single" w:color="BA7517" w:sz="10" w:space="8"/>
        </w:pBdr>
        <w:spacing w:after="100"/>
        <w:ind w:left="360"/>
      </w:pPr>
      <w:r>
        <w:rPr>
          <w:rFonts w:ascii="Arial" w:cs="Arial" w:eastAsia="Arial" w:hAnsi="Arial"/>
          <w:i/>
          <w:iCs/>
          <w:color w:val="546E7A"/>
          <w:sz w:val="20"/>
          <w:szCs w:val="20"/>
        </w:rPr>
        <w:t xml:space="preserve">Cost: £2,000–4,000 for a UK + EU + US search via a patent attorney. Recommended firms: Marks &amp; Clerk, Mathys &amp; Squire, Withers &amp; Rogers. Outcome: written opinion on freedom to operate.</w:t>
      </w:r>
    </w:p>
    <w:p>
      <w:pPr>
        <w:spacing w:after="100"/>
      </w:pPr>
      <w:r>
        <w:t xml:space="preserve"/>
      </w:r>
    </w:p>
    <w:p>
      <w:r>
        <w:br w:type="page"/>
      </w:r>
    </w:p>
    <w:p>
      <w:pPr>
        <w:pStyle w:val="Heading1"/>
        <w:pBdr>
          <w:bottom w:val="single" w:color="A32D2D" w:sz="4" w:space="4"/>
        </w:pBdr>
        <w:spacing w:after="120" w:before="360"/>
      </w:pPr>
      <w:r>
        <w:rPr>
          <w:rFonts w:ascii="Arial" w:cs="Arial" w:eastAsia="Arial" w:hAnsi="Arial"/>
          <w:b/>
          <w:bCs/>
          <w:color w:val="A32D2D"/>
          <w:sz w:val="32"/>
          <w:szCs w:val="32"/>
        </w:rPr>
        <w:t xml:space="preserve">8. Tier-specific legal risk profile</w:t>
      </w:r>
    </w:p>
    <w:p>
      <w:pPr>
        <w:pStyle w:val="Heading2"/>
        <w:spacing w:after="80" w:before="240"/>
      </w:pPr>
      <w:r>
        <w:rPr>
          <w:rFonts w:ascii="Arial" w:cs="Arial" w:eastAsia="Arial" w:hAnsi="Arial"/>
          <w:b/>
          <w:bCs/>
          <w:color w:val="501313"/>
          <w:sz w:val="26"/>
          <w:szCs w:val="26"/>
        </w:rPr>
        <w:t xml:space="preserve">8.1 CricRelay Go (Starter)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26"/>
      </w:tblGrid>
      <w:tr>
        <w:tc>
          <w:tcPr>
            <w:tcW w:type="dxa" w:w="30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626"/>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Specific to Go</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Phone gimbal sold without UKCA</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High</w:t>
            </w:r>
          </w:p>
        </w:tc>
        <w:tc>
          <w:tcPr>
            <w:tcW w:type="dxa" w:w="4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Phone gimbal is consumer electronics with battery — needs UKCA, EN 62368-1, EN 62133-2</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Club’s own phone is the camera — we have no control over phone</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Low</w:t>
            </w:r>
          </w:p>
        </w:tc>
        <w:tc>
          <w:tcPr>
            <w:tcW w:type="dxa" w:w="4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Reduces our liability — phone is club’s responsibility</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Cheap aluminium tripod fails / collapses</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Medium</w:t>
            </w:r>
          </w:p>
        </w:tc>
        <w:tc>
          <w:tcPr>
            <w:tcW w:type="dxa" w:w="4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Stability test (BS EN ISO 19014) required. Public liability insurance.</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5G modem misconfiguration causes data charges</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Low</w:t>
            </w:r>
          </w:p>
        </w:tc>
        <w:tc>
          <w:tcPr>
            <w:tcW w:type="dxa" w:w="4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Data plan is club’s responsibility. CricRelay sells the hardware, not the SIM.</w:t>
            </w:r>
          </w:p>
        </w:tc>
      </w:tr>
    </w:tbl>
    <w:p>
      <w:pPr>
        <w:spacing w:after="100"/>
      </w:pPr>
      <w:r>
        <w:t xml:space="preserve"/>
      </w:r>
    </w:p>
    <w:p>
      <w:pPr>
        <w:pStyle w:val="Heading3"/>
        <w:spacing w:after="60" w:before="200"/>
      </w:pPr>
      <w:r>
        <w:rPr>
          <w:rFonts w:ascii="Arial" w:cs="Arial" w:eastAsia="Arial" w:hAnsi="Arial"/>
          <w:b/>
          <w:bCs/>
          <w:color w:val="546E7A"/>
          <w:sz w:val="22"/>
          <w:szCs w:val="22"/>
        </w:rPr>
        <w:t xml:space="preserve">Go-specific recommendations</w:t>
      </w:r>
    </w:p>
    <w:p>
      <w:pPr>
        <w:pStyle w:val="ListParagraph"/>
        <w:numPr>
          <w:ilvl w:val="0"/>
          <w:numId w:val="2"/>
        </w:numPr>
        <w:spacing w:after="60"/>
      </w:pPr>
      <w:r>
        <w:rPr>
          <w:rFonts w:ascii="Arial" w:cs="Arial" w:eastAsia="Arial" w:hAnsi="Arial"/>
          <w:sz w:val="22"/>
          <w:szCs w:val="22"/>
        </w:rPr>
        <w:t xml:space="preserve">Most legally exposed tier per unit value — cheapest price means least margin for legal contingency. Get the safety pack right first.</w:t>
      </w:r>
    </w:p>
    <w:p>
      <w:pPr>
        <w:pStyle w:val="ListParagraph"/>
        <w:numPr>
          <w:ilvl w:val="0"/>
          <w:numId w:val="2"/>
        </w:numPr>
        <w:spacing w:after="60"/>
      </w:pPr>
      <w:r>
        <w:rPr>
          <w:rFonts w:ascii="Arial" w:cs="Arial" w:eastAsia="Arial" w:hAnsi="Arial"/>
          <w:sz w:val="22"/>
          <w:szCs w:val="22"/>
        </w:rPr>
        <w:t xml:space="preserve">Liability cap in T&amp;Cs at the purchase price of the product (UK law allows this for consumer products).</w:t>
      </w:r>
    </w:p>
    <w:p>
      <w:pPr>
        <w:pStyle w:val="ListParagraph"/>
        <w:numPr>
          <w:ilvl w:val="0"/>
          <w:numId w:val="2"/>
        </w:numPr>
        <w:spacing w:after="60"/>
      </w:pPr>
      <w:r>
        <w:rPr>
          <w:rFonts w:ascii="Arial" w:cs="Arial" w:eastAsia="Arial" w:hAnsi="Arial"/>
          <w:sz w:val="22"/>
          <w:szCs w:val="22"/>
        </w:rPr>
        <w:t xml:space="preserve">Source phone gimbal from a supplier that already has CE marking — Shenzhen Staranb provides CE-marked F10 with documentation.</w:t>
      </w:r>
    </w:p>
    <w:p>
      <w:pPr>
        <w:spacing w:after="100"/>
      </w:pPr>
      <w:r>
        <w:t xml:space="preserve"/>
      </w:r>
    </w:p>
    <w:p>
      <w:pPr>
        <w:pStyle w:val="Heading2"/>
        <w:spacing w:after="80" w:before="240"/>
      </w:pPr>
      <w:r>
        <w:rPr>
          <w:rFonts w:ascii="Arial" w:cs="Arial" w:eastAsia="Arial" w:hAnsi="Arial"/>
          <w:b/>
          <w:bCs/>
          <w:color w:val="501313"/>
          <w:sz w:val="26"/>
          <w:szCs w:val="26"/>
        </w:rPr>
        <w:t xml:space="preserve">8.2 CricRelay Pro (Mid)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26"/>
      </w:tblGrid>
      <w:tr>
        <w:tc>
          <w:tcPr>
            <w:tcW w:type="dxa" w:w="30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626"/>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Specific to Pro</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V-mount battery shipping</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Medium</w:t>
            </w:r>
          </w:p>
        </w:tc>
        <w:tc>
          <w:tcPr>
            <w:tcW w:type="dxa" w:w="4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UN38.3 mandatory. Air freight restricted. Use sea freight for bulk — longer lead time.</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PTZ camera weatherproofing claims</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Medium</w:t>
            </w:r>
          </w:p>
        </w:tc>
        <w:tc>
          <w:tcPr>
            <w:tcW w:type="dxa" w:w="4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IP67 claim must be verified by lab test. Cannot rely on supplier datasheet alone.</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Fluid head failure under wind load</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Low</w:t>
            </w:r>
          </w:p>
        </w:tc>
        <w:tc>
          <w:tcPr>
            <w:tcW w:type="dxa" w:w="4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Carbon fibre tripod stability tested. Less risk than 6m mast.</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Score-driven PTZ control — potentially patentable</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Medium</w:t>
            </w:r>
          </w:p>
        </w:tc>
        <w:tc>
          <w:tcPr>
            <w:tcW w:type="dxa" w:w="4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Freedom-to-operate search must specifically check this. May also be defensively patentable by CricRelay.</w:t>
            </w:r>
          </w:p>
        </w:tc>
      </w:tr>
    </w:tbl>
    <w:p>
      <w:pPr>
        <w:spacing w:after="100"/>
      </w:pPr>
      <w:r>
        <w:t xml:space="preserve"/>
      </w:r>
    </w:p>
    <w:p>
      <w:pPr>
        <w:pStyle w:val="Heading3"/>
        <w:spacing w:after="60" w:before="200"/>
      </w:pPr>
      <w:r>
        <w:rPr>
          <w:rFonts w:ascii="Arial" w:cs="Arial" w:eastAsia="Arial" w:hAnsi="Arial"/>
          <w:b/>
          <w:bCs/>
          <w:color w:val="546E7A"/>
          <w:sz w:val="22"/>
          <w:szCs w:val="22"/>
        </w:rPr>
        <w:t xml:space="preserve">Pro-specific recommendations</w:t>
      </w:r>
    </w:p>
    <w:p>
      <w:pPr>
        <w:pStyle w:val="ListParagraph"/>
        <w:numPr>
          <w:ilvl w:val="0"/>
          <w:numId w:val="2"/>
        </w:numPr>
        <w:spacing w:after="60"/>
      </w:pPr>
      <w:r>
        <w:rPr>
          <w:rFonts w:ascii="Arial" w:cs="Arial" w:eastAsia="Arial" w:hAnsi="Arial"/>
          <w:sz w:val="22"/>
          <w:szCs w:val="22"/>
        </w:rPr>
        <w:t xml:space="preserve">Strongest legal candidate for a defensive patent filing on score-driven camera direction. Cost £5,000–10,000 for UK patent.</w:t>
      </w:r>
    </w:p>
    <w:p>
      <w:pPr>
        <w:pStyle w:val="ListParagraph"/>
        <w:numPr>
          <w:ilvl w:val="0"/>
          <w:numId w:val="2"/>
        </w:numPr>
        <w:spacing w:after="60"/>
      </w:pPr>
      <w:r>
        <w:rPr>
          <w:rFonts w:ascii="Arial" w:cs="Arial" w:eastAsia="Arial" w:hAnsi="Arial"/>
          <w:sz w:val="22"/>
          <w:szCs w:val="22"/>
        </w:rPr>
        <w:t xml:space="preserve">Verify IP67 claim through independent lab — if false, advertising claim breach (Trading Standards) plus product liability if water damage occurs.</w:t>
      </w:r>
    </w:p>
    <w:p>
      <w:pPr>
        <w:pStyle w:val="ListParagraph"/>
        <w:numPr>
          <w:ilvl w:val="0"/>
          <w:numId w:val="2"/>
        </w:numPr>
        <w:spacing w:after="60"/>
      </w:pPr>
      <w:r>
        <w:rPr>
          <w:rFonts w:ascii="Arial" w:cs="Arial" w:eastAsia="Arial" w:hAnsi="Arial"/>
          <w:sz w:val="22"/>
          <w:szCs w:val="22"/>
        </w:rPr>
        <w:t xml:space="preserve">Highest-margin tier — absorb legal costs here.</w:t>
      </w:r>
    </w:p>
    <w:p>
      <w:pPr>
        <w:spacing w:after="100"/>
      </w:pPr>
      <w:r>
        <w:t xml:space="preserve"/>
      </w:r>
    </w:p>
    <w:p>
      <w:pPr>
        <w:pStyle w:val="Heading2"/>
        <w:spacing w:after="80" w:before="240"/>
      </w:pPr>
      <w:r>
        <w:rPr>
          <w:rFonts w:ascii="Arial" w:cs="Arial" w:eastAsia="Arial" w:hAnsi="Arial"/>
          <w:b/>
          <w:bCs/>
          <w:color w:val="501313"/>
          <w:sz w:val="26"/>
          <w:szCs w:val="26"/>
        </w:rPr>
        <w:t xml:space="preserve">8.3 CricRelay Elite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26"/>
      </w:tblGrid>
      <w:tr>
        <w:tc>
          <w:tcPr>
            <w:tcW w:type="dxa" w:w="30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626"/>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Specific to Elite</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6m mast falls / injures spectator</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High</w:t>
            </w:r>
          </w:p>
        </w:tc>
        <w:tc>
          <w:tcPr>
            <w:tcW w:type="dxa" w:w="4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Stability calculations for wind loads. Mandatory guy ropes. Operator instructions. £2m+ public liability insurance.</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2-axis gimbal motor failure causes camera fall</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Medium</w:t>
            </w:r>
          </w:p>
        </w:tc>
        <w:tc>
          <w:tcPr>
            <w:tcW w:type="dxa" w:w="4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Mechanical safety locking required. PTZ camera + gimbal weight ~1.5kg falling from 6m — serious injury risk.</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4×4 MIMO 5G antenna SAR limits</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Low</w:t>
            </w:r>
          </w:p>
        </w:tc>
        <w:tc>
          <w:tcPr>
            <w:tcW w:type="dxa" w:w="4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Modem cert covers; verify CricRelay integration</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Premium pricing creates higher consumer expectations</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Medium</w:t>
            </w:r>
          </w:p>
        </w:tc>
        <w:tc>
          <w:tcPr>
            <w:tcW w:type="dxa" w:w="4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£1,499 price means stricter consumer rights under Consumer Rights Act 2015 — ‘satisfactory quality’ bar is higher.</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Sold to clubs with elevated grounds / public view</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Medium</w:t>
            </w:r>
          </w:p>
        </w:tc>
        <w:tc>
          <w:tcPr>
            <w:tcW w:type="dxa" w:w="4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Location risk. Insurance must cover commercial filming environments.</w:t>
            </w:r>
          </w:p>
        </w:tc>
      </w:tr>
    </w:tbl>
    <w:p>
      <w:pPr>
        <w:spacing w:after="100"/>
      </w:pPr>
      <w:r>
        <w:t xml:space="preserve"/>
      </w:r>
    </w:p>
    <w:p>
      <w:pPr>
        <w:pStyle w:val="Heading3"/>
        <w:spacing w:after="60" w:before="200"/>
      </w:pPr>
      <w:r>
        <w:rPr>
          <w:rFonts w:ascii="Arial" w:cs="Arial" w:eastAsia="Arial" w:hAnsi="Arial"/>
          <w:b/>
          <w:bCs/>
          <w:color w:val="546E7A"/>
          <w:sz w:val="22"/>
          <w:szCs w:val="22"/>
        </w:rPr>
        <w:t xml:space="preserve">Elite-specific recommendations</w:t>
      </w:r>
    </w:p>
    <w:p>
      <w:pPr>
        <w:pStyle w:val="ListParagraph"/>
        <w:numPr>
          <w:ilvl w:val="0"/>
          <w:numId w:val="2"/>
        </w:numPr>
        <w:spacing w:after="60"/>
      </w:pPr>
      <w:r>
        <w:rPr>
          <w:rFonts w:ascii="Arial" w:cs="Arial" w:eastAsia="Arial" w:hAnsi="Arial"/>
          <w:sz w:val="22"/>
          <w:szCs w:val="22"/>
        </w:rPr>
        <w:t xml:space="preserve">Highest insurance requirement. £5m public liability minimum. Approx £800–1,400/yr for sports tech business.</w:t>
      </w:r>
    </w:p>
    <w:p>
      <w:pPr>
        <w:pStyle w:val="ListParagraph"/>
        <w:numPr>
          <w:ilvl w:val="0"/>
          <w:numId w:val="2"/>
        </w:numPr>
        <w:spacing w:after="60"/>
      </w:pPr>
      <w:r>
        <w:rPr>
          <w:rFonts w:ascii="Arial" w:cs="Arial" w:eastAsia="Arial" w:hAnsi="Arial"/>
          <w:sz w:val="22"/>
          <w:szCs w:val="22"/>
        </w:rPr>
        <w:t xml:space="preserve">6m mast deployment requires explicit training certification of operator. Build short online course into CricPass Elite.</w:t>
      </w:r>
    </w:p>
    <w:p>
      <w:pPr>
        <w:pStyle w:val="ListParagraph"/>
        <w:numPr>
          <w:ilvl w:val="0"/>
          <w:numId w:val="2"/>
        </w:numPr>
        <w:spacing w:after="60"/>
      </w:pPr>
      <w:r>
        <w:rPr>
          <w:rFonts w:ascii="Arial" w:cs="Arial" w:eastAsia="Arial" w:hAnsi="Arial"/>
          <w:sz w:val="22"/>
          <w:szCs w:val="22"/>
        </w:rPr>
        <w:t xml:space="preserve">Provide written wind speed cutoff (max 25 mph for 6m mast) in setup manual. Liability defence if mast deployed in violation.</w:t>
      </w:r>
    </w:p>
    <w:p>
      <w:pPr>
        <w:spacing w:after="100"/>
      </w:pPr>
      <w:r>
        <w:t xml:space="preserve"/>
      </w:r>
    </w:p>
    <w:p>
      <w:r>
        <w:br w:type="page"/>
      </w:r>
    </w:p>
    <w:p>
      <w:pPr>
        <w:pStyle w:val="Heading1"/>
        <w:pBdr>
          <w:bottom w:val="single" w:color="A32D2D" w:sz="4" w:space="4"/>
        </w:pBdr>
        <w:spacing w:after="120" w:before="360"/>
      </w:pPr>
      <w:r>
        <w:rPr>
          <w:rFonts w:ascii="Arial" w:cs="Arial" w:eastAsia="Arial" w:hAnsi="Arial"/>
          <w:b/>
          <w:bCs/>
          <w:color w:val="A32D2D"/>
          <w:sz w:val="32"/>
          <w:szCs w:val="32"/>
        </w:rPr>
        <w:t xml:space="preserve">9. International expansion legal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26"/>
      </w:tblGrid>
      <w:tr>
        <w:tc>
          <w:tcPr>
            <w:tcW w:type="dxa" w:w="20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44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Key requirement</w:t>
            </w:r>
          </w:p>
        </w:tc>
        <w:tc>
          <w:tcPr>
            <w:tcW w:type="dxa" w:w="2626"/>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Cost / time</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Australia / New Zealand</w:t>
            </w:r>
          </w:p>
        </w:tc>
        <w:tc>
          <w:tcPr>
            <w:tcW w:type="dxa" w:w="4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RCM mark (Regulatory Compliance Mark), ACMA radio approval, EESS electrical safety, PlayHQ partnership agreement</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£5,000–8,000 testing + legal</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India</w:t>
            </w:r>
          </w:p>
        </w:tc>
        <w:tc>
          <w:tcPr>
            <w:tcW w:type="dxa" w:w="4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BIS certification (Bureau of Indian Standards), GST registration, CricHeroes partnership or separate scoring module</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£6,000–10,000 + BIS process can take 6 months</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EU (post-Brexit)</w:t>
            </w:r>
          </w:p>
        </w:tc>
        <w:tc>
          <w:tcPr>
            <w:tcW w:type="dxa" w:w="4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CE marking, Authorised Representative in EU member state, EORI number</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£2,000–4,000 + €1,500/yr for Authorised Rep</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United States</w:t>
            </w:r>
          </w:p>
        </w:tc>
        <w:tc>
          <w:tcPr>
            <w:tcW w:type="dxa" w:w="4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FCC certification, FDA if making any health claims, state-by-state tax registration</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£8,000–15,000</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Canada</w:t>
            </w:r>
          </w:p>
        </w:tc>
        <w:tc>
          <w:tcPr>
            <w:tcW w:type="dxa" w:w="4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ISED certification (Innovation, Science and Economic Development), CSA mark</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£4,000–7,000</w:t>
            </w:r>
          </w:p>
        </w:tc>
      </w:tr>
    </w:tbl>
    <w:p>
      <w:pPr>
        <w:spacing w:after="100"/>
      </w:pPr>
      <w:r>
        <w:t xml:space="preserve"/>
      </w:r>
    </w:p>
    <w:p>
      <w:pPr>
        <w:pBdr>
          <w:left w:val="single" w:color="A32D2D" w:sz="14" w:space="8"/>
        </w:pBdr>
        <w:shd w:fill="FCEBEB" w:val="clear"/>
        <w:spacing w:after="100"/>
        <w:ind w:left="360"/>
      </w:pPr>
      <w:r>
        <w:rPr>
          <w:rFonts w:ascii="Arial" w:cs="Arial" w:eastAsia="Arial" w:hAnsi="Arial"/>
          <w:b/>
          <w:bCs/>
          <w:color w:val="501313"/>
          <w:sz w:val="20"/>
          <w:szCs w:val="20"/>
        </w:rPr>
        <w:t xml:space="preserve">Each country requires separate compliance work. Do NOT ship to overseas customers from launch — only UK initially. Expand by country with full compliance pack per country.</w:t>
      </w:r>
    </w:p>
    <w:p>
      <w:pPr>
        <w:spacing w:after="100"/>
      </w:pPr>
      <w:r>
        <w:t xml:space="preserve"/>
      </w:r>
    </w:p>
    <w:p>
      <w:r>
        <w:br w:type="page"/>
      </w:r>
    </w:p>
    <w:p>
      <w:pPr>
        <w:pStyle w:val="Heading1"/>
        <w:pBdr>
          <w:bottom w:val="single" w:color="A32D2D" w:sz="4" w:space="4"/>
        </w:pBdr>
        <w:spacing w:after="120" w:before="360"/>
      </w:pPr>
      <w:r>
        <w:rPr>
          <w:rFonts w:ascii="Arial" w:cs="Arial" w:eastAsia="Arial" w:hAnsi="Arial"/>
          <w:b/>
          <w:bCs/>
          <w:color w:val="A32D2D"/>
          <w:sz w:val="32"/>
          <w:szCs w:val="32"/>
        </w:rPr>
        <w:t xml:space="preserve">10. Insurance requirements</w:t>
      </w:r>
    </w:p>
    <w:p>
      <w:pPr>
        <w:spacing w:after="100"/>
      </w:pPr>
      <w:r>
        <w:rPr>
          <w:rFonts w:ascii="Arial" w:cs="Arial" w:eastAsia="Arial" w:hAnsi="Arial"/>
          <w:sz w:val="22"/>
          <w:szCs w:val="22"/>
        </w:rPr>
        <w:t xml:space="preserve">CricRelay must carry several insurance policies before first sale. These are non-negotiable and create the safety net behind legal compliance.</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3826"/>
      </w:tblGrid>
      <w:tr>
        <w:tc>
          <w:tcPr>
            <w:tcW w:type="dxa" w:w="22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16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Cover amount</w:t>
            </w:r>
          </w:p>
        </w:tc>
        <w:tc>
          <w:tcPr>
            <w:tcW w:type="dxa" w:w="14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Annual cost</w:t>
            </w:r>
          </w:p>
        </w:tc>
        <w:tc>
          <w:tcPr>
            <w:tcW w:type="dxa" w:w="3826"/>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Public liability</w:t>
            </w:r>
          </w:p>
        </w:tc>
        <w:tc>
          <w:tcPr>
            <w:tcW w:type="dxa" w:w="1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£5,000,000</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£800–1,400</w:t>
            </w:r>
          </w:p>
        </w:tc>
        <w:tc>
          <w:tcPr>
            <w:tcW w:type="dxa" w:w="3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Mast falling, customer injury at demo</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Product liability</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£5,000,000</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£600–1,200</w:t>
            </w:r>
          </w:p>
        </w:tc>
        <w:tc>
          <w:tcPr>
            <w:tcW w:type="dxa" w:w="3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Battery failure, electrical shock from product</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Professional indemnity</w:t>
            </w:r>
          </w:p>
        </w:tc>
        <w:tc>
          <w:tcPr>
            <w:tcW w:type="dxa" w:w="1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£1,000,000</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£400–800</w:t>
            </w:r>
          </w:p>
        </w:tc>
        <w:tc>
          <w:tcPr>
            <w:tcW w:type="dxa" w:w="3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Bad advice to clubs, faulty software causing match loss</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Cyber &amp; data breach</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£1,000,000</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£500–1,200</w:t>
            </w:r>
          </w:p>
        </w:tc>
        <w:tc>
          <w:tcPr>
            <w:tcW w:type="dxa" w:w="3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GDPR breach response, ransomware on cloud</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Directors &amp; officers (D&amp;O)</w:t>
            </w:r>
          </w:p>
        </w:tc>
        <w:tc>
          <w:tcPr>
            <w:tcW w:type="dxa" w:w="1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£1,000,000</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£400–700</w:t>
            </w:r>
          </w:p>
        </w:tc>
        <w:tc>
          <w:tcPr>
            <w:tcW w:type="dxa" w:w="3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Director personal liability defence</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Business interruption</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6 months turnover</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£300–600</w:t>
            </w:r>
          </w:p>
        </w:tc>
        <w:tc>
          <w:tcPr>
            <w:tcW w:type="dxa" w:w="3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If a supplier fails or office disaster</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Goods in transit</w:t>
            </w:r>
          </w:p>
        </w:tc>
        <w:tc>
          <w:tcPr>
            <w:tcW w:type="dxa" w:w="1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£50,000</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£200–400</w:t>
            </w:r>
          </w:p>
        </w:tc>
        <w:tc>
          <w:tcPr>
            <w:tcW w:type="dxa" w:w="3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Hardware shipment damaged or lost</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Stock cover</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£50,000+</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£300–800</w:t>
            </w:r>
          </w:p>
        </w:tc>
        <w:tc>
          <w:tcPr>
            <w:tcW w:type="dxa" w:w="3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Warehouse damage, theft</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Total annual estimate</w:t>
            </w:r>
          </w:p>
        </w:tc>
        <w:tc>
          <w:tcPr>
            <w:tcW w:type="dxa" w:w="1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£3,500–7,000</w:t>
            </w:r>
          </w:p>
        </w:tc>
        <w:tc>
          <w:tcPr>
            <w:tcW w:type="dxa" w:w="3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
            </w:r>
          </w:p>
        </w:tc>
      </w:tr>
    </w:tbl>
    <w:p>
      <w:pPr>
        <w:spacing w:after="100"/>
      </w:pPr>
      <w:r>
        <w:t xml:space="preserve"/>
      </w:r>
    </w:p>
    <w:p>
      <w:pPr>
        <w:pBdr>
          <w:left w:val="single" w:color="BA7517" w:sz="10" w:space="8"/>
        </w:pBdr>
        <w:spacing w:after="100"/>
        <w:ind w:left="360"/>
      </w:pPr>
      <w:r>
        <w:rPr>
          <w:rFonts w:ascii="Arial" w:cs="Arial" w:eastAsia="Arial" w:hAnsi="Arial"/>
          <w:i/>
          <w:iCs/>
          <w:color w:val="546E7A"/>
          <w:sz w:val="20"/>
          <w:szCs w:val="20"/>
        </w:rPr>
        <w:t xml:space="preserve">Recommended broker: Hiscox, Markel, or Towergate — all do tech startup packages. Single combined policy is cheaper than separate ones.</w:t>
      </w:r>
    </w:p>
    <w:p>
      <w:pPr>
        <w:spacing w:after="100"/>
      </w:pPr>
      <w:r>
        <w:t xml:space="preserve"/>
      </w:r>
    </w:p>
    <w:p>
      <w:r>
        <w:br w:type="page"/>
      </w:r>
    </w:p>
    <w:p>
      <w:pPr>
        <w:pStyle w:val="Heading1"/>
        <w:pBdr>
          <w:bottom w:val="single" w:color="A32D2D" w:sz="4" w:space="4"/>
        </w:pBdr>
        <w:spacing w:after="120" w:before="360"/>
      </w:pPr>
      <w:r>
        <w:rPr>
          <w:rFonts w:ascii="Arial" w:cs="Arial" w:eastAsia="Arial" w:hAnsi="Arial"/>
          <w:b/>
          <w:bCs/>
          <w:color w:val="A32D2D"/>
          <w:sz w:val="32"/>
          <w:szCs w:val="32"/>
        </w:rPr>
        <w:t xml:space="preserve">11. Recommended actions — prioritised</w:t>
      </w:r>
    </w:p>
    <w:p>
      <w:pPr>
        <w:pStyle w:val="Heading2"/>
        <w:spacing w:after="80" w:before="240"/>
      </w:pPr>
      <w:r>
        <w:rPr>
          <w:rFonts w:ascii="Arial" w:cs="Arial" w:eastAsia="Arial" w:hAnsi="Arial"/>
          <w:b/>
          <w:bCs/>
          <w:color w:val="501313"/>
          <w:sz w:val="26"/>
          <w:szCs w:val="26"/>
        </w:rPr>
        <w:t xml:space="preserve">Within 30 days (do these immediately)</w:t>
      </w:r>
    </w:p>
    <w:p>
      <w:pPr>
        <w:pStyle w:val="ListParagraph"/>
        <w:numPr>
          <w:ilvl w:val="0"/>
          <w:numId w:val="2"/>
        </w:numPr>
        <w:spacing w:after="60"/>
      </w:pPr>
      <w:r>
        <w:rPr>
          <w:rFonts w:ascii="Arial" w:cs="Arial" w:eastAsia="Arial" w:hAnsi="Arial"/>
          <w:sz w:val="22"/>
          <w:szCs w:val="22"/>
        </w:rPr>
        <w:t xml:space="preserve">Form CricRelay Ltd via Companies House (£12)</w:t>
      </w:r>
    </w:p>
    <w:p>
      <w:pPr>
        <w:pStyle w:val="ListParagraph"/>
        <w:numPr>
          <w:ilvl w:val="0"/>
          <w:numId w:val="2"/>
        </w:numPr>
        <w:spacing w:after="60"/>
      </w:pPr>
      <w:r>
        <w:rPr>
          <w:rFonts w:ascii="Arial" w:cs="Arial" w:eastAsia="Arial" w:hAnsi="Arial"/>
          <w:sz w:val="22"/>
          <w:szCs w:val="22"/>
        </w:rPr>
        <w:t xml:space="preserve">Register UK trade mark, classes 9 + 38 + 41 (£270)</w:t>
      </w:r>
    </w:p>
    <w:p>
      <w:pPr>
        <w:pStyle w:val="ListParagraph"/>
        <w:numPr>
          <w:ilvl w:val="0"/>
          <w:numId w:val="2"/>
        </w:numPr>
        <w:spacing w:after="60"/>
      </w:pPr>
      <w:r>
        <w:rPr>
          <w:rFonts w:ascii="Arial" w:cs="Arial" w:eastAsia="Arial" w:hAnsi="Arial"/>
          <w:sz w:val="22"/>
          <w:szCs w:val="22"/>
        </w:rPr>
        <w:t xml:space="preserve">Register domains: cricrelay.com, cricrelay.co.uk, .in, .com.au, .co.nz (£100/yr)</w:t>
      </w:r>
    </w:p>
    <w:p>
      <w:pPr>
        <w:pStyle w:val="ListParagraph"/>
        <w:numPr>
          <w:ilvl w:val="0"/>
          <w:numId w:val="2"/>
        </w:numPr>
        <w:spacing w:after="60"/>
      </w:pPr>
      <w:r>
        <w:rPr>
          <w:rFonts w:ascii="Arial" w:cs="Arial" w:eastAsia="Arial" w:hAnsi="Arial"/>
          <w:sz w:val="22"/>
          <w:szCs w:val="22"/>
        </w:rPr>
        <w:t xml:space="preserve">Email play.cricket@ecb.co.uk introducing CricRelay as a scoreboard manufacturer (no cost)</w:t>
      </w:r>
    </w:p>
    <w:p>
      <w:pPr>
        <w:pStyle w:val="ListParagraph"/>
        <w:numPr>
          <w:ilvl w:val="0"/>
          <w:numId w:val="2"/>
        </w:numPr>
        <w:spacing w:after="60"/>
      </w:pPr>
      <w:r>
        <w:rPr>
          <w:rFonts w:ascii="Arial" w:cs="Arial" w:eastAsia="Arial" w:hAnsi="Arial"/>
          <w:sz w:val="22"/>
          <w:szCs w:val="22"/>
        </w:rPr>
        <w:t xml:space="preserve">Open business bank account (Starling Business or Tide — free)</w:t>
      </w:r>
    </w:p>
    <w:p>
      <w:pPr>
        <w:pStyle w:val="ListParagraph"/>
        <w:numPr>
          <w:ilvl w:val="0"/>
          <w:numId w:val="2"/>
        </w:numPr>
        <w:spacing w:after="60"/>
      </w:pPr>
      <w:r>
        <w:rPr>
          <w:rFonts w:ascii="Arial" w:cs="Arial" w:eastAsia="Arial" w:hAnsi="Arial"/>
          <w:sz w:val="22"/>
          <w:szCs w:val="22"/>
        </w:rPr>
        <w:t xml:space="preserve">Engage chartered accountant (£50–150/month)</w:t>
      </w:r>
    </w:p>
    <w:p>
      <w:pPr>
        <w:pStyle w:val="ListParagraph"/>
        <w:numPr>
          <w:ilvl w:val="0"/>
          <w:numId w:val="2"/>
        </w:numPr>
        <w:spacing w:after="60"/>
      </w:pPr>
      <w:r>
        <w:rPr>
          <w:rFonts w:ascii="Arial" w:cs="Arial" w:eastAsia="Arial" w:hAnsi="Arial"/>
          <w:sz w:val="22"/>
          <w:szCs w:val="22"/>
        </w:rPr>
        <w:t xml:space="preserve">Register as a Data Controller with ICO (£52–£622/yr depending on size)</w:t>
      </w:r>
    </w:p>
    <w:p>
      <w:pPr>
        <w:spacing w:after="100"/>
      </w:pPr>
      <w:r>
        <w:t xml:space="preserve"/>
      </w:r>
    </w:p>
    <w:p>
      <w:pPr>
        <w:pStyle w:val="Heading2"/>
        <w:spacing w:after="80" w:before="240"/>
      </w:pPr>
      <w:r>
        <w:rPr>
          <w:rFonts w:ascii="Arial" w:cs="Arial" w:eastAsia="Arial" w:hAnsi="Arial"/>
          <w:b/>
          <w:bCs/>
          <w:color w:val="501313"/>
          <w:sz w:val="26"/>
          <w:szCs w:val="26"/>
        </w:rPr>
        <w:t xml:space="preserve">Within 90 days (before first manufacturing order)</w:t>
      </w:r>
    </w:p>
    <w:p>
      <w:pPr>
        <w:pStyle w:val="ListParagraph"/>
        <w:numPr>
          <w:ilvl w:val="0"/>
          <w:numId w:val="2"/>
        </w:numPr>
        <w:spacing w:after="60"/>
      </w:pPr>
      <w:r>
        <w:rPr>
          <w:rFonts w:ascii="Arial" w:cs="Arial" w:eastAsia="Arial" w:hAnsi="Arial"/>
          <w:sz w:val="22"/>
          <w:szCs w:val="22"/>
        </w:rPr>
        <w:t xml:space="preserve">Engage UK solicitor for full legal review (Bird &amp; Bird, Mishcon de Reya, Wiggin LLP). Budget £5,000–8,000 for setup pack.</w:t>
      </w:r>
    </w:p>
    <w:p>
      <w:pPr>
        <w:pStyle w:val="ListParagraph"/>
        <w:numPr>
          <w:ilvl w:val="0"/>
          <w:numId w:val="2"/>
        </w:numPr>
        <w:spacing w:after="60"/>
      </w:pPr>
      <w:r>
        <w:rPr>
          <w:rFonts w:ascii="Arial" w:cs="Arial" w:eastAsia="Arial" w:hAnsi="Arial"/>
          <w:sz w:val="22"/>
          <w:szCs w:val="22"/>
        </w:rPr>
        <w:t xml:space="preserve">Commission patent freedom-to-operate search (£2,000–4,000)</w:t>
      </w:r>
    </w:p>
    <w:p>
      <w:pPr>
        <w:pStyle w:val="ListParagraph"/>
        <w:numPr>
          <w:ilvl w:val="0"/>
          <w:numId w:val="2"/>
        </w:numPr>
        <w:spacing w:after="60"/>
      </w:pPr>
      <w:r>
        <w:rPr>
          <w:rFonts w:ascii="Arial" w:cs="Arial" w:eastAsia="Arial" w:hAnsi="Arial"/>
          <w:sz w:val="22"/>
          <w:szCs w:val="22"/>
        </w:rPr>
        <w:t xml:space="preserve">Engage UKCA compliance consultant (£12,000–18,000)</w:t>
      </w:r>
    </w:p>
    <w:p>
      <w:pPr>
        <w:pStyle w:val="ListParagraph"/>
        <w:numPr>
          <w:ilvl w:val="0"/>
          <w:numId w:val="2"/>
        </w:numPr>
        <w:spacing w:after="60"/>
      </w:pPr>
      <w:r>
        <w:rPr>
          <w:rFonts w:ascii="Arial" w:cs="Arial" w:eastAsia="Arial" w:hAnsi="Arial"/>
          <w:sz w:val="22"/>
          <w:szCs w:val="22"/>
        </w:rPr>
        <w:t xml:space="preserve">Draft T&amp;Cs of sale, privacy notice, end user licence agreement (£1,500–3,000 via solicitor)</w:t>
      </w:r>
    </w:p>
    <w:p>
      <w:pPr>
        <w:pStyle w:val="ListParagraph"/>
        <w:numPr>
          <w:ilvl w:val="0"/>
          <w:numId w:val="2"/>
        </w:numPr>
        <w:spacing w:after="60"/>
      </w:pPr>
      <w:r>
        <w:rPr>
          <w:rFonts w:ascii="Arial" w:cs="Arial" w:eastAsia="Arial" w:hAnsi="Arial"/>
          <w:sz w:val="22"/>
          <w:szCs w:val="22"/>
        </w:rPr>
        <w:t xml:space="preserve">Take out insurance pack (£3,500–7,000/yr)</w:t>
      </w:r>
    </w:p>
    <w:p>
      <w:pPr>
        <w:pStyle w:val="ListParagraph"/>
        <w:numPr>
          <w:ilvl w:val="0"/>
          <w:numId w:val="2"/>
        </w:numPr>
        <w:spacing w:after="60"/>
      </w:pPr>
      <w:r>
        <w:rPr>
          <w:rFonts w:ascii="Arial" w:cs="Arial" w:eastAsia="Arial" w:hAnsi="Arial"/>
          <w:sz w:val="22"/>
          <w:szCs w:val="22"/>
        </w:rPr>
        <w:t xml:space="preserve">Document the published nature of the PCS BLE UUID with screenshots dated before any CricRelay work began — establishes the public source</w:t>
      </w:r>
    </w:p>
    <w:p>
      <w:pPr>
        <w:spacing w:after="100"/>
      </w:pPr>
      <w:r>
        <w:t xml:space="preserve"/>
      </w:r>
    </w:p>
    <w:p>
      <w:pPr>
        <w:pStyle w:val="Heading2"/>
        <w:spacing w:after="80" w:before="240"/>
      </w:pPr>
      <w:r>
        <w:rPr>
          <w:rFonts w:ascii="Arial" w:cs="Arial" w:eastAsia="Arial" w:hAnsi="Arial"/>
          <w:b/>
          <w:bCs/>
          <w:color w:val="501313"/>
          <w:sz w:val="26"/>
          <w:szCs w:val="26"/>
        </w:rPr>
        <w:t xml:space="preserve">Before first commercial sale</w:t>
      </w:r>
    </w:p>
    <w:p>
      <w:pPr>
        <w:pStyle w:val="ListParagraph"/>
        <w:numPr>
          <w:ilvl w:val="0"/>
          <w:numId w:val="2"/>
        </w:numPr>
        <w:spacing w:after="60"/>
      </w:pPr>
      <w:r>
        <w:rPr>
          <w:rFonts w:ascii="Arial" w:cs="Arial" w:eastAsia="Arial" w:hAnsi="Arial"/>
          <w:sz w:val="22"/>
          <w:szCs w:val="22"/>
        </w:rPr>
        <w:t xml:space="preserve">Receive UKCA Declaration of Conformity for each tier</w:t>
      </w:r>
    </w:p>
    <w:p>
      <w:pPr>
        <w:pStyle w:val="ListParagraph"/>
        <w:numPr>
          <w:ilvl w:val="0"/>
          <w:numId w:val="2"/>
        </w:numPr>
        <w:spacing w:after="60"/>
      </w:pPr>
      <w:r>
        <w:rPr>
          <w:rFonts w:ascii="Arial" w:cs="Arial" w:eastAsia="Arial" w:hAnsi="Arial"/>
          <w:sz w:val="22"/>
          <w:szCs w:val="22"/>
        </w:rPr>
        <w:t xml:space="preserve">Confirm ECB has listed CricRelay on the scoreboard integration page (or has accepted the scoreboard manufacturer enquiry in writing)</w:t>
      </w:r>
    </w:p>
    <w:p>
      <w:pPr>
        <w:pStyle w:val="ListParagraph"/>
        <w:numPr>
          <w:ilvl w:val="0"/>
          <w:numId w:val="2"/>
        </w:numPr>
        <w:spacing w:after="60"/>
      </w:pPr>
      <w:r>
        <w:rPr>
          <w:rFonts w:ascii="Arial" w:cs="Arial" w:eastAsia="Arial" w:hAnsi="Arial"/>
          <w:sz w:val="22"/>
          <w:szCs w:val="22"/>
        </w:rPr>
        <w:t xml:space="preserve">File UK patent application for score-driven PTZ control (defensive)</w:t>
      </w:r>
    </w:p>
    <w:p>
      <w:pPr>
        <w:pStyle w:val="ListParagraph"/>
        <w:numPr>
          <w:ilvl w:val="0"/>
          <w:numId w:val="2"/>
        </w:numPr>
        <w:spacing w:after="60"/>
      </w:pPr>
      <w:r>
        <w:rPr>
          <w:rFonts w:ascii="Arial" w:cs="Arial" w:eastAsia="Arial" w:hAnsi="Arial"/>
          <w:sz w:val="22"/>
          <w:szCs w:val="22"/>
        </w:rPr>
        <w:t xml:space="preserve">Test product with real BMACC match for full compliance behaviour</w:t>
      </w:r>
    </w:p>
    <w:p>
      <w:pPr>
        <w:pStyle w:val="ListParagraph"/>
        <w:numPr>
          <w:ilvl w:val="0"/>
          <w:numId w:val="2"/>
        </w:numPr>
        <w:spacing w:after="60"/>
      </w:pPr>
      <w:r>
        <w:rPr>
          <w:rFonts w:ascii="Arial" w:cs="Arial" w:eastAsia="Arial" w:hAnsi="Arial"/>
          <w:sz w:val="22"/>
          <w:szCs w:val="22"/>
        </w:rPr>
        <w:t xml:space="preserve">Insurance policies live</w:t>
      </w:r>
    </w:p>
    <w:p>
      <w:pPr>
        <w:pStyle w:val="ListParagraph"/>
        <w:numPr>
          <w:ilvl w:val="0"/>
          <w:numId w:val="2"/>
        </w:numPr>
        <w:spacing w:after="60"/>
      </w:pPr>
      <w:r>
        <w:rPr>
          <w:rFonts w:ascii="Arial" w:cs="Arial" w:eastAsia="Arial" w:hAnsi="Arial"/>
          <w:sz w:val="22"/>
          <w:szCs w:val="22"/>
        </w:rPr>
        <w:t xml:space="preserve">Privacy notice and T&amp;Cs published on cricrelay.com</w:t>
      </w:r>
    </w:p>
    <w:p>
      <w:pPr>
        <w:spacing w:after="100"/>
      </w:pPr>
      <w:r>
        <w:t xml:space="preserve"/>
      </w:r>
    </w:p>
    <w:p>
      <w:pPr>
        <w:pStyle w:val="Heading2"/>
        <w:spacing w:after="80" w:before="240"/>
      </w:pPr>
      <w:r>
        <w:rPr>
          <w:rFonts w:ascii="Arial" w:cs="Arial" w:eastAsia="Arial" w:hAnsi="Arial"/>
          <w:b/>
          <w:bCs/>
          <w:color w:val="501313"/>
          <w:sz w:val="26"/>
          <w:szCs w:val="26"/>
        </w:rPr>
        <w:t xml:space="preserve">Ongoing</w:t>
      </w:r>
    </w:p>
    <w:p>
      <w:pPr>
        <w:pStyle w:val="ListParagraph"/>
        <w:numPr>
          <w:ilvl w:val="0"/>
          <w:numId w:val="2"/>
        </w:numPr>
        <w:spacing w:after="60"/>
      </w:pPr>
      <w:r>
        <w:rPr>
          <w:rFonts w:ascii="Arial" w:cs="Arial" w:eastAsia="Arial" w:hAnsi="Arial"/>
          <w:sz w:val="22"/>
          <w:szCs w:val="22"/>
        </w:rPr>
        <w:t xml:space="preserve">Monthly cashflow review (directors duty to monitor solvency)</w:t>
      </w:r>
    </w:p>
    <w:p>
      <w:pPr>
        <w:pStyle w:val="ListParagraph"/>
        <w:numPr>
          <w:ilvl w:val="0"/>
          <w:numId w:val="2"/>
        </w:numPr>
        <w:spacing w:after="60"/>
      </w:pPr>
      <w:r>
        <w:rPr>
          <w:rFonts w:ascii="Arial" w:cs="Arial" w:eastAsia="Arial" w:hAnsi="Arial"/>
          <w:sz w:val="22"/>
          <w:szCs w:val="22"/>
        </w:rPr>
        <w:t xml:space="preserve">Annual compliance review with solicitor (£1,500–3,000)</w:t>
      </w:r>
    </w:p>
    <w:p>
      <w:pPr>
        <w:pStyle w:val="ListParagraph"/>
        <w:numPr>
          <w:ilvl w:val="0"/>
          <w:numId w:val="2"/>
        </w:numPr>
        <w:spacing w:after="60"/>
      </w:pPr>
      <w:r>
        <w:rPr>
          <w:rFonts w:ascii="Arial" w:cs="Arial" w:eastAsia="Arial" w:hAnsi="Arial"/>
          <w:sz w:val="22"/>
          <w:szCs w:val="22"/>
        </w:rPr>
        <w:t xml:space="preserve">Quarterly review of competitor patent filings (free — Espacenet)</w:t>
      </w:r>
    </w:p>
    <w:p>
      <w:pPr>
        <w:pStyle w:val="ListParagraph"/>
        <w:numPr>
          <w:ilvl w:val="0"/>
          <w:numId w:val="2"/>
        </w:numPr>
        <w:spacing w:after="60"/>
      </w:pPr>
      <w:r>
        <w:rPr>
          <w:rFonts w:ascii="Arial" w:cs="Arial" w:eastAsia="Arial" w:hAnsi="Arial"/>
          <w:sz w:val="22"/>
          <w:szCs w:val="22"/>
        </w:rPr>
        <w:t xml:space="preserve">Quarterly review of ECB scoring app updates for protocol changes</w:t>
      </w:r>
    </w:p>
    <w:p>
      <w:pPr>
        <w:pStyle w:val="ListParagraph"/>
        <w:numPr>
          <w:ilvl w:val="0"/>
          <w:numId w:val="2"/>
        </w:numPr>
        <w:spacing w:after="60"/>
      </w:pPr>
      <w:r>
        <w:rPr>
          <w:rFonts w:ascii="Arial" w:cs="Arial" w:eastAsia="Arial" w:hAnsi="Arial"/>
          <w:sz w:val="22"/>
          <w:szCs w:val="22"/>
        </w:rPr>
        <w:t xml:space="preserve">Update insurance annually as customer base grows</w:t>
      </w:r>
    </w:p>
    <w:p>
      <w:pPr>
        <w:spacing w:after="100"/>
      </w:pPr>
      <w:r>
        <w:t xml:space="preserve"/>
      </w:r>
    </w:p>
    <w:p>
      <w:r>
        <w:br w:type="page"/>
      </w:r>
    </w:p>
    <w:p>
      <w:pPr>
        <w:pStyle w:val="Heading1"/>
        <w:pBdr>
          <w:bottom w:val="single" w:color="A32D2D" w:sz="4" w:space="4"/>
        </w:pBdr>
        <w:spacing w:after="120" w:before="360"/>
      </w:pPr>
      <w:r>
        <w:rPr>
          <w:rFonts w:ascii="Arial" w:cs="Arial" w:eastAsia="Arial" w:hAnsi="Arial"/>
          <w:b/>
          <w:bCs/>
          <w:color w:val="A32D2D"/>
          <w:sz w:val="32"/>
          <w:szCs w:val="32"/>
        </w:rPr>
        <w:t xml:space="preserve">12. Total legal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26"/>
      </w:tblGrid>
      <w:tr>
        <w:tc>
          <w:tcPr>
            <w:tcW w:type="dxa" w:w="20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4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Items</w:t>
            </w:r>
          </w:p>
        </w:tc>
        <w:tc>
          <w:tcPr>
            <w:tcW w:type="dxa" w:w="2626"/>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Pre-launch one-off</w:t>
            </w:r>
          </w:p>
        </w:tc>
        <w:tc>
          <w:tcPr>
            <w:tcW w:type="dxa" w:w="4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Solicitor, patent search, UKCA, T&amp;Cs drafting</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£25,000–38,000</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Annual recurring</w:t>
            </w:r>
          </w:p>
        </w:tc>
        <w:tc>
          <w:tcPr>
            <w:tcW w:type="dxa" w:w="4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ICO, insurance, accountant, ongoing legal</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£6,000–12,000/yr</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Per international market</w:t>
            </w:r>
          </w:p>
        </w:tc>
        <w:tc>
          <w:tcPr>
            <w:tcW w:type="dxa" w:w="4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Country certification, local rep, language</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£5,000–15,000 per market</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Defensive patent</w:t>
            </w:r>
          </w:p>
        </w:tc>
        <w:tc>
          <w:tcPr>
            <w:tcW w:type="dxa" w:w="4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UK patent application (score-driven PTZ)</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£5,000–10,000</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Trade mark international (Madrid)</w:t>
            </w:r>
          </w:p>
        </w:tc>
        <w:tc>
          <w:tcPr>
            <w:tcW w:type="dxa" w:w="4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100+ countries</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£2,500–4,000 one-off</w:t>
            </w:r>
          </w:p>
        </w:tc>
      </w:tr>
    </w:tbl>
    <w:p>
      <w:pPr>
        <w:spacing w:after="100"/>
      </w:pPr>
      <w:r>
        <w:t xml:space="preserve"/>
      </w:r>
    </w:p>
    <w:p>
      <w:pPr>
        <w:spacing w:after="100"/>
      </w:pPr>
      <w:r>
        <w:rPr>
          <w:rFonts w:ascii="Arial" w:cs="Arial" w:eastAsia="Arial" w:hAnsi="Arial"/>
          <w:sz w:val="22"/>
          <w:szCs w:val="22"/>
        </w:rPr>
        <w:t xml:space="preserve">Total legal budget for UK launch: ~£30,000–45,000 first year all-in. This sounds large but represents 4–6% of projected Year 1 revenue at 200 clubs and is essential. It is the difference between a defensible business and a hobby project that gets shut down.</w:t>
      </w:r>
    </w:p>
    <w:p>
      <w:pPr>
        <w:spacing w:after="100"/>
      </w:pPr>
      <w:r>
        <w:t xml:space="preserve"/>
      </w:r>
    </w:p>
    <w:p>
      <w:pPr>
        <w:pStyle w:val="Heading1"/>
        <w:pBdr>
          <w:bottom w:val="single" w:color="A32D2D" w:sz="4" w:space="4"/>
        </w:pBdr>
        <w:spacing w:after="120" w:before="360"/>
      </w:pPr>
      <w:r>
        <w:rPr>
          <w:rFonts w:ascii="Arial" w:cs="Arial" w:eastAsia="Arial" w:hAnsi="Arial"/>
          <w:b/>
          <w:bCs/>
          <w:color w:val="A32D2D"/>
          <w:sz w:val="32"/>
          <w:szCs w:val="32"/>
        </w:rPr>
        <w:t xml:space="preserve">13. Closing notes</w:t>
      </w:r>
    </w:p>
    <w:p>
      <w:pPr>
        <w:spacing w:after="100"/>
      </w:pPr>
      <w:r>
        <w:rPr>
          <w:rFonts w:ascii="Arial" w:cs="Arial" w:eastAsia="Arial" w:hAnsi="Arial"/>
          <w:sz w:val="22"/>
          <w:szCs w:val="22"/>
        </w:rPr>
        <w:t xml:space="preserve">The legal position CricRelay can credibly take is strong, but only if the proactive steps in this document are taken before any commercial launch. The threats are real but each one has a known mitigation. The single biggest mistake the founder could make is to launch first and engage legal/regulatory infrastructure afterwards — the cost of fixing problems after the fact is 5–10x the cost of preventing them.</w:t>
      </w:r>
    </w:p>
    <w:p>
      <w:pPr>
        <w:spacing w:after="100"/>
      </w:pPr>
      <w:r>
        <w:t xml:space="preserve"/>
      </w:r>
    </w:p>
    <w:p>
      <w:pPr>
        <w:spacing w:after="100"/>
      </w:pPr>
      <w:r>
        <w:rPr>
          <w:rFonts w:ascii="Arial" w:cs="Arial" w:eastAsia="Arial" w:hAnsi="Arial"/>
          <w:sz w:val="22"/>
          <w:szCs w:val="22"/>
        </w:rPr>
        <w:t xml:space="preserve">The single biggest strategic asset is the ECB’s own public guidance directing scoreboard manufacturers to contact them. This guidance was written before CricRelay existed. It is publicly archived. It applies to CricRelay. Use it.</w:t>
      </w:r>
    </w:p>
    <w:p>
      <w:pPr>
        <w:spacing w:after="100"/>
      </w:pPr>
      <w:r>
        <w:t xml:space="preserve"/>
      </w:r>
    </w:p>
    <w:p>
      <w:pPr>
        <w:spacing w:after="100"/>
      </w:pPr>
      <w:r>
        <w:rPr>
          <w:rFonts w:ascii="Arial" w:cs="Arial" w:eastAsia="Arial" w:hAnsi="Arial"/>
          <w:sz w:val="22"/>
          <w:szCs w:val="22"/>
        </w:rPr>
        <w:t xml:space="preserve">Final note: this document is the founder’s internal strategic analysis. It must be reviewed and validated by a UK-qualified solicitor before being acted upon. Every section that says ‘risk: low’ or ‘risk: medium’ reflects the author’s good-faith assessment based on publicly available information — not legal advice. Engage proper counsel.</w:t>
      </w:r>
    </w:p>
    <w:p>
      <w:pPr>
        <w:spacing w:after="100"/>
      </w:pPr>
      <w:r>
        <w:t xml:space="preserve"/>
      </w:r>
    </w:p>
    <w:p>
      <w:pPr>
        <w:pBdr>
          <w:top w:val="single" w:color="A32D2D" w:sz="4" w:space="8"/>
        </w:pBdr>
        <w:spacing w:before="240"/>
      </w:pPr>
      <w:r>
        <w:rPr>
          <w:rFonts w:ascii="Arial" w:cs="Arial" w:eastAsia="Arial" w:hAnsi="Arial"/>
          <w:i/>
          <w:iCs/>
          <w:color w:val="A32D2D"/>
          <w:sz w:val="20"/>
          <w:szCs w:val="20"/>
        </w:rPr>
        <w:t xml:space="preserve">CricRelay — Build defensibly. Move fast where safe. Move carefully where exposed.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2" w:space="2"/>
      </w:pBdr>
      <w:spacing w:before="80"/>
    </w:pPr>
    <w:r>
      <w:rPr>
        <w:rFonts w:ascii="Arial" w:cs="Arial" w:eastAsia="Arial" w:hAnsi="Arial"/>
        <w:color w:val="90A4AE"/>
        <w:sz w:val="16"/>
        <w:szCs w:val="16"/>
      </w:rPr>
      <w:t xml:space="preserve">PRIVILEGED — CricRelay internal counsel review — NOT legal advice — consult qualified UK solicitor before acting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32D2D" w:sz="4" w:space="2"/>
      </w:pBdr>
      <w:spacing w:after="80"/>
    </w:pPr>
    <w:r>
      <w:rPr>
        <w:rFonts w:ascii="Arial" w:cs="Arial" w:eastAsia="Arial" w:hAnsi="Arial"/>
        <w:b/>
        <w:bCs/>
        <w:color w:val="A32D2D"/>
        <w:sz w:val="20"/>
        <w:szCs w:val="20"/>
      </w:rPr>
      <w:t xml:space="preserve">CricRelay  </w:t>
    </w:r>
    <w:r>
      <w:rPr>
        <w:rFonts w:ascii="Arial" w:cs="Arial" w:eastAsia="Arial" w:hAnsi="Arial"/>
        <w:color w:val="546E7A"/>
        <w:sz w:val="18"/>
        <w:szCs w:val="18"/>
      </w:rPr>
      <w:t xml:space="preserve">Legal Risk Analysis &amp; Mitigation Plan  —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A32D2D"/>
      <w:sz w:val="32"/>
      <w:szCs w:val="32"/>
    </w:rPr>
  </w:style>
  <w:style w:type="paragraph" w:styleId="Heading2">
    <w:name w:val="Heading 2"/>
    <w:basedOn w:val="Normal"/>
    <w:next w:val="Normal"/>
    <w:qFormat/>
    <w:pPr>
      <w:spacing w:after="80" w:before="240"/>
      <w:outlineLvl w:val="1"/>
    </w:pPr>
    <w:rPr>
      <w:rFonts w:ascii="Arial" w:cs="Arial" w:eastAsia="Arial" w:hAnsi="Arial"/>
      <w:b/>
      <w:bCs/>
      <w:color w:val="501313"/>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46E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2026-05-20T19:32:35.391Z</dcterms:created>
  <dcterms:modified xsi:type="dcterms:W3CDTF">2026-05-20T19:32:35.410Z</dcterms:modified>
</cp:coreProperties>
</file>

<file path=docProps/custom.xml><?xml version="1.0" encoding="utf-8"?>
<Properties xmlns="http://schemas.openxmlformats.org/officeDocument/2006/custom-properties" xmlns:vt="http://schemas.openxmlformats.org/officeDocument/2006/docPropsVTypes"/>
</file>