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A1" w:rsidRDefault="00B25C5D">
      <w:pPr>
        <w:pStyle w:val="Standard"/>
      </w:pPr>
      <w:r>
        <w:rPr>
          <w:rFonts w:cs="Times New Roman"/>
          <w:b/>
          <w:sz w:val="36"/>
          <w:szCs w:val="36"/>
        </w:rPr>
        <w:t xml:space="preserve">Georgina Milne </w:t>
      </w:r>
      <w:r>
        <w:rPr>
          <w:rFonts w:cs="Times New Roman"/>
        </w:rPr>
        <w:br/>
        <w:t xml:space="preserve">Georgina Milne graduated from the University of Cambridge in 2008 with a Masters in Natural Sciences (MA).  She completed a Masters (MSc) in Management at Queen's University Belfast before joining Deloitte consulting as a trainee analyst in data warehousing and data analytics.  Georgina later moved to Citigroup as a software developer in a data warehouse team, </w:t>
      </w:r>
      <w:r w:rsidR="000B2EAC">
        <w:rPr>
          <w:rFonts w:cs="Times New Roman"/>
        </w:rPr>
        <w:t>helping to develop reports, analyse data and support the system</w:t>
      </w:r>
      <w:r>
        <w:rPr>
          <w:rFonts w:cs="Times New Roman"/>
        </w:rPr>
        <w:t>.  Georgina was subsequently awarded a fully funded PhD at Queen’s University, Belfast</w:t>
      </w:r>
      <w:r w:rsidR="00AB0F59">
        <w:rPr>
          <w:rFonts w:cs="Times New Roman"/>
        </w:rPr>
        <w:t xml:space="preserve"> in theoretical ecology.</w:t>
      </w:r>
      <w:r w:rsidR="00766F24">
        <w:rPr>
          <w:rFonts w:cs="Times New Roman"/>
        </w:rPr>
        <w:t xml:space="preserve">  Georgina’s main skills and interest include data analytics, ecological modelling and phylogenetics.</w:t>
      </w:r>
      <w:r>
        <w:rPr>
          <w:rFonts w:cs="Times New Roman"/>
          <w:b/>
          <w:sz w:val="32"/>
          <w:szCs w:val="32"/>
        </w:rPr>
        <w:br/>
        <w:t>Education</w:t>
      </w:r>
    </w:p>
    <w:tbl>
      <w:tblPr>
        <w:tblW w:w="932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3048"/>
        <w:gridCol w:w="1770"/>
        <w:gridCol w:w="1844"/>
      </w:tblGrid>
      <w:tr w:rsidR="00991BA1">
        <w:tc>
          <w:tcPr>
            <w:tcW w:w="2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PhD Biological Sciences</w:t>
            </w:r>
          </w:p>
        </w:tc>
        <w:tc>
          <w:tcPr>
            <w:tcW w:w="30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Queen’s University, Belfast</w:t>
            </w:r>
          </w:p>
        </w:tc>
        <w:tc>
          <w:tcPr>
            <w:tcW w:w="17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September 2012</w:t>
            </w:r>
          </w:p>
        </w:tc>
        <w:tc>
          <w:tcPr>
            <w:tcW w:w="18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November 2015</w:t>
            </w:r>
          </w:p>
        </w:tc>
      </w:tr>
    </w:tbl>
    <w:p w:rsidR="00991BA1" w:rsidRDefault="00B25C5D">
      <w:pPr>
        <w:pStyle w:val="Standard"/>
      </w:pPr>
      <w:r>
        <w:rPr>
          <w:rFonts w:cs="Times New Roman"/>
          <w:i/>
        </w:rPr>
        <w:t>Environmental niche evolution and ancestral niche reconstruction</w:t>
      </w:r>
    </w:p>
    <w:p w:rsidR="009B6285" w:rsidRDefault="007B4AA3">
      <w:pPr>
        <w:pStyle w:val="Standard"/>
        <w:rPr>
          <w:rFonts w:cs="Times New Roman"/>
        </w:rPr>
      </w:pPr>
      <w:r>
        <w:rPr>
          <w:rFonts w:cs="Times New Roman"/>
        </w:rPr>
        <w:t xml:space="preserve">This role is largely </w:t>
      </w:r>
      <w:r>
        <w:rPr>
          <w:rFonts w:cs="Times New Roman"/>
        </w:rPr>
        <w:t>computational and requires a wide skill-set and high technical competence.  This thesis focuses on long-term responses to environmental change</w:t>
      </w:r>
      <w:r>
        <w:rPr>
          <w:rFonts w:cs="Times New Roman"/>
        </w:rPr>
        <w:t xml:space="preserve">, and specifically aims to </w:t>
      </w:r>
      <w:r>
        <w:rPr>
          <w:rFonts w:cs="Times New Roman"/>
        </w:rPr>
        <w:t xml:space="preserve">reconstruct the climatic </w:t>
      </w:r>
      <w:r>
        <w:rPr>
          <w:rFonts w:cs="Times New Roman"/>
        </w:rPr>
        <w:t xml:space="preserve">niche </w:t>
      </w:r>
      <w:r w:rsidR="004E18E4">
        <w:rPr>
          <w:rFonts w:cs="Times New Roman"/>
        </w:rPr>
        <w:t xml:space="preserve">of </w:t>
      </w:r>
      <w:r>
        <w:rPr>
          <w:rFonts w:cs="Times New Roman"/>
        </w:rPr>
        <w:t xml:space="preserve">ancestral species.  I work with large datasets </w:t>
      </w:r>
      <w:r>
        <w:rPr>
          <w:rFonts w:cs="Times New Roman"/>
        </w:rPr>
        <w:t xml:space="preserve">and use a range of </w:t>
      </w:r>
      <w:r>
        <w:rPr>
          <w:rFonts w:cs="Times New Roman"/>
        </w:rPr>
        <w:t xml:space="preserve">software and </w:t>
      </w:r>
      <w:r>
        <w:rPr>
          <w:rFonts w:cs="Times New Roman"/>
        </w:rPr>
        <w:t xml:space="preserve">modelling tools (including Bayesian </w:t>
      </w:r>
      <w:r>
        <w:rPr>
          <w:rFonts w:cs="Times New Roman"/>
        </w:rPr>
        <w:t>techniques</w:t>
      </w:r>
      <w:r>
        <w:rPr>
          <w:rFonts w:cs="Times New Roman"/>
        </w:rPr>
        <w:t xml:space="preserve">) to manipulate the data, analyse the results and ensure that the output is clear, succinct and comprehensive.     </w:t>
      </w:r>
    </w:p>
    <w:p w:rsidR="00991BA1" w:rsidRDefault="002C0AA5">
      <w:pPr>
        <w:pStyle w:val="Standard"/>
        <w:rPr>
          <w:rFonts w:cs="Calibri"/>
          <w:i/>
          <w:iCs/>
        </w:rPr>
      </w:pPr>
      <w:r w:rsidRPr="002C0AA5">
        <w:rPr>
          <w:rFonts w:cs="Times New Roman"/>
          <w:b/>
        </w:rPr>
        <w:t>Included topics</w:t>
      </w:r>
      <w:r w:rsidR="009B6285">
        <w:rPr>
          <w:rFonts w:cs="Times New Roman"/>
        </w:rPr>
        <w:t>: E</w:t>
      </w:r>
      <w:r w:rsidR="009645A5">
        <w:rPr>
          <w:rFonts w:cs="Times New Roman"/>
        </w:rPr>
        <w:t>col</w:t>
      </w:r>
      <w:r w:rsidR="0041168D">
        <w:rPr>
          <w:rFonts w:cs="Times New Roman"/>
        </w:rPr>
        <w:t xml:space="preserve">ogical </w:t>
      </w:r>
      <w:r>
        <w:rPr>
          <w:rFonts w:cs="Times New Roman"/>
        </w:rPr>
        <w:t>niche modelling</w:t>
      </w:r>
      <w:r>
        <w:rPr>
          <w:rFonts w:cs="Times New Roman"/>
          <w:i/>
          <w:iCs/>
        </w:rPr>
        <w:t xml:space="preserve"> </w:t>
      </w:r>
      <w:r>
        <w:rPr>
          <w:rFonts w:cs="Calibri"/>
          <w:i/>
          <w:iCs/>
        </w:rPr>
        <w:t>●</w:t>
      </w:r>
      <w:r>
        <w:rPr>
          <w:rFonts w:cs="Calibri"/>
          <w:i/>
          <w:iCs/>
        </w:rPr>
        <w:t xml:space="preserve"> </w:t>
      </w:r>
      <w:r>
        <w:rPr>
          <w:rFonts w:cs="Times New Roman"/>
        </w:rPr>
        <w:t>Climate change</w:t>
      </w:r>
      <w:r>
        <w:rPr>
          <w:rFonts w:cs="Times New Roman"/>
          <w:i/>
          <w:iCs/>
        </w:rPr>
        <w:t xml:space="preserve"> </w:t>
      </w:r>
      <w:r>
        <w:rPr>
          <w:rFonts w:cs="Calibri"/>
          <w:i/>
          <w:iCs/>
        </w:rPr>
        <w:t xml:space="preserve">● </w:t>
      </w:r>
      <w:r>
        <w:rPr>
          <w:rFonts w:cs="Times New Roman"/>
        </w:rPr>
        <w:t>Palaeoecology</w:t>
      </w:r>
      <w:r>
        <w:rPr>
          <w:rFonts w:cs="Times New Roman"/>
          <w:i/>
          <w:iCs/>
        </w:rPr>
        <w:t xml:space="preserve"> </w:t>
      </w:r>
      <w:r>
        <w:rPr>
          <w:rFonts w:cs="Calibri"/>
          <w:i/>
          <w:iCs/>
        </w:rPr>
        <w:t>●</w:t>
      </w:r>
      <w:r>
        <w:rPr>
          <w:rFonts w:cs="Calibri"/>
          <w:i/>
          <w:iCs/>
        </w:rPr>
        <w:t xml:space="preserve"> </w:t>
      </w:r>
      <w:r>
        <w:rPr>
          <w:rFonts w:cs="Times New Roman"/>
        </w:rPr>
        <w:t>Historical biogeography</w:t>
      </w:r>
      <w:r>
        <w:rPr>
          <w:rFonts w:cs="Times New Roman"/>
          <w:i/>
          <w:iCs/>
        </w:rPr>
        <w:t xml:space="preserve"> </w:t>
      </w:r>
      <w:r>
        <w:rPr>
          <w:rFonts w:cs="Calibri"/>
          <w:i/>
          <w:iCs/>
        </w:rPr>
        <w:t xml:space="preserve">● </w:t>
      </w:r>
      <w:r>
        <w:rPr>
          <w:rFonts w:cs="Times New Roman"/>
        </w:rPr>
        <w:t>Phylogenetics</w:t>
      </w:r>
      <w:r>
        <w:rPr>
          <w:rFonts w:cs="Times New Roman"/>
          <w:i/>
          <w:iCs/>
        </w:rPr>
        <w:t xml:space="preserve"> </w:t>
      </w:r>
      <w:r>
        <w:rPr>
          <w:rFonts w:cs="Calibri"/>
          <w:i/>
          <w:iCs/>
        </w:rPr>
        <w:t xml:space="preserve">● </w:t>
      </w:r>
      <w:r>
        <w:rPr>
          <w:rFonts w:cs="Times New Roman"/>
        </w:rPr>
        <w:t>Ancestral niche reconstruction</w:t>
      </w:r>
      <w:r w:rsidR="009B6285">
        <w:rPr>
          <w:rFonts w:cs="Times New Roman"/>
        </w:rPr>
        <w:br/>
      </w:r>
      <w:r w:rsidR="009B6285" w:rsidRPr="002C0AA5">
        <w:rPr>
          <w:rFonts w:cs="Times New Roman"/>
          <w:b/>
        </w:rPr>
        <w:t>Specific skills developed</w:t>
      </w:r>
      <w:r w:rsidR="009B6285">
        <w:rPr>
          <w:rFonts w:cs="Times New Roman"/>
        </w:rPr>
        <w:t xml:space="preserve">: </w:t>
      </w:r>
      <w:r w:rsidR="00B25C5D">
        <w:rPr>
          <w:rFonts w:cs="Times New Roman"/>
          <w:i/>
          <w:iCs/>
        </w:rPr>
        <w:t xml:space="preserve">Coding in R, Python, and SQL </w:t>
      </w:r>
      <w:r w:rsidR="009B6285">
        <w:rPr>
          <w:rFonts w:cs="Calibri"/>
          <w:i/>
          <w:iCs/>
        </w:rPr>
        <w:t>● Niche modelling</w:t>
      </w:r>
      <w:r w:rsidR="009B6285">
        <w:rPr>
          <w:rFonts w:cs="Times New Roman"/>
          <w:i/>
          <w:iCs/>
        </w:rPr>
        <w:t xml:space="preserve"> </w:t>
      </w:r>
      <w:r w:rsidR="009B6285">
        <w:rPr>
          <w:rFonts w:cs="Calibri"/>
          <w:i/>
          <w:iCs/>
        </w:rPr>
        <w:t xml:space="preserve">● </w:t>
      </w:r>
      <w:r w:rsidR="00B25C5D">
        <w:rPr>
          <w:rFonts w:cs="Times New Roman"/>
          <w:i/>
          <w:iCs/>
        </w:rPr>
        <w:t>GIS (Geographic Information Systems)</w:t>
      </w:r>
      <w:r w:rsidR="00B25C5D">
        <w:rPr>
          <w:rFonts w:cs="Calibri"/>
          <w:i/>
          <w:iCs/>
        </w:rPr>
        <w:t xml:space="preserve"> ● </w:t>
      </w:r>
      <w:r w:rsidR="009645A5">
        <w:rPr>
          <w:rFonts w:cs="Calibri"/>
          <w:i/>
          <w:iCs/>
        </w:rPr>
        <w:t xml:space="preserve">Bioinformatics ● </w:t>
      </w:r>
      <w:r w:rsidR="009B6285">
        <w:rPr>
          <w:rFonts w:cs="Calibri"/>
          <w:i/>
          <w:iCs/>
        </w:rPr>
        <w:t xml:space="preserve">Data handling, </w:t>
      </w:r>
      <w:r w:rsidR="009645A5">
        <w:rPr>
          <w:rFonts w:cs="Calibri"/>
          <w:i/>
          <w:iCs/>
        </w:rPr>
        <w:t>data manipulation</w:t>
      </w:r>
      <w:r w:rsidR="0058329F">
        <w:rPr>
          <w:rFonts w:cs="Calibri"/>
          <w:i/>
          <w:iCs/>
        </w:rPr>
        <w:t xml:space="preserve"> </w:t>
      </w:r>
      <w:r>
        <w:rPr>
          <w:rFonts w:cs="Calibri"/>
          <w:i/>
          <w:iCs/>
        </w:rPr>
        <w:t>and process automation</w:t>
      </w:r>
    </w:p>
    <w:p w:rsidR="009645A5" w:rsidRPr="0099349F" w:rsidRDefault="009645A5" w:rsidP="0099349F">
      <w:pPr>
        <w:rPr>
          <w:rFonts w:cs="Times New Roman"/>
        </w:rPr>
      </w:pPr>
    </w:p>
    <w:tbl>
      <w:tblPr>
        <w:tblW w:w="92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2693"/>
        <w:gridCol w:w="1842"/>
        <w:gridCol w:w="1793"/>
      </w:tblGrid>
      <w:tr w:rsidR="00991BA1">
        <w:trPr>
          <w:trHeight w:val="443"/>
        </w:trPr>
        <w:tc>
          <w:tcPr>
            <w:tcW w:w="29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br/>
              <w:t>Masters (MSc) Management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br/>
              <w:t>Queen’s University, Belfast</w:t>
            </w:r>
          </w:p>
        </w:tc>
        <w:tc>
          <w:tcPr>
            <w:tcW w:w="18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CF37B8">
            <w:pPr>
              <w:pStyle w:val="Standard"/>
            </w:pPr>
            <w:r>
              <w:rPr>
                <w:rFonts w:cs="Times New Roman"/>
                <w:b/>
              </w:rPr>
              <w:br/>
              <w:t>September 2008</w:t>
            </w:r>
          </w:p>
        </w:tc>
        <w:tc>
          <w:tcPr>
            <w:tcW w:w="17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CF37B8">
            <w:pPr>
              <w:pStyle w:val="Standard"/>
            </w:pPr>
            <w:r>
              <w:rPr>
                <w:rFonts w:cs="Times New Roman"/>
                <w:b/>
              </w:rPr>
              <w:br/>
              <w:t>September 20</w:t>
            </w:r>
            <w:r w:rsidR="00B25C5D">
              <w:rPr>
                <w:rFonts w:cs="Times New Roman"/>
                <w:b/>
              </w:rPr>
              <w:t>0</w:t>
            </w:r>
            <w:r>
              <w:rPr>
                <w:rFonts w:cs="Times New Roman"/>
                <w:b/>
              </w:rPr>
              <w:t>9</w:t>
            </w:r>
          </w:p>
        </w:tc>
      </w:tr>
    </w:tbl>
    <w:p w:rsidR="00991BA1" w:rsidRDefault="00B25C5D">
      <w:pPr>
        <w:pStyle w:val="Standard"/>
      </w:pPr>
      <w:r>
        <w:rPr>
          <w:b/>
        </w:rPr>
        <w:t>Dissertation Topic:</w:t>
      </w:r>
      <w:r>
        <w:t xml:space="preserve"> “</w:t>
      </w:r>
      <w:r>
        <w:rPr>
          <w:i/>
        </w:rPr>
        <w:t>Limiting factors of RFID update within small business.”</w:t>
      </w:r>
    </w:p>
    <w:p w:rsidR="00991BA1" w:rsidRDefault="00B25C5D">
      <w:pPr>
        <w:pStyle w:val="Standard"/>
      </w:pPr>
      <w:r>
        <w:rPr>
          <w:rStyle w:val="apple-style-span"/>
          <w:color w:val="000000"/>
        </w:rPr>
        <w:t xml:space="preserve">This research investigated the technology behind RFID and its benefits and limitations to small businesses.   The </w:t>
      </w:r>
      <w:r w:rsidR="009B6285">
        <w:rPr>
          <w:rStyle w:val="apple-style-span"/>
          <w:color w:val="000000"/>
        </w:rPr>
        <w:t xml:space="preserve">study was largely quantitative and involved reviewing </w:t>
      </w:r>
      <w:r>
        <w:rPr>
          <w:rStyle w:val="apple-style-span"/>
          <w:color w:val="000000"/>
        </w:rPr>
        <w:t xml:space="preserve">technical documentation, </w:t>
      </w:r>
      <w:r w:rsidR="009B6285">
        <w:rPr>
          <w:rStyle w:val="apple-style-span"/>
          <w:color w:val="000000"/>
        </w:rPr>
        <w:t xml:space="preserve">interviewing </w:t>
      </w:r>
      <w:r>
        <w:rPr>
          <w:rStyle w:val="apple-style-span"/>
          <w:color w:val="000000"/>
        </w:rPr>
        <w:t xml:space="preserve">business owners and </w:t>
      </w:r>
      <w:r w:rsidR="009B6285">
        <w:rPr>
          <w:rStyle w:val="apple-style-span"/>
          <w:color w:val="000000"/>
        </w:rPr>
        <w:t>developing and analysing survey questionnaires</w:t>
      </w:r>
      <w:r w:rsidR="00D1065B">
        <w:rPr>
          <w:rStyle w:val="apple-style-span"/>
          <w:color w:val="000000"/>
        </w:rPr>
        <w:t xml:space="preserve">. </w:t>
      </w:r>
    </w:p>
    <w:p w:rsidR="00991BA1" w:rsidRDefault="00B25C5D">
      <w:pPr>
        <w:pStyle w:val="Standard"/>
      </w:pPr>
      <w:r>
        <w:rPr>
          <w:rFonts w:cs="Times New Roman"/>
          <w:i/>
          <w:iCs/>
        </w:rPr>
        <w:t xml:space="preserve">Skills: Quantitative and qualitative research techniques </w:t>
      </w:r>
      <w:r>
        <w:rPr>
          <w:rFonts w:cs="Calibri"/>
          <w:i/>
          <w:iCs/>
        </w:rPr>
        <w:t xml:space="preserve">● Statistical analysis ● </w:t>
      </w:r>
      <w:r w:rsidR="00766F24">
        <w:rPr>
          <w:rFonts w:cs="Calibri"/>
          <w:i/>
          <w:iCs/>
        </w:rPr>
        <w:t>Project planning</w:t>
      </w:r>
    </w:p>
    <w:p w:rsidR="00991BA1" w:rsidRDefault="00991BA1">
      <w:pPr>
        <w:pStyle w:val="Standard"/>
      </w:pPr>
    </w:p>
    <w:tbl>
      <w:tblPr>
        <w:tblW w:w="92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3"/>
        <w:gridCol w:w="2552"/>
        <w:gridCol w:w="1797"/>
        <w:gridCol w:w="2394"/>
      </w:tblGrid>
      <w:tr w:rsidR="00991BA1">
        <w:trPr>
          <w:trHeight w:val="121"/>
        </w:trPr>
        <w:tc>
          <w:tcPr>
            <w:tcW w:w="25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MA Natural Sciences 2:1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University of Cambridge</w:t>
            </w:r>
          </w:p>
        </w:tc>
        <w:tc>
          <w:tcPr>
            <w:tcW w:w="1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September 2005</w:t>
            </w:r>
          </w:p>
        </w:tc>
        <w:tc>
          <w:tcPr>
            <w:tcW w:w="23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June 2008</w:t>
            </w:r>
          </w:p>
        </w:tc>
      </w:tr>
    </w:tbl>
    <w:p w:rsidR="00766F24" w:rsidRDefault="00766F24" w:rsidP="00766F24">
      <w:pPr>
        <w:ind w:left="426" w:hanging="426"/>
        <w:rPr>
          <w:rFonts w:eastAsia="Times New Roman" w:cs="Times New Roman"/>
          <w:b/>
          <w:i/>
          <w:lang w:eastAsia="en-GB"/>
        </w:rPr>
      </w:pPr>
      <w:proofErr w:type="gramStart"/>
      <w:r w:rsidRPr="003C0AFF">
        <w:rPr>
          <w:rFonts w:eastAsia="Times New Roman" w:cs="Times New Roman"/>
          <w:lang w:eastAsia="en-GB"/>
        </w:rPr>
        <w:t>Whitney, H.M.,</w:t>
      </w:r>
      <w:r w:rsidRPr="003C0AFF">
        <w:rPr>
          <w:rFonts w:eastAsia="Times New Roman" w:cs="Times New Roman"/>
          <w:b/>
          <w:lang w:eastAsia="en-GB"/>
        </w:rPr>
        <w:t xml:space="preserve"> Milne, G.</w:t>
      </w:r>
      <w:r w:rsidRPr="003C0AFF">
        <w:rPr>
          <w:rFonts w:eastAsia="Times New Roman" w:cs="Times New Roman"/>
          <w:lang w:eastAsia="en-GB"/>
        </w:rPr>
        <w:t xml:space="preserve">, </w:t>
      </w:r>
      <w:proofErr w:type="spellStart"/>
      <w:r w:rsidRPr="003C0AFF">
        <w:rPr>
          <w:rFonts w:eastAsia="Times New Roman" w:cs="Times New Roman"/>
          <w:lang w:eastAsia="en-GB"/>
        </w:rPr>
        <w:t>Rands</w:t>
      </w:r>
      <w:proofErr w:type="spellEnd"/>
      <w:r w:rsidRPr="003C0AFF">
        <w:rPr>
          <w:rFonts w:eastAsia="Times New Roman" w:cs="Times New Roman"/>
          <w:lang w:eastAsia="en-GB"/>
        </w:rPr>
        <w:t xml:space="preserve">, S.A., </w:t>
      </w:r>
      <w:proofErr w:type="spellStart"/>
      <w:r w:rsidRPr="003C0AFF">
        <w:rPr>
          <w:rFonts w:eastAsia="Times New Roman" w:cs="Times New Roman"/>
          <w:lang w:eastAsia="en-GB"/>
        </w:rPr>
        <w:t>Vignolini</w:t>
      </w:r>
      <w:proofErr w:type="spellEnd"/>
      <w:r w:rsidRPr="003C0AFF">
        <w:rPr>
          <w:rFonts w:eastAsia="Times New Roman" w:cs="Times New Roman"/>
          <w:lang w:eastAsia="en-GB"/>
        </w:rPr>
        <w:t>, S., Martin, C., Glover, B.J., 2013.</w:t>
      </w:r>
      <w:proofErr w:type="gramEnd"/>
      <w:r w:rsidRPr="003C0AFF">
        <w:rPr>
          <w:rFonts w:eastAsia="Times New Roman" w:cs="Times New Roman"/>
          <w:lang w:eastAsia="en-GB"/>
        </w:rPr>
        <w:t xml:space="preserve"> </w:t>
      </w:r>
      <w:proofErr w:type="gramStart"/>
      <w:r w:rsidRPr="003C0AFF">
        <w:rPr>
          <w:rFonts w:eastAsia="Times New Roman" w:cs="Times New Roman"/>
          <w:i/>
          <w:lang w:eastAsia="en-GB"/>
        </w:rPr>
        <w:t xml:space="preserve">The influence of pigmentation patterning on bumblebee foraging from flowers of Antirrhinum </w:t>
      </w:r>
      <w:proofErr w:type="spellStart"/>
      <w:r w:rsidRPr="003C0AFF">
        <w:rPr>
          <w:rFonts w:eastAsia="Times New Roman" w:cs="Times New Roman"/>
          <w:i/>
          <w:lang w:eastAsia="en-GB"/>
        </w:rPr>
        <w:t>majus</w:t>
      </w:r>
      <w:proofErr w:type="spellEnd"/>
      <w:r w:rsidRPr="003C0AFF">
        <w:rPr>
          <w:rFonts w:eastAsia="Times New Roman" w:cs="Times New Roman"/>
          <w:b/>
          <w:lang w:eastAsia="en-GB"/>
        </w:rPr>
        <w:t>.</w:t>
      </w:r>
      <w:proofErr w:type="gramEnd"/>
      <w:r w:rsidRPr="003C0AFF">
        <w:rPr>
          <w:rFonts w:eastAsia="Times New Roman" w:cs="Times New Roman"/>
          <w:lang w:eastAsia="en-GB"/>
        </w:rPr>
        <w:t xml:space="preserve"> </w:t>
      </w:r>
      <w:proofErr w:type="spellStart"/>
      <w:r w:rsidRPr="003C0AFF">
        <w:rPr>
          <w:rFonts w:eastAsia="Times New Roman" w:cs="Times New Roman"/>
          <w:lang w:eastAsia="en-GB"/>
        </w:rPr>
        <w:t>Naturwissenschaften</w:t>
      </w:r>
      <w:proofErr w:type="spellEnd"/>
      <w:r w:rsidRPr="003C0AFF">
        <w:rPr>
          <w:rFonts w:eastAsia="Times New Roman" w:cs="Times New Roman"/>
          <w:lang w:eastAsia="en-GB"/>
        </w:rPr>
        <w:t xml:space="preserve"> 100, 249–256.</w:t>
      </w:r>
      <w:r>
        <w:rPr>
          <w:rFonts w:eastAsia="Times New Roman" w:cs="Times New Roman"/>
          <w:lang w:eastAsia="en-GB"/>
        </w:rPr>
        <w:tab/>
      </w:r>
      <w:r>
        <w:rPr>
          <w:rFonts w:eastAsia="Times New Roman" w:cs="Times New Roman"/>
          <w:lang w:eastAsia="en-GB"/>
        </w:rPr>
        <w:tab/>
      </w:r>
      <w:r w:rsidRPr="00766F24">
        <w:rPr>
          <w:rFonts w:eastAsia="Times New Roman" w:cs="Times New Roman"/>
          <w:b/>
          <w:i/>
          <w:lang w:eastAsia="en-GB"/>
        </w:rPr>
        <w:t>[</w:t>
      </w:r>
      <w:proofErr w:type="gramStart"/>
      <w:r w:rsidRPr="00766F24">
        <w:rPr>
          <w:rFonts w:eastAsia="Times New Roman" w:cs="Times New Roman"/>
          <w:b/>
          <w:i/>
          <w:lang w:eastAsia="en-GB"/>
        </w:rPr>
        <w:t>undergraduate</w:t>
      </w:r>
      <w:proofErr w:type="gramEnd"/>
      <w:r w:rsidRPr="00766F24">
        <w:rPr>
          <w:rFonts w:eastAsia="Times New Roman" w:cs="Times New Roman"/>
          <w:b/>
          <w:i/>
          <w:lang w:eastAsia="en-GB"/>
        </w:rPr>
        <w:t xml:space="preserve"> thesis]</w:t>
      </w:r>
    </w:p>
    <w:p w:rsidR="00FB6A59" w:rsidRPr="003C0AFF" w:rsidRDefault="00FB6A59" w:rsidP="00766F24">
      <w:pPr>
        <w:ind w:left="426" w:hanging="426"/>
        <w:rPr>
          <w:rFonts w:eastAsia="Times New Roman" w:cs="Times New Roman"/>
          <w:lang w:eastAsia="en-GB"/>
        </w:rPr>
      </w:pPr>
    </w:p>
    <w:p w:rsidR="00991BA1" w:rsidRDefault="00B25C5D" w:rsidP="00D34D56">
      <w:pPr>
        <w:pStyle w:val="Standard"/>
      </w:pPr>
      <w:r>
        <w:rPr>
          <w:rFonts w:cs="Times New Roman"/>
          <w:b/>
          <w:sz w:val="32"/>
          <w:szCs w:val="32"/>
        </w:rPr>
        <w:t>Employment History</w:t>
      </w:r>
    </w:p>
    <w:tbl>
      <w:tblPr>
        <w:tblW w:w="91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0"/>
        <w:gridCol w:w="1676"/>
        <w:gridCol w:w="1814"/>
        <w:gridCol w:w="2376"/>
      </w:tblGrid>
      <w:tr w:rsidR="00991BA1">
        <w:trPr>
          <w:trHeight w:val="237"/>
        </w:trPr>
        <w:tc>
          <w:tcPr>
            <w:tcW w:w="33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 w:rsidP="0074553A">
            <w:pPr>
              <w:pStyle w:val="Standard"/>
            </w:pPr>
            <w:r>
              <w:rPr>
                <w:rFonts w:cs="Times New Roman"/>
                <w:b/>
              </w:rPr>
              <w:t xml:space="preserve">Analyst </w:t>
            </w:r>
            <w:r w:rsidR="0074553A">
              <w:rPr>
                <w:rFonts w:cs="Times New Roman"/>
                <w:b/>
              </w:rPr>
              <w:t>s</w:t>
            </w:r>
            <w:r>
              <w:rPr>
                <w:rFonts w:cs="Times New Roman"/>
                <w:b/>
              </w:rPr>
              <w:t xml:space="preserve">oftware </w:t>
            </w:r>
            <w:r w:rsidR="0074553A">
              <w:rPr>
                <w:rFonts w:cs="Times New Roman"/>
                <w:b/>
              </w:rPr>
              <w:t>d</w:t>
            </w:r>
            <w:r>
              <w:rPr>
                <w:rFonts w:cs="Times New Roman"/>
                <w:b/>
              </w:rPr>
              <w:t>eveloper</w:t>
            </w:r>
          </w:p>
        </w:tc>
        <w:tc>
          <w:tcPr>
            <w:tcW w:w="1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Citibank</w:t>
            </w:r>
          </w:p>
        </w:tc>
        <w:tc>
          <w:tcPr>
            <w:tcW w:w="1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December 2010</w:t>
            </w:r>
          </w:p>
        </w:tc>
        <w:tc>
          <w:tcPr>
            <w:tcW w:w="23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August 2012</w:t>
            </w:r>
          </w:p>
        </w:tc>
      </w:tr>
    </w:tbl>
    <w:p w:rsidR="00991BA1" w:rsidRDefault="00B25C5D">
      <w:pPr>
        <w:pStyle w:val="Standard"/>
        <w:rPr>
          <w:rFonts w:cs="Calibri"/>
          <w:i/>
          <w:iCs/>
        </w:rPr>
      </w:pPr>
      <w:r>
        <w:t xml:space="preserve">As an analyst software developer in a global data mining team I worked on a multi-terabyte </w:t>
      </w:r>
      <w:r w:rsidR="00766F24">
        <w:t xml:space="preserve">MS-SQL </w:t>
      </w:r>
      <w:r w:rsidR="00BD412F">
        <w:t xml:space="preserve">database </w:t>
      </w:r>
      <w:r>
        <w:t>which housed the aggregation and reporting</w:t>
      </w:r>
      <w:r w:rsidR="00D1065B">
        <w:t xml:space="preserve"> of global foreign exchange data</w:t>
      </w:r>
      <w:r>
        <w:t xml:space="preserve">.   The data mining team developed and </w:t>
      </w:r>
      <w:r w:rsidR="00766F24">
        <w:t>supported</w:t>
      </w:r>
      <w:r>
        <w:t xml:space="preserve"> the database and also processed the data into reports and charts to help the business manage currency </w:t>
      </w:r>
      <w:r w:rsidR="00D1065B">
        <w:t>sales</w:t>
      </w:r>
      <w:r>
        <w:t xml:space="preserve">.  The position demanded </w:t>
      </w:r>
      <w:r w:rsidR="00766F24">
        <w:t xml:space="preserve">the ability to investigate and fix bugs and data errors, alongside </w:t>
      </w:r>
      <w:r w:rsidR="00D1065B">
        <w:t xml:space="preserve">knowledge of MS-SQL/VBA/MDX </w:t>
      </w:r>
      <w:r>
        <w:t>and data warehousing tools.</w:t>
      </w:r>
      <w:r>
        <w:br/>
      </w:r>
      <w:r w:rsidR="00C1229D">
        <w:rPr>
          <w:rFonts w:cs="Times New Roman"/>
          <w:i/>
          <w:iCs/>
        </w:rPr>
        <w:t>Skills: Data w</w:t>
      </w:r>
      <w:r>
        <w:rPr>
          <w:rFonts w:cs="Times New Roman"/>
          <w:i/>
          <w:iCs/>
        </w:rPr>
        <w:t xml:space="preserve">arehousing </w:t>
      </w:r>
      <w:r>
        <w:rPr>
          <w:rFonts w:cs="Calibri"/>
          <w:i/>
          <w:iCs/>
        </w:rPr>
        <w:t xml:space="preserve">● Database design and development ● Reporting in SSRS ● Data Integration in SSIS ● OLAP and Development in SSAS ● System support and bug fixes </w:t>
      </w:r>
    </w:p>
    <w:p w:rsidR="00FB6A59" w:rsidRDefault="00FB6A59">
      <w:pPr>
        <w:pStyle w:val="Standard"/>
      </w:pPr>
    </w:p>
    <w:tbl>
      <w:tblPr>
        <w:tblW w:w="932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7"/>
        <w:gridCol w:w="1843"/>
        <w:gridCol w:w="1841"/>
        <w:gridCol w:w="2411"/>
      </w:tblGrid>
      <w:tr w:rsidR="00991BA1">
        <w:tc>
          <w:tcPr>
            <w:tcW w:w="32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74553A" w:rsidP="0074553A">
            <w:pPr>
              <w:pStyle w:val="Standard"/>
            </w:pPr>
            <w:r>
              <w:rPr>
                <w:rFonts w:cs="Times New Roman"/>
                <w:b/>
              </w:rPr>
              <w:t xml:space="preserve">IT consultant </w:t>
            </w:r>
          </w:p>
        </w:tc>
        <w:tc>
          <w:tcPr>
            <w:tcW w:w="18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Deloitte</w:t>
            </w:r>
          </w:p>
        </w:tc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September 2009</w:t>
            </w:r>
          </w:p>
        </w:tc>
        <w:tc>
          <w:tcPr>
            <w:tcW w:w="24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BA1" w:rsidRDefault="00B25C5D">
            <w:pPr>
              <w:pStyle w:val="Standard"/>
            </w:pPr>
            <w:r>
              <w:rPr>
                <w:rFonts w:cs="Times New Roman"/>
                <w:b/>
              </w:rPr>
              <w:t>December 2010</w:t>
            </w:r>
          </w:p>
        </w:tc>
      </w:tr>
    </w:tbl>
    <w:p w:rsidR="00AB0F59" w:rsidRPr="00084274" w:rsidRDefault="00472A40">
      <w:pPr>
        <w:pStyle w:val="Standard"/>
      </w:pPr>
      <w:r>
        <w:t>As a</w:t>
      </w:r>
      <w:r w:rsidR="00B25C5D">
        <w:t xml:space="preserve"> graduate analyst consultant I trained extensively in the basics of software development, project lifecycl</w:t>
      </w:r>
      <w:r w:rsidR="00FB6A59">
        <w:t xml:space="preserve">es and stakeholder engagement.  </w:t>
      </w:r>
      <w:r w:rsidR="00B25C5D">
        <w:t xml:space="preserve">I specifically assisted in the design, development and implementation of data warehouse solutions for data storage, aggregation and analytics.  </w:t>
      </w:r>
      <w:r w:rsidR="00B25C5D">
        <w:br/>
      </w:r>
      <w:r w:rsidR="00B25C5D">
        <w:rPr>
          <w:rFonts w:cs="Times New Roman"/>
          <w:i/>
          <w:iCs/>
        </w:rPr>
        <w:t xml:space="preserve">Skills: </w:t>
      </w:r>
      <w:r w:rsidR="00B25C5D">
        <w:rPr>
          <w:rFonts w:cs="Calibri"/>
          <w:i/>
          <w:iCs/>
        </w:rPr>
        <w:t>● MS-SQL ● Data analytics ● COGNOS Business intelli</w:t>
      </w:r>
      <w:r w:rsidR="0074553A">
        <w:rPr>
          <w:rFonts w:cs="Calibri"/>
          <w:i/>
          <w:iCs/>
        </w:rPr>
        <w:t>gence tools ● Data warehousing</w:t>
      </w:r>
    </w:p>
    <w:p w:rsidR="00991BA1" w:rsidRDefault="00D34D56">
      <w:pPr>
        <w:pStyle w:val="Standard"/>
      </w:pPr>
      <w:r>
        <w:rPr>
          <w:rFonts w:cs="Times New Roman"/>
          <w:b/>
          <w:sz w:val="32"/>
          <w:szCs w:val="32"/>
        </w:rPr>
        <w:lastRenderedPageBreak/>
        <w:t>Technical s</w:t>
      </w:r>
      <w:r w:rsidR="00B25C5D">
        <w:rPr>
          <w:rFonts w:cs="Times New Roman"/>
          <w:b/>
          <w:sz w:val="32"/>
          <w:szCs w:val="32"/>
        </w:rPr>
        <w:t>kills</w:t>
      </w:r>
    </w:p>
    <w:tbl>
      <w:tblPr>
        <w:tblW w:w="930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6"/>
        <w:gridCol w:w="1701"/>
        <w:gridCol w:w="3969"/>
        <w:gridCol w:w="1685"/>
      </w:tblGrid>
      <w:tr w:rsidR="006C7D38" w:rsidTr="006C7D38">
        <w:trPr>
          <w:trHeight w:val="751"/>
        </w:trPr>
        <w:tc>
          <w:tcPr>
            <w:tcW w:w="1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0F6089">
            <w:pPr>
              <w:pStyle w:val="Standard"/>
              <w:jc w:val="right"/>
            </w:pPr>
            <w:r>
              <w:rPr>
                <w:rFonts w:cs="Times New Roman"/>
                <w:b/>
                <w:bCs/>
                <w:sz w:val="20"/>
                <w:szCs w:val="20"/>
              </w:rPr>
              <w:t>Operating systems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OS Windows</w:t>
            </w:r>
            <w:r>
              <w:rPr>
                <w:rFonts w:cs="Times New Roman"/>
                <w:i/>
                <w:sz w:val="20"/>
                <w:szCs w:val="20"/>
              </w:rPr>
              <w:t xml:space="preserve"> 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OS Ubuntu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Code and data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R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Python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Pr="00472A40" w:rsidRDefault="006C7D38">
            <w:pPr>
              <w:pStyle w:val="Standard"/>
              <w:rPr>
                <w:sz w:val="20"/>
                <w:szCs w:val="20"/>
              </w:rPr>
            </w:pP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❶❷❸❹❺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</w:p>
          <w:p w:rsidR="006C7D38" w:rsidRPr="00472A40" w:rsidRDefault="006C7D38" w:rsidP="006C7D38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  <w:p w:rsidR="006C7D38" w:rsidRPr="006C7D38" w:rsidRDefault="006C7D38" w:rsidP="006C7D38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b/>
                <w:bCs/>
                <w:sz w:val="20"/>
                <w:szCs w:val="20"/>
              </w:rPr>
              <w:t>MS Office Package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i/>
                <w:sz w:val="20"/>
                <w:szCs w:val="20"/>
              </w:rPr>
              <w:t>MS Word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Excel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i/>
                <w:sz w:val="20"/>
                <w:szCs w:val="20"/>
              </w:rPr>
              <w:t>Access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PowerPoint</w:t>
            </w:r>
          </w:p>
          <w:p w:rsidR="006C7D38" w:rsidRDefault="006C7D38" w:rsidP="00A75E64">
            <w:pPr>
              <w:pStyle w:val="Standard"/>
            </w:pPr>
          </w:p>
        </w:tc>
        <w:tc>
          <w:tcPr>
            <w:tcW w:w="1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br/>
            </w: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❶❷❸❹❺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A75E64">
            <w:pPr>
              <w:pStyle w:val="Standard"/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</w:tc>
      </w:tr>
      <w:tr w:rsidR="006C7D38" w:rsidTr="006C7D38">
        <w:trPr>
          <w:trHeight w:val="1874"/>
        </w:trPr>
        <w:tc>
          <w:tcPr>
            <w:tcW w:w="1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MS-SQL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MySQL</w:t>
            </w:r>
          </w:p>
          <w:p w:rsidR="006C7D38" w:rsidRDefault="006C7D38" w:rsidP="006C7D38">
            <w:pPr>
              <w:pStyle w:val="Standard"/>
              <w:jc w:val="right"/>
            </w:pPr>
            <w:r>
              <w:rPr>
                <w:rFonts w:cs="Times New Roman"/>
                <w:sz w:val="20"/>
                <w:szCs w:val="20"/>
              </w:rPr>
              <w:t>HTML/CSS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VBA</w:t>
            </w:r>
          </w:p>
          <w:p w:rsidR="006C7D38" w:rsidRPr="00E82A64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E82A64">
              <w:rPr>
                <w:rFonts w:cs="Times New Roman"/>
                <w:b/>
                <w:bCs/>
                <w:sz w:val="20"/>
                <w:szCs w:val="20"/>
              </w:rPr>
              <w:t>Niche Modelling</w:t>
            </w:r>
          </w:p>
          <w:p w:rsidR="006C7D38" w:rsidRPr="00E82A64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 w:rsidRPr="00E82A64">
              <w:rPr>
                <w:rFonts w:cs="Times New Roman"/>
                <w:bCs/>
                <w:sz w:val="20"/>
                <w:szCs w:val="20"/>
              </w:rPr>
              <w:t>Maxent</w:t>
            </w:r>
          </w:p>
          <w:p w:rsidR="006C7D38" w:rsidRPr="00E82A64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 w:rsidRPr="00E82A64">
              <w:rPr>
                <w:rFonts w:cs="Times New Roman"/>
                <w:bCs/>
                <w:sz w:val="20"/>
                <w:szCs w:val="20"/>
              </w:rPr>
              <w:t>Arc-GIS</w:t>
            </w:r>
          </w:p>
          <w:p w:rsidR="006C7D38" w:rsidRPr="006C7D38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DIVA-GIS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pStyle w:val="Standard"/>
              <w:rPr>
                <w:rFonts w:cs="Calibri"/>
                <w:sz w:val="20"/>
                <w:szCs w:val="20"/>
              </w:rPr>
            </w:pPr>
          </w:p>
          <w:p w:rsidR="006C7D38" w:rsidRDefault="006C7D38" w:rsidP="006C7D38">
            <w:pPr>
              <w:pStyle w:val="Standard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❶❷❸❹❺❶❷③④⑤</w:t>
            </w:r>
          </w:p>
          <w:p w:rsidR="006C7D38" w:rsidRPr="006C7D38" w:rsidRDefault="006C7D38" w:rsidP="006C7D38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Phylogenetics</w:t>
            </w:r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Bayestraits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BayesPhylogenies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MrBayes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 w:rsidRPr="00AB02A7">
              <w:rPr>
                <w:rFonts w:cs="Times New Roman"/>
                <w:bCs/>
                <w:sz w:val="20"/>
                <w:szCs w:val="20"/>
              </w:rPr>
              <w:t>Mesquite</w:t>
            </w:r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Phylip</w:t>
            </w:r>
            <w:proofErr w:type="spellEnd"/>
          </w:p>
          <w:p w:rsidR="006C7D38" w:rsidRPr="00AB02A7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Mega6</w:t>
            </w:r>
          </w:p>
          <w:p w:rsidR="006C7D38" w:rsidRPr="00472A40" w:rsidRDefault="006C7D38" w:rsidP="006C7D38">
            <w:pPr>
              <w:pStyle w:val="Standard"/>
              <w:jc w:val="right"/>
            </w:pPr>
            <w:proofErr w:type="spellStart"/>
            <w:r w:rsidRPr="00AB02A7">
              <w:rPr>
                <w:rFonts w:cs="Times New Roman"/>
                <w:bCs/>
                <w:sz w:val="20"/>
                <w:szCs w:val="20"/>
              </w:rPr>
              <w:t>RAxML</w:t>
            </w:r>
            <w:proofErr w:type="spellEnd"/>
          </w:p>
        </w:tc>
        <w:tc>
          <w:tcPr>
            <w:tcW w:w="1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❶❷③④⑤</w:t>
            </w:r>
          </w:p>
          <w:p w:rsidR="006C7D38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❶❷❸❹⑤</w:t>
            </w:r>
          </w:p>
          <w:p w:rsidR="006C7D38" w:rsidRPr="00472A40" w:rsidRDefault="006C7D38" w:rsidP="00472A40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</w:tc>
      </w:tr>
      <w:tr w:rsidR="006C7D38" w:rsidTr="006C7D38">
        <w:trPr>
          <w:trHeight w:val="760"/>
        </w:trPr>
        <w:tc>
          <w:tcPr>
            <w:tcW w:w="1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right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GIS (R)</w:t>
            </w:r>
          </w:p>
          <w:p w:rsidR="006C7D38" w:rsidRDefault="006C7D38" w:rsidP="006C7D38">
            <w:pPr>
              <w:pStyle w:val="Standard"/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E82A64">
              <w:rPr>
                <w:rFonts w:cs="Times New Roman"/>
                <w:bCs/>
                <w:sz w:val="20"/>
                <w:szCs w:val="20"/>
              </w:rPr>
              <w:t>ENM Tools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E82A64">
            <w:pPr>
              <w:autoSpaceDE w:val="0"/>
              <w:adjustRightInd w:val="0"/>
              <w:rPr>
                <w:rFonts w:cs="Calibri"/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  <w:p w:rsidR="006C7D38" w:rsidRDefault="006C7D38">
            <w:pPr>
              <w:pStyle w:val="Standard"/>
              <w:rPr>
                <w:sz w:val="20"/>
                <w:szCs w:val="20"/>
              </w:rPr>
            </w:pPr>
            <w:r w:rsidRPr="00472A40">
              <w:rPr>
                <w:rFonts w:cs="Calibri"/>
                <w:sz w:val="20"/>
                <w:szCs w:val="20"/>
              </w:rPr>
              <w:t>❶❷❸④⑤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6C7D38">
            <w:pPr>
              <w:pStyle w:val="Standard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D38" w:rsidRDefault="006C7D38" w:rsidP="00472A40">
            <w:pPr>
              <w:autoSpaceDE w:val="0"/>
              <w:adjustRightInd w:val="0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B24DFD" w:rsidRDefault="00B24DFD" w:rsidP="00B24DFD">
      <w:pPr>
        <w:rPr>
          <w:rFonts w:cs="Times New Roman"/>
          <w:b/>
        </w:rPr>
      </w:pPr>
      <w:r w:rsidRPr="003C0AFF">
        <w:rPr>
          <w:rFonts w:cs="Times New Roman"/>
          <w:b/>
          <w:sz w:val="32"/>
          <w:szCs w:val="32"/>
        </w:rPr>
        <w:t>Publications</w:t>
      </w:r>
    </w:p>
    <w:p w:rsidR="00B24DFD" w:rsidRPr="003C0AFF" w:rsidRDefault="00B24DFD" w:rsidP="00B24DFD">
      <w:pPr>
        <w:ind w:left="426" w:hanging="426"/>
        <w:rPr>
          <w:rFonts w:eastAsia="Times New Roman" w:cs="Times New Roman"/>
          <w:lang w:eastAsia="en-GB"/>
        </w:rPr>
      </w:pPr>
      <w:proofErr w:type="gramStart"/>
      <w:r w:rsidRPr="003C0AFF">
        <w:rPr>
          <w:rFonts w:eastAsia="Times New Roman" w:cs="Times New Roman"/>
          <w:lang w:eastAsia="en-GB"/>
        </w:rPr>
        <w:t>Whitney, H.M.,</w:t>
      </w:r>
      <w:r w:rsidRPr="003C0AFF">
        <w:rPr>
          <w:rFonts w:eastAsia="Times New Roman" w:cs="Times New Roman"/>
          <w:b/>
          <w:lang w:eastAsia="en-GB"/>
        </w:rPr>
        <w:t xml:space="preserve"> Milne, G.</w:t>
      </w:r>
      <w:r w:rsidRPr="003C0AFF">
        <w:rPr>
          <w:rFonts w:eastAsia="Times New Roman" w:cs="Times New Roman"/>
          <w:lang w:eastAsia="en-GB"/>
        </w:rPr>
        <w:t xml:space="preserve">, </w:t>
      </w:r>
      <w:proofErr w:type="spellStart"/>
      <w:r w:rsidRPr="003C0AFF">
        <w:rPr>
          <w:rFonts w:eastAsia="Times New Roman" w:cs="Times New Roman"/>
          <w:lang w:eastAsia="en-GB"/>
        </w:rPr>
        <w:t>Rands</w:t>
      </w:r>
      <w:proofErr w:type="spellEnd"/>
      <w:r w:rsidRPr="003C0AFF">
        <w:rPr>
          <w:rFonts w:eastAsia="Times New Roman" w:cs="Times New Roman"/>
          <w:lang w:eastAsia="en-GB"/>
        </w:rPr>
        <w:t xml:space="preserve">, S.A., </w:t>
      </w:r>
      <w:proofErr w:type="spellStart"/>
      <w:r w:rsidRPr="003C0AFF">
        <w:rPr>
          <w:rFonts w:eastAsia="Times New Roman" w:cs="Times New Roman"/>
          <w:lang w:eastAsia="en-GB"/>
        </w:rPr>
        <w:t>Vignolini</w:t>
      </w:r>
      <w:proofErr w:type="spellEnd"/>
      <w:r w:rsidRPr="003C0AFF">
        <w:rPr>
          <w:rFonts w:eastAsia="Times New Roman" w:cs="Times New Roman"/>
          <w:lang w:eastAsia="en-GB"/>
        </w:rPr>
        <w:t>, S., Martin, C., Glover, B.J., 2013.</w:t>
      </w:r>
      <w:proofErr w:type="gramEnd"/>
      <w:r w:rsidRPr="003C0AFF">
        <w:rPr>
          <w:rFonts w:eastAsia="Times New Roman" w:cs="Times New Roman"/>
          <w:lang w:eastAsia="en-GB"/>
        </w:rPr>
        <w:t xml:space="preserve"> </w:t>
      </w:r>
      <w:proofErr w:type="gramStart"/>
      <w:r w:rsidRPr="003C0AFF">
        <w:rPr>
          <w:rFonts w:eastAsia="Times New Roman" w:cs="Times New Roman"/>
          <w:i/>
          <w:lang w:eastAsia="en-GB"/>
        </w:rPr>
        <w:t xml:space="preserve">The influence of pigmentation patterning on bumblebee foraging from flowers of Antirrhinum </w:t>
      </w:r>
      <w:proofErr w:type="spellStart"/>
      <w:r w:rsidRPr="003C0AFF">
        <w:rPr>
          <w:rFonts w:eastAsia="Times New Roman" w:cs="Times New Roman"/>
          <w:i/>
          <w:lang w:eastAsia="en-GB"/>
        </w:rPr>
        <w:t>majus</w:t>
      </w:r>
      <w:proofErr w:type="spellEnd"/>
      <w:r w:rsidRPr="003C0AFF">
        <w:rPr>
          <w:rFonts w:eastAsia="Times New Roman" w:cs="Times New Roman"/>
          <w:b/>
          <w:lang w:eastAsia="en-GB"/>
        </w:rPr>
        <w:t>.</w:t>
      </w:r>
      <w:proofErr w:type="gramEnd"/>
      <w:r w:rsidRPr="003C0AFF">
        <w:rPr>
          <w:rFonts w:eastAsia="Times New Roman" w:cs="Times New Roman"/>
          <w:lang w:eastAsia="en-GB"/>
        </w:rPr>
        <w:t xml:space="preserve"> </w:t>
      </w:r>
      <w:proofErr w:type="spellStart"/>
      <w:r w:rsidRPr="003C0AFF">
        <w:rPr>
          <w:rFonts w:eastAsia="Times New Roman" w:cs="Times New Roman"/>
          <w:lang w:eastAsia="en-GB"/>
        </w:rPr>
        <w:t>Naturwissenschaften</w:t>
      </w:r>
      <w:proofErr w:type="spellEnd"/>
      <w:r w:rsidRPr="003C0AFF">
        <w:rPr>
          <w:rFonts w:eastAsia="Times New Roman" w:cs="Times New Roman"/>
          <w:lang w:eastAsia="en-GB"/>
        </w:rPr>
        <w:t xml:space="preserve"> 100, 249–256.</w:t>
      </w:r>
      <w:r w:rsidR="008A2C43">
        <w:rPr>
          <w:rFonts w:eastAsia="Times New Roman" w:cs="Times New Roman"/>
          <w:lang w:eastAsia="en-GB"/>
        </w:rPr>
        <w:tab/>
      </w:r>
      <w:r w:rsidR="008A2C43">
        <w:rPr>
          <w:rFonts w:eastAsia="Times New Roman" w:cs="Times New Roman"/>
          <w:lang w:eastAsia="en-GB"/>
        </w:rPr>
        <w:tab/>
      </w:r>
      <w:r w:rsidRPr="008A2C43">
        <w:rPr>
          <w:rFonts w:eastAsia="Times New Roman" w:cs="Times New Roman"/>
          <w:i/>
          <w:lang w:eastAsia="en-GB"/>
        </w:rPr>
        <w:t>[</w:t>
      </w:r>
      <w:proofErr w:type="gramStart"/>
      <w:r w:rsidRPr="008A2C43">
        <w:rPr>
          <w:rFonts w:eastAsia="Times New Roman" w:cs="Times New Roman"/>
          <w:i/>
          <w:lang w:eastAsia="en-GB"/>
        </w:rPr>
        <w:t>undergraduate</w:t>
      </w:r>
      <w:proofErr w:type="gramEnd"/>
      <w:r w:rsidRPr="008A2C43">
        <w:rPr>
          <w:rFonts w:eastAsia="Times New Roman" w:cs="Times New Roman"/>
          <w:i/>
          <w:lang w:eastAsia="en-GB"/>
        </w:rPr>
        <w:t xml:space="preserve"> thesis]</w:t>
      </w:r>
    </w:p>
    <w:p w:rsidR="00D23651" w:rsidRDefault="00D23651" w:rsidP="000E1C00">
      <w:pPr>
        <w:rPr>
          <w:rFonts w:cs="Times New Roman"/>
          <w:b/>
        </w:rPr>
      </w:pPr>
    </w:p>
    <w:p w:rsidR="000E1C00" w:rsidRDefault="00D34D56" w:rsidP="000E1C00">
      <w:pPr>
        <w:rPr>
          <w:rFonts w:cs="Times New Roman"/>
          <w:b/>
        </w:rPr>
      </w:pPr>
      <w:r>
        <w:rPr>
          <w:rFonts w:cs="Times New Roman"/>
          <w:b/>
          <w:sz w:val="32"/>
          <w:szCs w:val="32"/>
        </w:rPr>
        <w:t>Professional qualifications and m</w:t>
      </w:r>
      <w:r w:rsidR="000E1C00" w:rsidRPr="003C0AFF">
        <w:rPr>
          <w:rFonts w:cs="Times New Roman"/>
          <w:b/>
          <w:sz w:val="32"/>
          <w:szCs w:val="32"/>
        </w:rPr>
        <w:t>embership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 w:rsidRPr="00F923AC">
        <w:rPr>
          <w:rFonts w:cs="Times New Roman"/>
        </w:rPr>
        <w:t>2010</w:t>
      </w:r>
      <w:r w:rsidRPr="00F923AC">
        <w:rPr>
          <w:rFonts w:cs="Times New Roman"/>
          <w:b/>
        </w:rPr>
        <w:t xml:space="preserve"> </w:t>
      </w:r>
      <w:r w:rsidRPr="00F923AC">
        <w:rPr>
          <w:rFonts w:cs="Times New Roman"/>
        </w:rPr>
        <w:t xml:space="preserve">ISEB (Information Systems Examinations Board) </w:t>
      </w:r>
      <w:r>
        <w:rPr>
          <w:rFonts w:cs="Times New Roman"/>
        </w:rPr>
        <w:t>certified</w:t>
      </w:r>
      <w:r w:rsidRPr="00F923AC">
        <w:rPr>
          <w:rFonts w:cs="Times New Roman"/>
        </w:rPr>
        <w:t xml:space="preserve"> Software Development </w:t>
      </w:r>
      <w:r>
        <w:rPr>
          <w:rFonts w:cs="Times New Roman"/>
        </w:rPr>
        <w:t xml:space="preserve">&amp; </w:t>
      </w:r>
      <w:r w:rsidRPr="00F923AC">
        <w:rPr>
          <w:rFonts w:cs="Times New Roman"/>
        </w:rPr>
        <w:t>Testing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 w:rsidRPr="00F923AC">
        <w:rPr>
          <w:rFonts w:cs="Times New Roman"/>
        </w:rPr>
        <w:t>Memb</w:t>
      </w:r>
      <w:r>
        <w:rPr>
          <w:rFonts w:cs="Times New Roman"/>
        </w:rPr>
        <w:t xml:space="preserve">er of: Royal Entomology Society </w:t>
      </w:r>
      <w:r>
        <w:rPr>
          <w:rFonts w:cs="Calibri"/>
          <w:sz w:val="24"/>
          <w:szCs w:val="24"/>
        </w:rPr>
        <w:t xml:space="preserve">● </w:t>
      </w:r>
      <w:r w:rsidRPr="00F923AC">
        <w:rPr>
          <w:rFonts w:cs="Times New Roman"/>
        </w:rPr>
        <w:t xml:space="preserve">British Ecological Society </w:t>
      </w:r>
      <w:r>
        <w:rPr>
          <w:rFonts w:cs="Calibri"/>
          <w:sz w:val="24"/>
          <w:szCs w:val="24"/>
        </w:rPr>
        <w:t xml:space="preserve">● </w:t>
      </w:r>
      <w:r w:rsidRPr="00F923AC">
        <w:rPr>
          <w:rFonts w:cs="Times New Roman"/>
        </w:rPr>
        <w:t>Quaternary Research Assoc.</w:t>
      </w:r>
    </w:p>
    <w:p w:rsidR="00D23651" w:rsidRDefault="00D23651" w:rsidP="000E1C00">
      <w:pPr>
        <w:rPr>
          <w:rFonts w:cs="Times New Roman"/>
          <w:b/>
          <w:sz w:val="32"/>
          <w:szCs w:val="32"/>
        </w:rPr>
      </w:pPr>
    </w:p>
    <w:p w:rsidR="000E1C00" w:rsidRPr="00F923AC" w:rsidRDefault="000E1C00" w:rsidP="000E1C00">
      <w:pPr>
        <w:rPr>
          <w:rFonts w:cs="Times New Roman"/>
          <w:b/>
        </w:rPr>
      </w:pPr>
      <w:r w:rsidRPr="003C0AFF">
        <w:rPr>
          <w:rFonts w:cs="Times New Roman"/>
          <w:b/>
          <w:sz w:val="32"/>
          <w:szCs w:val="32"/>
        </w:rPr>
        <w:t>Teaching</w:t>
      </w:r>
      <w:r w:rsidR="00D34D56">
        <w:rPr>
          <w:rFonts w:cs="Times New Roman"/>
          <w:b/>
          <w:sz w:val="32"/>
          <w:szCs w:val="32"/>
        </w:rPr>
        <w:t xml:space="preserve"> and c</w:t>
      </w:r>
      <w:r>
        <w:rPr>
          <w:rFonts w:cs="Times New Roman"/>
          <w:b/>
          <w:sz w:val="32"/>
          <w:szCs w:val="32"/>
        </w:rPr>
        <w:t>ommunication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2013- Demonstrator for </w:t>
      </w:r>
      <w:r w:rsidRPr="00F923AC">
        <w:rPr>
          <w:rFonts w:cs="Times New Roman"/>
        </w:rPr>
        <w:t>Environmental Biology first year field course.  Duties included explaining concepts and principles of hedgerow ecology, assisting student practical and written work and ge</w:t>
      </w:r>
      <w:r w:rsidRPr="00F923AC">
        <w:rPr>
          <w:rFonts w:cs="Times New Roman"/>
        </w:rPr>
        <w:t>n</w:t>
      </w:r>
      <w:r w:rsidRPr="00F923AC">
        <w:rPr>
          <w:rFonts w:cs="Times New Roman"/>
        </w:rPr>
        <w:t xml:space="preserve">eral duties of assembling equipment and assisting lead lecturer.  </w:t>
      </w:r>
    </w:p>
    <w:p w:rsidR="000E1C00" w:rsidRPr="00F923AC" w:rsidRDefault="000E1C00" w:rsidP="000E1C00">
      <w:pPr>
        <w:pStyle w:val="ListParagraph"/>
        <w:numPr>
          <w:ilvl w:val="0"/>
          <w:numId w:val="3"/>
        </w:numPr>
        <w:suppressAutoHyphens w:val="0"/>
        <w:autoSpaceDN/>
        <w:ind w:left="0" w:firstLine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Volunteered at NI Science Festival 2015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 xml:space="preserve">Member of </w:t>
      </w:r>
      <w:proofErr w:type="spellStart"/>
      <w:r>
        <w:rPr>
          <w:rFonts w:cs="Times New Roman"/>
        </w:rPr>
        <w:t>STEMNet</w:t>
      </w:r>
      <w:proofErr w:type="spellEnd"/>
    </w:p>
    <w:p w:rsidR="00D23651" w:rsidRDefault="00D23651" w:rsidP="000E1C00">
      <w:pPr>
        <w:pStyle w:val="ListParagraph"/>
        <w:ind w:left="0"/>
        <w:rPr>
          <w:rFonts w:cs="Times New Roman"/>
          <w:b/>
          <w:sz w:val="32"/>
          <w:szCs w:val="32"/>
        </w:rPr>
      </w:pPr>
    </w:p>
    <w:p w:rsidR="000E1C00" w:rsidRDefault="000E1C00" w:rsidP="000E1C00">
      <w:pPr>
        <w:pStyle w:val="ListParagraph"/>
        <w:ind w:left="0"/>
        <w:rPr>
          <w:rFonts w:cs="Times New Roman"/>
          <w:b/>
        </w:rPr>
      </w:pPr>
      <w:r w:rsidRPr="003C0AFF">
        <w:rPr>
          <w:rFonts w:cs="Times New Roman"/>
          <w:b/>
          <w:sz w:val="32"/>
          <w:szCs w:val="32"/>
        </w:rPr>
        <w:t>Grants</w:t>
      </w:r>
      <w:r>
        <w:rPr>
          <w:rFonts w:cs="Times New Roman"/>
          <w:b/>
          <w:sz w:val="32"/>
          <w:szCs w:val="32"/>
        </w:rPr>
        <w:t xml:space="preserve">, awards </w:t>
      </w:r>
      <w:r w:rsidRPr="003C0AFF">
        <w:rPr>
          <w:rFonts w:cs="Times New Roman"/>
          <w:b/>
          <w:sz w:val="32"/>
          <w:szCs w:val="32"/>
        </w:rPr>
        <w:t>an</w:t>
      </w:r>
      <w:r>
        <w:rPr>
          <w:rFonts w:cs="Times New Roman"/>
          <w:b/>
          <w:sz w:val="32"/>
          <w:szCs w:val="32"/>
        </w:rPr>
        <w:t>d p</w:t>
      </w:r>
      <w:r w:rsidRPr="003C0AFF">
        <w:rPr>
          <w:rFonts w:cs="Times New Roman"/>
          <w:b/>
          <w:sz w:val="32"/>
          <w:szCs w:val="32"/>
        </w:rPr>
        <w:t>rizes</w:t>
      </w:r>
    </w:p>
    <w:p w:rsidR="000E1C00" w:rsidRPr="004D6A93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</w:rPr>
        <w:t xml:space="preserve">2013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>E500</w:t>
      </w:r>
      <w:r>
        <w:rPr>
          <w:rFonts w:cs="Times New Roman"/>
        </w:rPr>
        <w:t xml:space="preserve">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 xml:space="preserve">COST INTIMATE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>T</w:t>
      </w:r>
      <w:r w:rsidRPr="007A6DD9">
        <w:rPr>
          <w:rFonts w:cs="Times New Roman"/>
        </w:rPr>
        <w:t xml:space="preserve">ravel </w:t>
      </w:r>
      <w:r>
        <w:rPr>
          <w:rFonts w:cs="Times New Roman"/>
        </w:rPr>
        <w:t xml:space="preserve">&amp; </w:t>
      </w:r>
      <w:r w:rsidRPr="007A6DD9">
        <w:rPr>
          <w:rFonts w:cs="Times New Roman"/>
        </w:rPr>
        <w:t xml:space="preserve">accommodation </w:t>
      </w:r>
      <w:r w:rsidR="00A1643C">
        <w:rPr>
          <w:rFonts w:cs="Times New Roman"/>
        </w:rPr>
        <w:t xml:space="preserve">for </w:t>
      </w:r>
      <w:r w:rsidRPr="007A6DD9">
        <w:rPr>
          <w:rFonts w:cs="Times New Roman"/>
        </w:rPr>
        <w:t>INTIMATE conference.</w:t>
      </w:r>
      <w:proofErr w:type="gramEnd"/>
      <w:r w:rsidRPr="007A6DD9">
        <w:rPr>
          <w:rFonts w:cs="Times New Roman"/>
          <w:b/>
          <w:noProof/>
          <w:sz w:val="32"/>
          <w:szCs w:val="32"/>
          <w:lang w:eastAsia="en-GB"/>
        </w:rPr>
        <w:t xml:space="preserve"> </w:t>
      </w:r>
    </w:p>
    <w:p w:rsidR="000E1C00" w:rsidRPr="004D6A93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</w:rPr>
        <w:t xml:space="preserve">2013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 xml:space="preserve">£500 </w:t>
      </w:r>
      <w:r>
        <w:rPr>
          <w:rFonts w:cs="Calibri"/>
          <w:sz w:val="24"/>
          <w:szCs w:val="24"/>
        </w:rPr>
        <w:t xml:space="preserve">● QUB ● </w:t>
      </w:r>
      <w:r>
        <w:rPr>
          <w:rFonts w:cs="Times New Roman"/>
        </w:rPr>
        <w:t>co-applicant for provision of R training course</w:t>
      </w:r>
      <w:r w:rsidRPr="007A6DD9">
        <w:rPr>
          <w:rFonts w:cs="Times New Roman"/>
        </w:rPr>
        <w:t>.</w:t>
      </w:r>
      <w:proofErr w:type="gramEnd"/>
    </w:p>
    <w:p w:rsidR="000E1C00" w:rsidRPr="004D6A93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2014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 xml:space="preserve">£100 </w:t>
      </w:r>
      <w:r>
        <w:rPr>
          <w:rFonts w:cs="Calibri"/>
          <w:sz w:val="24"/>
          <w:szCs w:val="24"/>
        </w:rPr>
        <w:t xml:space="preserve">● QUB </w:t>
      </w:r>
      <w:r w:rsidRPr="007A6DD9">
        <w:rPr>
          <w:rFonts w:cs="Times New Roman"/>
        </w:rPr>
        <w:t xml:space="preserve">entrepreneurial award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>Winner of QUB “What’s the Big Idea?”</w:t>
      </w:r>
      <w:r>
        <w:rPr>
          <w:rFonts w:cs="Times New Roman"/>
        </w:rPr>
        <w:t xml:space="preserve"> </w:t>
      </w:r>
    </w:p>
    <w:p w:rsidR="000E1C00" w:rsidRPr="00106919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2014 </w:t>
      </w:r>
      <w:r>
        <w:rPr>
          <w:rFonts w:cs="Calibri"/>
          <w:sz w:val="24"/>
          <w:szCs w:val="24"/>
        </w:rPr>
        <w:t xml:space="preserve">● </w:t>
      </w:r>
      <w:r w:rsidRPr="007A6DD9">
        <w:rPr>
          <w:rFonts w:cs="Times New Roman"/>
        </w:rPr>
        <w:t>SET for Britain</w:t>
      </w:r>
      <w:r>
        <w:rPr>
          <w:rFonts w:cs="Calibri"/>
          <w:sz w:val="24"/>
          <w:szCs w:val="24"/>
        </w:rPr>
        <w:t xml:space="preserve"> ● </w:t>
      </w:r>
      <w:r w:rsidRPr="007A6DD9">
        <w:rPr>
          <w:rFonts w:cs="Times New Roman"/>
        </w:rPr>
        <w:t>Shortlisted for science communication award.</w:t>
      </w:r>
    </w:p>
    <w:p w:rsidR="000E1C00" w:rsidRPr="00DE4BA8" w:rsidRDefault="000E1C00" w:rsidP="00A1643C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</w:rPr>
        <w:t xml:space="preserve">2015 </w:t>
      </w:r>
      <w:r>
        <w:rPr>
          <w:rFonts w:cs="Calibri"/>
          <w:sz w:val="24"/>
          <w:szCs w:val="24"/>
        </w:rPr>
        <w:t xml:space="preserve">● £600 ● </w:t>
      </w:r>
      <w:r>
        <w:rPr>
          <w:rFonts w:cs="Times New Roman"/>
        </w:rPr>
        <w:t xml:space="preserve">INQUA QRA (Quaternary Research Association) </w:t>
      </w:r>
      <w:r>
        <w:rPr>
          <w:rFonts w:cs="Calibri"/>
          <w:sz w:val="24"/>
          <w:szCs w:val="24"/>
        </w:rPr>
        <w:t xml:space="preserve">● </w:t>
      </w:r>
      <w:r>
        <w:rPr>
          <w:rFonts w:cs="Times New Roman"/>
        </w:rPr>
        <w:t>Travel for INQUA Conference</w:t>
      </w:r>
      <w:r w:rsidRPr="007A6DD9">
        <w:rPr>
          <w:rFonts w:cs="Times New Roman"/>
        </w:rPr>
        <w:t>.</w:t>
      </w:r>
      <w:proofErr w:type="gramEnd"/>
    </w:p>
    <w:p w:rsidR="000E1C00" w:rsidRDefault="00A1643C" w:rsidP="00C30EB6">
      <w:pPr>
        <w:pStyle w:val="Standard"/>
        <w:rPr>
          <w:rFonts w:cs="Times New Roman"/>
          <w:b/>
          <w:sz w:val="32"/>
          <w:szCs w:val="32"/>
        </w:rPr>
      </w:pPr>
      <w:r>
        <w:rPr>
          <w:rFonts w:cs="Calibri"/>
          <w:sz w:val="24"/>
          <w:szCs w:val="24"/>
        </w:rPr>
        <w:t xml:space="preserve"> </w:t>
      </w:r>
      <w:r w:rsidR="000E1C00">
        <w:rPr>
          <w:rFonts w:cs="Times New Roman"/>
        </w:rPr>
        <w:t>2015</w:t>
      </w:r>
      <w:r w:rsidR="000E1C00">
        <w:rPr>
          <w:rFonts w:cs="Calibri"/>
          <w:sz w:val="24"/>
          <w:szCs w:val="24"/>
        </w:rPr>
        <w:t xml:space="preserve">● £1000 ● </w:t>
      </w:r>
      <w:r w:rsidR="000E1C00">
        <w:rPr>
          <w:rFonts w:cs="Times New Roman"/>
        </w:rPr>
        <w:t xml:space="preserve">William and Betty </w:t>
      </w:r>
      <w:proofErr w:type="spellStart"/>
      <w:r w:rsidR="000E1C00">
        <w:rPr>
          <w:rFonts w:cs="Times New Roman"/>
        </w:rPr>
        <w:t>McQuitty</w:t>
      </w:r>
      <w:proofErr w:type="spellEnd"/>
      <w:r w:rsidR="000E1C00">
        <w:rPr>
          <w:rFonts w:cs="Times New Roman"/>
        </w:rPr>
        <w:t xml:space="preserve"> QUB travel scholarship </w:t>
      </w:r>
    </w:p>
    <w:p w:rsidR="00991BA1" w:rsidRPr="00720A77" w:rsidRDefault="00B24DFD" w:rsidP="00720A77">
      <w:pPr>
        <w:pStyle w:val="ListParagraph"/>
        <w:suppressAutoHyphens w:val="0"/>
        <w:autoSpaceDN/>
        <w:ind w:left="0"/>
        <w:contextualSpacing/>
        <w:textAlignment w:val="auto"/>
        <w:rPr>
          <w:rFonts w:cs="Times New Roman"/>
          <w:b/>
          <w:sz w:val="24"/>
          <w:szCs w:val="24"/>
        </w:rPr>
      </w:pPr>
      <w:r w:rsidRPr="007A6DD9">
        <w:rPr>
          <w:rFonts w:cs="Times New Roman"/>
          <w:b/>
        </w:rPr>
        <w:br/>
      </w:r>
      <w:r w:rsidR="00720A77">
        <w:rPr>
          <w:rFonts w:cs="Times New Roman"/>
          <w:b/>
          <w:sz w:val="32"/>
          <w:szCs w:val="32"/>
        </w:rPr>
        <w:t>Research i</w:t>
      </w:r>
      <w:r w:rsidR="000E1C00">
        <w:rPr>
          <w:rFonts w:cs="Times New Roman"/>
          <w:b/>
          <w:sz w:val="32"/>
          <w:szCs w:val="32"/>
        </w:rPr>
        <w:t>nterests</w:t>
      </w:r>
      <w:r w:rsidR="000E1C00">
        <w:rPr>
          <w:rFonts w:cs="Times New Roman"/>
          <w:b/>
          <w:sz w:val="32"/>
          <w:szCs w:val="32"/>
        </w:rPr>
        <w:br/>
      </w:r>
      <w:r w:rsidR="000E1C00">
        <w:rPr>
          <w:rFonts w:cs="Times New Roman"/>
        </w:rPr>
        <w:t xml:space="preserve">Niche Modelling </w:t>
      </w:r>
      <w:r w:rsidR="000E1C00">
        <w:rPr>
          <w:rFonts w:cs="Calibri"/>
          <w:sz w:val="24"/>
          <w:szCs w:val="24"/>
        </w:rPr>
        <w:t>● Palaeoecology ● Quaternary Science ● Phylogenetics ● Palaeoclimate r</w:t>
      </w:r>
      <w:r w:rsidR="000E1C00">
        <w:rPr>
          <w:rFonts w:cs="Calibri"/>
          <w:sz w:val="24"/>
          <w:szCs w:val="24"/>
        </w:rPr>
        <w:t>e</w:t>
      </w:r>
      <w:r w:rsidR="000E1C00">
        <w:rPr>
          <w:rFonts w:cs="Calibri"/>
          <w:sz w:val="24"/>
          <w:szCs w:val="24"/>
        </w:rPr>
        <w:t xml:space="preserve">constructions ● Databases and data management● </w:t>
      </w:r>
      <w:r w:rsidR="00D23651">
        <w:rPr>
          <w:rFonts w:cs="Calibri"/>
          <w:sz w:val="24"/>
          <w:szCs w:val="24"/>
        </w:rPr>
        <w:t>S</w:t>
      </w:r>
      <w:r w:rsidR="00624857">
        <w:rPr>
          <w:rFonts w:cs="Calibri"/>
          <w:sz w:val="24"/>
          <w:szCs w:val="24"/>
        </w:rPr>
        <w:t xml:space="preserve">oftware development ● </w:t>
      </w:r>
      <w:r w:rsidR="000E1C00">
        <w:rPr>
          <w:rFonts w:cs="Calibri"/>
          <w:sz w:val="24"/>
          <w:szCs w:val="24"/>
        </w:rPr>
        <w:t>Process Aut</w:t>
      </w:r>
      <w:r w:rsidR="000E1C00">
        <w:rPr>
          <w:rFonts w:cs="Calibri"/>
          <w:sz w:val="24"/>
          <w:szCs w:val="24"/>
        </w:rPr>
        <w:t>o</w:t>
      </w:r>
      <w:r w:rsidR="00D23651">
        <w:rPr>
          <w:rFonts w:cs="Calibri"/>
          <w:sz w:val="24"/>
          <w:szCs w:val="24"/>
        </w:rPr>
        <w:t>mation ● Data Science</w:t>
      </w:r>
      <w:bookmarkStart w:id="0" w:name="_GoBack"/>
      <w:bookmarkEnd w:id="0"/>
    </w:p>
    <w:sectPr w:rsidR="00991BA1" w:rsidRPr="00720A77">
      <w:headerReference w:type="default" r:id="rId8"/>
      <w:footerReference w:type="default" r:id="rId9"/>
      <w:pgSz w:w="11906" w:h="16838"/>
      <w:pgMar w:top="1440" w:right="1440" w:bottom="1440" w:left="1440" w:header="624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86A" w:rsidRDefault="00E6486A">
      <w:r>
        <w:separator/>
      </w:r>
    </w:p>
  </w:endnote>
  <w:endnote w:type="continuationSeparator" w:id="0">
    <w:p w:rsidR="00E6486A" w:rsidRDefault="00E6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42" w:rsidRDefault="00B25C5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412F">
      <w:rPr>
        <w:noProof/>
      </w:rPr>
      <w:t>2</w:t>
    </w:r>
    <w:r>
      <w:fldChar w:fldCharType="end"/>
    </w:r>
    <w:r>
      <w:t xml:space="preserve"> of </w:t>
    </w:r>
    <w:r w:rsidR="00E6486A">
      <w:fldChar w:fldCharType="begin"/>
    </w:r>
    <w:r w:rsidR="00E6486A">
      <w:instrText xml:space="preserve"> NUMPAGES </w:instrText>
    </w:r>
    <w:r w:rsidR="00E6486A">
      <w:fldChar w:fldCharType="separate"/>
    </w:r>
    <w:r w:rsidR="00BD412F">
      <w:rPr>
        <w:noProof/>
      </w:rPr>
      <w:t>2</w:t>
    </w:r>
    <w:r w:rsidR="00E648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86A" w:rsidRDefault="00E6486A">
      <w:r>
        <w:rPr>
          <w:color w:val="000000"/>
        </w:rPr>
        <w:separator/>
      </w:r>
    </w:p>
  </w:footnote>
  <w:footnote w:type="continuationSeparator" w:id="0">
    <w:p w:rsidR="00E6486A" w:rsidRDefault="00E64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142" w:rsidRDefault="00B25C5D">
    <w:pPr>
      <w:pStyle w:val="Header"/>
    </w:pPr>
    <w:r>
      <w:t>Georgina Milne</w:t>
    </w:r>
    <w:r>
      <w:br/>
    </w:r>
    <w:hyperlink r:id="rId1" w:history="1">
      <w:r>
        <w:t>m.georgina.milne@googlemail.com</w:t>
      </w:r>
    </w:hyperlink>
    <w:r>
      <w:br/>
    </w:r>
    <w:r>
      <w:rPr>
        <w:b/>
        <w:bCs/>
      </w:rPr>
      <w:t>www.georginamilne.com</w:t>
    </w:r>
  </w:p>
  <w:p w:rsidR="00F86142" w:rsidRDefault="00B25C5D">
    <w:pPr>
      <w:pStyle w:val="Header"/>
    </w:pPr>
    <w:r>
      <w:t>07752067805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1ED"/>
    <w:multiLevelType w:val="multilevel"/>
    <w:tmpl w:val="2EF268CE"/>
    <w:styleLink w:val="WWNum1"/>
    <w:lvl w:ilvl="0">
      <w:numFmt w:val="bullet"/>
      <w:lvlText w:val=""/>
      <w:lvlJc w:val="left"/>
      <w:pPr>
        <w:ind w:left="113" w:firstLine="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2274FB0"/>
    <w:multiLevelType w:val="hybridMultilevel"/>
    <w:tmpl w:val="511AE6DE"/>
    <w:lvl w:ilvl="0" w:tplc="08C48498">
      <w:start w:val="1"/>
      <w:numFmt w:val="bullet"/>
      <w:suff w:val="space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1BA1"/>
    <w:rsid w:val="00084274"/>
    <w:rsid w:val="000B2EAC"/>
    <w:rsid w:val="000E1C00"/>
    <w:rsid w:val="000F6089"/>
    <w:rsid w:val="00201C22"/>
    <w:rsid w:val="002C0AA5"/>
    <w:rsid w:val="0041168D"/>
    <w:rsid w:val="00472A40"/>
    <w:rsid w:val="004E18E4"/>
    <w:rsid w:val="0058329F"/>
    <w:rsid w:val="00624857"/>
    <w:rsid w:val="0062753A"/>
    <w:rsid w:val="006C7D38"/>
    <w:rsid w:val="00720A77"/>
    <w:rsid w:val="0074553A"/>
    <w:rsid w:val="00766F24"/>
    <w:rsid w:val="00770A36"/>
    <w:rsid w:val="00775003"/>
    <w:rsid w:val="007B4AA3"/>
    <w:rsid w:val="008A2C43"/>
    <w:rsid w:val="009645A5"/>
    <w:rsid w:val="00991BA1"/>
    <w:rsid w:val="0099349F"/>
    <w:rsid w:val="009B6285"/>
    <w:rsid w:val="00A1643C"/>
    <w:rsid w:val="00A75E64"/>
    <w:rsid w:val="00A8746A"/>
    <w:rsid w:val="00AB02A7"/>
    <w:rsid w:val="00AB0F59"/>
    <w:rsid w:val="00AC4C1E"/>
    <w:rsid w:val="00B24DFD"/>
    <w:rsid w:val="00B25C5D"/>
    <w:rsid w:val="00B87C11"/>
    <w:rsid w:val="00BD412F"/>
    <w:rsid w:val="00C1229D"/>
    <w:rsid w:val="00C30EB6"/>
    <w:rsid w:val="00C95208"/>
    <w:rsid w:val="00CF37B8"/>
    <w:rsid w:val="00D1065B"/>
    <w:rsid w:val="00D23651"/>
    <w:rsid w:val="00D34D56"/>
    <w:rsid w:val="00E45F99"/>
    <w:rsid w:val="00E6486A"/>
    <w:rsid w:val="00E82A64"/>
    <w:rsid w:val="00F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uiPriority w:val="99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NormalWeb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472A40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uiPriority w:val="99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NormalWeb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472A40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.georgina.milne@googl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</dc:creator>
  <cp:lastModifiedBy>Georgina</cp:lastModifiedBy>
  <cp:revision>11</cp:revision>
  <dcterms:created xsi:type="dcterms:W3CDTF">2015-09-15T16:08:00Z</dcterms:created>
  <dcterms:modified xsi:type="dcterms:W3CDTF">2016-03-16T12:02:00Z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