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Wesentlichkeitsschwellen</w:t>
      </w:r>
      <w:r>
        <w:t xml:space="preserve"> </w:t>
      </w:r>
      <w:r>
        <w:t xml:space="preserve">für</w:t>
      </w:r>
      <w:r>
        <w:t xml:space="preserve"> </w:t>
      </w:r>
      <w:r>
        <w:t xml:space="preserve">Geschäfte</w:t>
      </w:r>
      <w:r>
        <w:t xml:space="preserve"> </w:t>
      </w:r>
      <w:r>
        <w:t xml:space="preserve">mit</w:t>
      </w:r>
      <w:r>
        <w:t xml:space="preserve"> </w:t>
      </w:r>
      <w:r>
        <w:t xml:space="preserve">nahestehenden</w:t>
      </w:r>
      <w:r>
        <w:t xml:space="preserve"> </w:t>
      </w:r>
      <w:r>
        <w:t xml:space="preserve">Personen</w:t>
      </w:r>
      <w:r>
        <w:t xml:space="preserve"> </w:t>
      </w:r>
      <w:r>
        <w:t xml:space="preserve">—</w:t>
      </w:r>
      <w:r>
        <w:t xml:space="preserve"> </w:t>
      </w:r>
      <w:r>
        <w:t xml:space="preserve">eine</w:t>
      </w:r>
      <w:r>
        <w:t xml:space="preserve"> </w:t>
      </w:r>
      <w:r>
        <w:t xml:space="preserve">empirische</w:t>
      </w:r>
      <w:r>
        <w:t xml:space="preserve"> </w:t>
      </w:r>
      <w:r>
        <w:t xml:space="preserve">Vollerhebung</w:t>
      </w:r>
      <w:r>
        <w:t xml:space="preserve"> </w:t>
      </w:r>
      <w:r>
        <w:t xml:space="preserve">in</w:t>
      </w:r>
      <w:r>
        <w:t xml:space="preserve"> </w:t>
      </w:r>
      <w:r>
        <w:t xml:space="preserve">ATX</w:t>
      </w:r>
      <w:r>
        <w:t xml:space="preserve"> </w:t>
      </w:r>
      <w:r>
        <w:t xml:space="preserve">und</w:t>
      </w:r>
      <w:r>
        <w:t xml:space="preserve"> </w:t>
      </w:r>
      <w:r>
        <w:t xml:space="preserve">DAX</w:t>
      </w:r>
      <w:r>
        <w:t xml:space="preserve"> </w:t>
      </w:r>
      <w:r>
        <w:t xml:space="preserve">(FY2024)</w:t>
      </w:r>
    </w:p>
    <w:p>
      <w:pPr>
        <w:pStyle w:val="Subtitle"/>
      </w:pPr>
      <w:r>
        <w:t xml:space="preserve">§§</w:t>
      </w:r>
      <w:r>
        <w:t xml:space="preserve"> </w:t>
      </w:r>
      <w:r>
        <w:t xml:space="preserve">95a</w:t>
      </w:r>
      <w:r>
        <w:t xml:space="preserve"> </w:t>
      </w:r>
      <w:r>
        <w:t xml:space="preserve">ff. AktG</w:t>
      </w:r>
      <w:r>
        <w:t xml:space="preserve"> </w:t>
      </w:r>
      <w:r>
        <w:t xml:space="preserve">und</w:t>
      </w:r>
      <w:r>
        <w:t xml:space="preserve"> </w:t>
      </w:r>
      <w:r>
        <w:t xml:space="preserve">§§</w:t>
      </w:r>
      <w:r>
        <w:t xml:space="preserve"> </w:t>
      </w:r>
      <w:r>
        <w:t xml:space="preserve">111a</w:t>
      </w:r>
      <w:r>
        <w:t xml:space="preserve"> </w:t>
      </w:r>
      <w:r>
        <w:t xml:space="preserve">ff. dAktG</w:t>
      </w:r>
      <w:r>
        <w:t xml:space="preserve"> </w:t>
      </w:r>
      <w:r>
        <w:t xml:space="preserve">im</w:t>
      </w:r>
      <w:r>
        <w:t xml:space="preserve"> </w:t>
      </w:r>
      <w:r>
        <w:t xml:space="preserve">Praxistest</w:t>
      </w:r>
    </w:p>
    <w:p>
      <w:pPr>
        <w:pStyle w:val="Date"/>
      </w:pPr>
      <w:r>
        <w:t xml:space="preserve">Mai</w:t>
      </w:r>
      <w:r>
        <w:t xml:space="preserve"> </w:t>
      </w:r>
      <w:r>
        <w:t xml:space="preserve">2026</w:t>
      </w:r>
    </w:p>
    <w:p>
      <w:pPr>
        <w:pStyle w:val="Abstract"/>
      </w:pPr>
      <w:r>
        <w:rPr>
          <w:bCs/>
          <w:b/>
        </w:rPr>
        <w:t xml:space="preserve">Auf den Punkt gebracht.</w:t>
      </w:r>
      <w:r>
        <w:t xml:space="preserve"> </w:t>
      </w:r>
      <w:r>
        <w:t xml:space="preserve">Die zweite Aktionärsrechte-Richtlinie hat in Österreich (Aktienrechts-Änderungsgesetz 2019) und in Deutschland (ARUG II) ein zweistufiges Genehmigungs- und Veröffentlichungsregime für</w:t>
      </w:r>
      <w:r>
        <w:t xml:space="preserve"> </w:t>
      </w:r>
      <w:r>
        <w:rPr>
          <w:iCs/>
          <w:i/>
        </w:rPr>
        <w:t xml:space="preserve">Geschäfte mit nahestehenden Personen</w:t>
      </w:r>
      <w:r>
        <w:t xml:space="preserve"> </w:t>
      </w:r>
      <w:r>
        <w:t xml:space="preserve">eingeführt. Die nationalen Wesentlichkeitsschwellen unterscheiden sich auf der relativen Ebene deutlich: Österreich 5 % der Konzernbilanzsumme</w:t>
      </w:r>
      <w:r>
        <w:t xml:space="preserve"> </w:t>
      </w:r>
      <w:r>
        <w:rPr>
          <w:iCs/>
          <w:i/>
        </w:rPr>
        <w:t xml:space="preserve">oder</w:t>
      </w:r>
      <w:r>
        <w:t xml:space="preserve"> </w:t>
      </w:r>
      <w:r>
        <w:t xml:space="preserve">2,5 % der Konzernumsatzerlöse (§ 95a AktG idF AktRÄG 2019), Deutschland 1,5 % der Summe aus Anlage- und Umlaufvermögen (§ 111b Abs 1 dAktG). Eine vollständige Erhebung über alle 20 ATX- und 40 DAX-Emittenten zum Geschäftsjahr 2024 führt zu drei Befunden, die im Schrifttum so bislang nicht zusammengeführt wurden: Erstens — entgegen der intuitiven Lesart der relativen Schwellenwerte — ist der</w:t>
      </w:r>
      <w:r>
        <w:t xml:space="preserve"> </w:t>
      </w:r>
      <w:r>
        <w:rPr>
          <w:iCs/>
          <w:i/>
        </w:rPr>
        <w:t xml:space="preserve">absolute</w:t>
      </w:r>
      <w:r>
        <w:t xml:space="preserve"> </w:t>
      </w:r>
      <w:r>
        <w:t xml:space="preserve">Schwellenbetrag in der ATX-Population im Median rund neunmal</w:t>
      </w:r>
      <w:r>
        <w:t xml:space="preserve"> </w:t>
      </w:r>
      <w:r>
        <w:rPr>
          <w:iCs/>
          <w:i/>
        </w:rPr>
        <w:t xml:space="preserve">niedriger</w:t>
      </w:r>
      <w:r>
        <w:t xml:space="preserve"> </w:t>
      </w:r>
      <w:r>
        <w:t xml:space="preserve">als im DAX (EUR 108 Mio. vs EUR 1.000 Mio.). Die nominell höhere österreichische Prozentquote kompensiert den Größenunterschied der Emittenten nicht; sie verstärkt ihn durch die alternative Umsatzbezugsgröße sogar. Zweitens überschreiten — nach Bereinigung um nicht-tatbestandsmäßige Vorgänge — 11 von 60 Emittenten (18 %) ihre bindende Schwelle numerisch. Drittens hat im Kalenderjahr 2024</w:t>
      </w:r>
      <w:r>
        <w:t xml:space="preserve"> </w:t>
      </w:r>
      <w:r>
        <w:rPr>
          <w:iCs/>
          <w:i/>
        </w:rPr>
        <w:t xml:space="preserve">kein einziger</w:t>
      </w:r>
      <w:r>
        <w:t xml:space="preserve"> </w:t>
      </w:r>
      <w:r>
        <w:t xml:space="preserve">der 60 Emittenten eine Bekanntmachung nach § 95c AktG bzw § 111c dAktG publiziert. Die Diskrepanz erklärt sich nicht aus dem Schwellenwert, sondern aus dem Ausnahmekatalog der § 95d AktG / § 111a Abs 3 dAktG, insbesondere der weiten Ausnahme</w:t>
      </w:r>
      <w:r>
        <w:t xml:space="preserve"> </w:t>
      </w:r>
      <w:r>
        <w:t xml:space="preserve">“</w:t>
      </w:r>
      <w:r>
        <w:t xml:space="preserve">ordentlicher Geschäftsgang zu marktüblichen Bedingungen</w:t>
      </w:r>
      <w:r>
        <w:t xml:space="preserve">”</w:t>
      </w:r>
      <w:r>
        <w:t xml:space="preserve">.</w:t>
      </w:r>
    </w:p>
    <w:bookmarkStart w:id="23" w:name="i.-einleitung-und-forschungsfrage"/>
    <w:p>
      <w:pPr>
        <w:pStyle w:val="Heading1"/>
      </w:pPr>
      <w:r>
        <w:t xml:space="preserve">I. Einleitung und Forschungsfrage</w:t>
      </w:r>
    </w:p>
    <w:p>
      <w:pPr>
        <w:pStyle w:val="FirstParagraph"/>
      </w:pPr>
      <w:r>
        <w:t xml:space="preserve">Die zweite Aktionärsrechte-Richtlinie</w:t>
      </w:r>
      <w:r>
        <w:rPr>
          <w:rStyle w:val="FootnoteReference"/>
        </w:rPr>
        <w:footnoteReference w:id="20"/>
      </w:r>
      <w:r>
        <w:t xml:space="preserve"> </w:t>
      </w:r>
      <w:r>
        <w:t xml:space="preserve">hat den seit Jahrzehnten diskutierten Konflikt um die ungeordnete Vermögensverlagerung an kontrollierende Gesellschafter, Familienpools und Konzernspitzen in ein einheitliches, EU-weit harmonisiertes Verfahrensrecht überführt: oberhalb einer normativ definierten</w:t>
      </w:r>
      <w:r>
        <w:t xml:space="preserve"> </w:t>
      </w:r>
      <w:r>
        <w:rPr>
          <w:iCs/>
          <w:i/>
        </w:rPr>
        <w:t xml:space="preserve">Wesentlichkeitsschwelle</w:t>
      </w:r>
      <w:r>
        <w:t xml:space="preserve"> </w:t>
      </w:r>
      <w:r>
        <w:t xml:space="preserve">greifen ein zwingender Zustimmungsvorbehalt des Aufsichtsrats bzw. eines hierzu eingerichteten Ausschusses sowie eine unverzügliche, öffentlich zugängliche Bekanntmachung des Geschäfts. Beide Rechtsfolgen sind unabhängig von der laufenden Anhangangabe nach IAS 24, die das</w:t>
      </w:r>
      <w:r>
        <w:t xml:space="preserve"> </w:t>
      </w:r>
      <w:r>
        <w:rPr>
          <w:iCs/>
          <w:i/>
        </w:rPr>
        <w:t xml:space="preserve">kontinuierliche</w:t>
      </w:r>
      <w:r>
        <w:t xml:space="preserve"> </w:t>
      </w:r>
      <w:r>
        <w:t xml:space="preserve">Transparenzregime trägt.</w:t>
      </w:r>
    </w:p>
    <w:p>
      <w:pPr>
        <w:pStyle w:val="BodyText"/>
      </w:pPr>
      <w:r>
        <w:t xml:space="preserve">Die Umsetzung der Richtlinie ist national erfolgt — in Österreich durch das Aktienrechts-Änderungsgesetz 2019</w:t>
      </w:r>
      <w:r>
        <w:rPr>
          <w:rStyle w:val="FootnoteReference"/>
        </w:rPr>
        <w:footnoteReference w:id="21"/>
      </w:r>
      <w:r>
        <w:t xml:space="preserve">, in Deutschland durch das ARUG II</w:t>
      </w:r>
      <w:r>
        <w:rPr>
          <w:rStyle w:val="FootnoteReference"/>
        </w:rPr>
        <w:footnoteReference w:id="22"/>
      </w:r>
      <w:r>
        <w:t xml:space="preserve">. Während die qualitative Grundarchitektur — Tatbestandsdefinition, Zustimmungsvorbehalt, Veröffentlichungspflicht, Ausnahmekatalog — in beiden Rechtsordnungen weitgehend parallel ist, divergieren die</w:t>
      </w:r>
      <w:r>
        <w:t xml:space="preserve"> </w:t>
      </w:r>
      <w:r>
        <w:rPr>
          <w:iCs/>
          <w:i/>
        </w:rPr>
        <w:t xml:space="preserve">quantitativen</w:t>
      </w:r>
      <w:r>
        <w:t xml:space="preserve"> </w:t>
      </w:r>
      <w:r>
        <w:t xml:space="preserve">Schwellen markant. Damit stellt sich die rechtsvergleichende Frage, wie scharf der Mechanismus tatsächlich in den beiden Rechtsordnungen greift — und ob die nominell höhere österreichische Schwelle in der Tat zu einer geringeren Eingriffsdichte führt, wie es das vorherrschende Verständnis nahelegt.</w:t>
      </w:r>
    </w:p>
    <w:p>
      <w:pPr>
        <w:pStyle w:val="BodyText"/>
      </w:pPr>
      <w:r>
        <w:t xml:space="preserve">Der vorliegende Beitrag prüft diese Frage empirisch. Untersucht werden alle 20 Konstituenten des ATX und alle 40 Konstituenten des DAX zum Geschäftsjahr 2024 (n = 60). Erhoben werden die Bilanzsumme und — soweit für die jeweilige Schwellenformel relevant — die Konzernumsatzerlöse, der größte quantifiziert offengelegte RPT-Einzelposten sowie die Anzahl der im Kalenderjahr 2024 nach § 95c bzw § 111c veröffentlichten Bekanntmachungen. Daraus werden drei Fragen beantwortet:</w:t>
      </w:r>
    </w:p>
    <w:p>
      <w:pPr>
        <w:numPr>
          <w:ilvl w:val="0"/>
          <w:numId w:val="1001"/>
        </w:numPr>
        <w:pStyle w:val="Compact"/>
      </w:pPr>
      <w:r>
        <w:t xml:space="preserve">Wie hoch ist die Wesentlichkeitsschwelle</w:t>
      </w:r>
      <w:r>
        <w:t xml:space="preserve"> </w:t>
      </w:r>
      <w:r>
        <w:rPr>
          <w:iCs/>
          <w:i/>
        </w:rPr>
        <w:t xml:space="preserve">in absoluten Beträgen</w:t>
      </w:r>
      <w:r>
        <w:t xml:space="preserve"> </w:t>
      </w:r>
      <w:r>
        <w:t xml:space="preserve">im realen Vergleich beider Indizes?</w:t>
      </w:r>
    </w:p>
    <w:p>
      <w:pPr>
        <w:numPr>
          <w:ilvl w:val="0"/>
          <w:numId w:val="1001"/>
        </w:numPr>
        <w:pStyle w:val="Compact"/>
      </w:pPr>
      <w:r>
        <w:t xml:space="preserve">Wie häufig wird sie nominell überschritten — und wie verteilen sich die Ausnahmen?</w:t>
      </w:r>
    </w:p>
    <w:p>
      <w:pPr>
        <w:numPr>
          <w:ilvl w:val="0"/>
          <w:numId w:val="1001"/>
        </w:numPr>
        <w:pStyle w:val="Compact"/>
      </w:pPr>
      <w:r>
        <w:t xml:space="preserve">Wie viele anlassbezogene Bekanntmachungen wurden 2024 tatsächlich publiziert?</w:t>
      </w:r>
    </w:p>
    <w:bookmarkEnd w:id="23"/>
    <w:bookmarkStart w:id="29" w:name="ii.-die-schwellenwerte-normativ"/>
    <w:p>
      <w:pPr>
        <w:pStyle w:val="Heading1"/>
      </w:pPr>
      <w:r>
        <w:t xml:space="preserve">II. Die Schwellenwerte normativ</w:t>
      </w:r>
    </w:p>
    <w:bookmarkStart w:id="25" w:name="österreich-95a-aktg-idf-akträg-2019"/>
    <w:p>
      <w:pPr>
        <w:pStyle w:val="Heading2"/>
      </w:pPr>
      <w:r>
        <w:t xml:space="preserve">1. Österreich: § 95a AktG idF AktRÄG 2019</w:t>
      </w:r>
    </w:p>
    <w:p>
      <w:pPr>
        <w:pStyle w:val="FirstParagraph"/>
      </w:pPr>
      <w:r>
        <w:t xml:space="preserve">Ein Geschäft eines börsenotierten Unternehmens mit einer nahestehenden Person ist</w:t>
      </w:r>
      <w:r>
        <w:t xml:space="preserve"> </w:t>
      </w:r>
      <w:r>
        <w:rPr>
          <w:iCs/>
          <w:i/>
        </w:rPr>
        <w:t xml:space="preserve">wesentlich</w:t>
      </w:r>
      <w:r>
        <w:t xml:space="preserve">, wenn sein wirtschaftlicher Wert allein oder zusammen mit den innerhalb des laufenden Geschäftsjahres mit derselben Person abgeschlossenen Geschäften die in § 95a AktG genannten Schwellen erreicht oder übersteigt:</w:t>
      </w:r>
      <w:r>
        <w:t xml:space="preserve"> </w:t>
      </w:r>
      <w:r>
        <w:rPr>
          <w:bCs/>
          <w:b/>
        </w:rPr>
        <w:t xml:space="preserve">5 vH der Bilanzsumme</w:t>
      </w:r>
      <w:r>
        <w:rPr>
          <w:bCs/>
          <w:b/>
        </w:rPr>
        <w:t xml:space="preserve"> </w:t>
      </w:r>
      <w:r>
        <w:rPr>
          <w:iCs/>
          <w:i/>
          <w:bCs/>
          <w:b/>
        </w:rPr>
        <w:t xml:space="preserve">oder</w:t>
      </w:r>
      <w:r>
        <w:rPr>
          <w:bCs/>
          <w:b/>
        </w:rPr>
        <w:t xml:space="preserve"> </w:t>
      </w:r>
      <w:r>
        <w:rPr>
          <w:bCs/>
          <w:b/>
        </w:rPr>
        <w:t xml:space="preserve">2,5 vH der Umsatzerlöse</w:t>
      </w:r>
      <w:r>
        <w:t xml:space="preserve"> </w:t>
      </w:r>
      <w:r>
        <w:t xml:space="preserve">des Konzerns.</w:t>
      </w:r>
      <w:r>
        <w:rPr>
          <w:rStyle w:val="FootnoteReference"/>
        </w:rPr>
        <w:footnoteReference w:id="24"/>
      </w:r>
      <w:r>
        <w:t xml:space="preserve"> </w:t>
      </w:r>
      <w:r>
        <w:t xml:space="preserve">Maßgeblich sind die Werte des zuletzt festgestellten Konzernabschlusses.</w:t>
      </w:r>
    </w:p>
    <w:p>
      <w:pPr>
        <w:pStyle w:val="BodyText"/>
      </w:pPr>
      <w:r>
        <w:t xml:space="preserve">Drei Merkmale der österreichischen Schwellenformel verdienen Hervorhebung:</w:t>
      </w:r>
    </w:p>
    <w:p>
      <w:pPr>
        <w:numPr>
          <w:ilvl w:val="0"/>
          <w:numId w:val="1002"/>
        </w:numPr>
        <w:pStyle w:val="Compact"/>
      </w:pPr>
      <w:r>
        <w:t xml:space="preserve">Die</w:t>
      </w:r>
      <w:r>
        <w:t xml:space="preserve"> </w:t>
      </w:r>
      <w:r>
        <w:rPr>
          <w:bCs/>
          <w:b/>
        </w:rPr>
        <w:t xml:space="preserve">“</w:t>
      </w:r>
      <w:r>
        <w:rPr>
          <w:bCs/>
          <w:b/>
        </w:rPr>
        <w:t xml:space="preserve">oder</w:t>
      </w:r>
      <w:r>
        <w:rPr>
          <w:bCs/>
          <w:b/>
        </w:rPr>
        <w:t xml:space="preserve">”</w:t>
      </w:r>
      <w:r>
        <w:rPr>
          <w:bCs/>
          <w:b/>
        </w:rPr>
        <w:t xml:space="preserve">-Verknüpfung</w:t>
      </w:r>
      <w:r>
        <w:t xml:space="preserve"> </w:t>
      </w:r>
      <w:r>
        <w:t xml:space="preserve">der beiden Bezugsgrößen wirkt als Doppel-Sieb: Es genügt, wenn</w:t>
      </w:r>
      <w:r>
        <w:t xml:space="preserve"> </w:t>
      </w:r>
      <w:r>
        <w:rPr>
          <w:iCs/>
          <w:i/>
        </w:rPr>
        <w:t xml:space="preserve">eine</w:t>
      </w:r>
      <w:r>
        <w:t xml:space="preserve"> </w:t>
      </w:r>
      <w:r>
        <w:t xml:space="preserve">Quote erfüllt ist. Aus Sicht des Emittenten bindet daher die</w:t>
      </w:r>
      <w:r>
        <w:t xml:space="preserve"> </w:t>
      </w:r>
      <w:r>
        <w:rPr>
          <w:iCs/>
          <w:i/>
        </w:rPr>
        <w:t xml:space="preserve">jeweils niedrigere</w:t>
      </w:r>
      <w:r>
        <w:t xml:space="preserve"> </w:t>
      </w:r>
      <w:r>
        <w:t xml:space="preserve">absolute Schwelle der beiden. Für umsatzschwache, bilanzsummenstarke Geschäftsmodelle (Banken, Versicherungen, Immobiliengesellschaften) ist die 2,5 %-Umsatzschwelle in der Regel deutlich strenger als die 5 %-Bilanzschwelle. Für den umgekehrten Fall — typischer Industrieemittent mit Umsatz &gt; Bilanzsumme — bindet die 5 %-Bilanzschwelle.</w:t>
      </w:r>
    </w:p>
    <w:p>
      <w:pPr>
        <w:numPr>
          <w:ilvl w:val="0"/>
          <w:numId w:val="1002"/>
        </w:numPr>
        <w:pStyle w:val="Compact"/>
      </w:pPr>
      <w:r>
        <w:t xml:space="preserve">Die</w:t>
      </w:r>
      <w:r>
        <w:t xml:space="preserve"> </w:t>
      </w:r>
      <w:r>
        <w:rPr>
          <w:bCs/>
          <w:b/>
        </w:rPr>
        <w:t xml:space="preserve">12-Monats-Aggregation</w:t>
      </w:r>
      <w:r>
        <w:t xml:space="preserve"> </w:t>
      </w:r>
      <w:r>
        <w:t xml:space="preserve">verhindert eine bewusste Zerlegung größerer Transaktionen in kleinere Teilgeschäfte zur Umgehung des Tatbestands.</w:t>
      </w:r>
    </w:p>
    <w:p>
      <w:pPr>
        <w:numPr>
          <w:ilvl w:val="0"/>
          <w:numId w:val="1002"/>
        </w:numPr>
        <w:pStyle w:val="Compact"/>
      </w:pPr>
      <w:r>
        <w:t xml:space="preserve">Bei Banken und Versicherungen ist die Auslegung des Begriffs</w:t>
      </w:r>
      <w:r>
        <w:t xml:space="preserve"> </w:t>
      </w:r>
      <w:r>
        <w:t xml:space="preserve">“</w:t>
      </w:r>
      <w:r>
        <w:t xml:space="preserve">Umsatzerlöse</w:t>
      </w:r>
      <w:r>
        <w:t xml:space="preserve">”</w:t>
      </w:r>
      <w:r>
        <w:t xml:space="preserve"> </w:t>
      </w:r>
      <w:r>
        <w:t xml:space="preserve">technisch heikel: Die Konzernabschlüsse weisen diese Größe in der klassischen IFRS-Form nicht aus. In der Praxis wird auf eine sektorgerechte Surrogatgröße abgestellt — bei Banken das Operating Income (Zinsergebnis + Provisionsergebnis + Handels- und sonstige Erträge), bei Versicherungen die gebuchten Bruttoprämien.</w:t>
      </w:r>
    </w:p>
    <w:p>
      <w:pPr>
        <w:pStyle w:val="FirstParagraph"/>
      </w:pPr>
      <w:r>
        <w:t xml:space="preserve">Bei Erreichen der Schwelle löst das Geschäft eine</w:t>
      </w:r>
      <w:r>
        <w:t xml:space="preserve"> </w:t>
      </w:r>
      <w:r>
        <w:rPr>
          <w:bCs/>
          <w:b/>
        </w:rPr>
        <w:t xml:space="preserve">Zustimmungspflicht</w:t>
      </w:r>
      <w:r>
        <w:t xml:space="preserve"> </w:t>
      </w:r>
      <w:r>
        <w:t xml:space="preserve">des Aufsichtsrats oder eines hierzu eingerichteten Ausschusses aus (§ 95b AktG), wobei die betroffenen RP-Mitglieder einem Stimmverbot unterliegen. Hinzu tritt die</w:t>
      </w:r>
      <w:r>
        <w:t xml:space="preserve"> </w:t>
      </w:r>
      <w:r>
        <w:rPr>
          <w:bCs/>
          <w:b/>
        </w:rPr>
        <w:t xml:space="preserve">Veröffentlichungspflicht</w:t>
      </w:r>
      <w:r>
        <w:t xml:space="preserve"> </w:t>
      </w:r>
      <w:r>
        <w:t xml:space="preserve">auf der Internetseite des Emittenten nach § 95c AktG, mit einer Mindestverfügbarkeit von fünf Jahren. Die</w:t>
      </w:r>
      <w:r>
        <w:t xml:space="preserve"> </w:t>
      </w:r>
      <w:r>
        <w:rPr>
          <w:bCs/>
          <w:b/>
        </w:rPr>
        <w:t xml:space="preserve">Ausnahmen</w:t>
      </w:r>
      <w:r>
        <w:t xml:space="preserve"> </w:t>
      </w:r>
      <w:r>
        <w:t xml:space="preserve">sind in § 95d AktG geregelt; sie umfassen insbesondere Geschäfte mit vollkonsolidierten Tochterunternehmen, Geschäfte im ordentlichen Geschäftsgang zu marktüblichen Bedingungen, sowie Vorgänge, die der Gleichbehandlung aller Aktionäre dienen (insbesondere anteilige Dividenden, eigene Aktien, Kapitalmaßnahmen).</w:t>
      </w:r>
    </w:p>
    <w:bookmarkEnd w:id="25"/>
    <w:bookmarkStart w:id="27" w:name="deutschland-111b-abs-1-daktg-idf-arug-ii"/>
    <w:p>
      <w:pPr>
        <w:pStyle w:val="Heading2"/>
      </w:pPr>
      <w:r>
        <w:t xml:space="preserve">2. Deutschland: § 111b Abs 1 dAktG idF ARUG II</w:t>
      </w:r>
    </w:p>
    <w:p>
      <w:pPr>
        <w:pStyle w:val="FirstParagraph"/>
      </w:pPr>
      <w:r>
        <w:t xml:space="preserve">Die deutsche Schwelle ist auf eine einzige Bezugsgröße reduziert:</w:t>
      </w:r>
      <w:r>
        <w:t xml:space="preserve"> </w:t>
      </w:r>
      <w:r>
        <w:rPr>
          <w:bCs/>
          <w:b/>
        </w:rPr>
        <w:t xml:space="preserve">1,5 % der Summe aus Anlage- und Umlaufvermögen</w:t>
      </w:r>
      <w:r>
        <w:t xml:space="preserve"> </w:t>
      </w:r>
      <w:r>
        <w:t xml:space="preserve">nach § 266 Abs 2 lit A und B HGB des zuletzt festgestellten Konzernabschlusses.</w:t>
      </w:r>
      <w:r>
        <w:rPr>
          <w:rStyle w:val="FootnoteReference"/>
        </w:rPr>
        <w:footnoteReference w:id="26"/>
      </w:r>
      <w:r>
        <w:t xml:space="preserve"> </w:t>
      </w:r>
      <w:r>
        <w:t xml:space="preserve">Eine alternative Umsatzbezugsgröße kennt § 111b dAktG nicht. Damit ist die deutsche Norm — auf der Ebene der Prozente — sichtbar strenger als die österreichische; auf der Ebene der absoluten Beträge ist die Beziehung, wie unter IV. zu zeigen ist, jedoch eine andere.</w:t>
      </w:r>
    </w:p>
    <w:p>
      <w:pPr>
        <w:pStyle w:val="BodyText"/>
      </w:pPr>
      <w:r>
        <w:t xml:space="preserve">Die übrige Architektur ist parallel: § 111b Abs 2 dAktG normiert die Zustimmungspflicht des Aufsichtsrats oder eines hierfür eingerichteten Ausschusses, § 111c dAktG die Veröffentlichungspflicht. Die Ausnahmen sind nicht in einer eigenen Norm (wie § 95d AktG in Österreich) konsolidiert, sondern in § 111a Abs 3 dAktG verankert. Sie umfassen — wiederum funktional parallel — Geschäfte mit Tochterunternehmen (Z 1), Geschäfte im ordentlichen Geschäftsgang zu marktüblichen Bedingungen (Z 2), Geschäfte, die einem Ausschüttungsanspruch entsprechen, der allen Aktionären zusteht (Z 3), Geschäfte in Bezug auf eigene Aktien (Z 4) sowie bestimmte Bank- und Versicherungsgeschäfte (Z 5).</w:t>
      </w:r>
    </w:p>
    <w:bookmarkEnd w:id="27"/>
    <w:bookmarkStart w:id="28" w:name="vergleichende-übersicht"/>
    <w:p>
      <w:pPr>
        <w:pStyle w:val="Heading2"/>
      </w:pPr>
      <w:r>
        <w:t xml:space="preserve">3. Vergleichende Übersicht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Österreich</w:t>
            </w:r>
            <w:r>
              <w:t xml:space="preserve"> </w:t>
            </w:r>
            <w:r>
              <w:t xml:space="preserve">(§ 95a ff AktG)</w:t>
            </w:r>
          </w:p>
        </w:tc>
        <w:tc>
          <w:tcPr/>
          <w:p>
            <w:pPr>
              <w:pStyle w:val="Compact"/>
              <w:jc w:val="left"/>
            </w:pPr>
            <w:r>
              <w:rPr>
                <w:bCs/>
                <w:b/>
              </w:rPr>
              <w:t xml:space="preserve">Deutschland</w:t>
            </w:r>
            <w:r>
              <w:t xml:space="preserve"> </w:t>
            </w:r>
            <w:r>
              <w:t xml:space="preserve">(§§ 111a ff dAktG)</w:t>
            </w:r>
          </w:p>
        </w:tc>
      </w:tr>
      <w:tr>
        <w:tc>
          <w:tcPr/>
          <w:p>
            <w:pPr>
              <w:pStyle w:val="Compact"/>
              <w:jc w:val="left"/>
            </w:pPr>
            <w:r>
              <w:t xml:space="preserve">Rechtsgrundlage Umsetzung</w:t>
            </w:r>
          </w:p>
        </w:tc>
        <w:tc>
          <w:tcPr/>
          <w:p>
            <w:pPr>
              <w:pStyle w:val="Compact"/>
              <w:jc w:val="left"/>
            </w:pPr>
            <w:r>
              <w:t xml:space="preserve">AktRÄG 2019 (BGBl I 2019/63), in Kraft 17.9.2020</w:t>
            </w:r>
          </w:p>
        </w:tc>
        <w:tc>
          <w:tcPr/>
          <w:p>
            <w:pPr>
              <w:pStyle w:val="Compact"/>
              <w:jc w:val="left"/>
            </w:pPr>
            <w:r>
              <w:t xml:space="preserve">ARUG II (BGBl I 2019, 2637), in Kraft 1.1.2020</w:t>
            </w:r>
          </w:p>
        </w:tc>
      </w:tr>
      <w:tr>
        <w:tc>
          <w:tcPr/>
          <w:p>
            <w:pPr>
              <w:pStyle w:val="Compact"/>
              <w:jc w:val="left"/>
            </w:pPr>
            <w:r>
              <w:t xml:space="preserve">Bezugsgrößen</w:t>
            </w:r>
          </w:p>
        </w:tc>
        <w:tc>
          <w:tcPr/>
          <w:p>
            <w:pPr>
              <w:pStyle w:val="Compact"/>
              <w:jc w:val="left"/>
            </w:pPr>
            <w:r>
              <w:t xml:space="preserve">5 % Bilanzsumme</w:t>
            </w:r>
            <w:r>
              <w:t xml:space="preserve"> </w:t>
            </w:r>
            <w:r>
              <w:rPr>
                <w:bCs/>
                <w:b/>
              </w:rPr>
              <w:t xml:space="preserve">oder</w:t>
            </w:r>
            <w:r>
              <w:t xml:space="preserve"> </w:t>
            </w:r>
            <w:r>
              <w:t xml:space="preserve">2,5 % Umsatzerlöse</w:t>
            </w:r>
          </w:p>
        </w:tc>
        <w:tc>
          <w:tcPr/>
          <w:p>
            <w:pPr>
              <w:pStyle w:val="Compact"/>
              <w:jc w:val="left"/>
            </w:pPr>
            <w:r>
              <w:t xml:space="preserve">1,5 % Anlage- + Umlaufvermögen</w:t>
            </w:r>
          </w:p>
        </w:tc>
      </w:tr>
      <w:tr>
        <w:tc>
          <w:tcPr/>
          <w:p>
            <w:pPr>
              <w:pStyle w:val="Compact"/>
              <w:jc w:val="left"/>
            </w:pPr>
            <w:r>
              <w:t xml:space="preserve">Bindende Schwelle</w:t>
            </w:r>
          </w:p>
        </w:tc>
        <w:tc>
          <w:tcPr/>
          <w:p>
            <w:pPr>
              <w:pStyle w:val="Compact"/>
              <w:jc w:val="left"/>
            </w:pPr>
            <w:r>
              <w:t xml:space="preserve">niedrigere absolute der beiden Werte</w:t>
            </w:r>
          </w:p>
        </w:tc>
        <w:tc>
          <w:tcPr/>
          <w:p>
            <w:pPr>
              <w:pStyle w:val="Compact"/>
              <w:jc w:val="left"/>
            </w:pPr>
            <w:r>
              <w:t xml:space="preserve">einziger Wert</w:t>
            </w:r>
          </w:p>
        </w:tc>
      </w:tr>
      <w:tr>
        <w:tc>
          <w:tcPr/>
          <w:p>
            <w:pPr>
              <w:pStyle w:val="Compact"/>
              <w:jc w:val="left"/>
            </w:pPr>
            <w:r>
              <w:t xml:space="preserve">Aggregation gleichartiger Geschäfte</w:t>
            </w:r>
          </w:p>
        </w:tc>
        <w:tc>
          <w:tcPr/>
          <w:p>
            <w:pPr>
              <w:pStyle w:val="Compact"/>
              <w:jc w:val="left"/>
            </w:pPr>
            <w:r>
              <w:t xml:space="preserve">12 Monate, dieselbe Person</w:t>
            </w:r>
          </w:p>
        </w:tc>
        <w:tc>
          <w:tcPr/>
          <w:p>
            <w:pPr>
              <w:pStyle w:val="Compact"/>
              <w:jc w:val="left"/>
            </w:pPr>
            <w:r>
              <w:t xml:space="preserve">12 Monate, dieselbe Person</w:t>
            </w:r>
          </w:p>
        </w:tc>
      </w:tr>
      <w:tr>
        <w:tc>
          <w:tcPr/>
          <w:p>
            <w:pPr>
              <w:pStyle w:val="Compact"/>
              <w:jc w:val="left"/>
            </w:pPr>
            <w:r>
              <w:t xml:space="preserve">Zustimmungspflicht</w:t>
            </w:r>
          </w:p>
        </w:tc>
        <w:tc>
          <w:tcPr/>
          <w:p>
            <w:pPr>
              <w:pStyle w:val="Compact"/>
              <w:jc w:val="left"/>
            </w:pPr>
            <w:r>
              <w:t xml:space="preserve">§ 95b: Aufsichtsrat / Prüfungsausschuss; Stimmverbot betroffener RP</w:t>
            </w:r>
          </w:p>
        </w:tc>
        <w:tc>
          <w:tcPr/>
          <w:p>
            <w:pPr>
              <w:pStyle w:val="Compact"/>
              <w:jc w:val="left"/>
            </w:pPr>
            <w:r>
              <w:t xml:space="preserve">§ 111b Abs 2: Aufsichtsrat / Ausschuss; Stimmverbot</w:t>
            </w:r>
          </w:p>
        </w:tc>
      </w:tr>
      <w:tr>
        <w:tc>
          <w:tcPr/>
          <w:p>
            <w:pPr>
              <w:pStyle w:val="Compact"/>
              <w:jc w:val="left"/>
            </w:pPr>
            <w:r>
              <w:t xml:space="preserve">Veröffentlichungspflicht</w:t>
            </w:r>
          </w:p>
        </w:tc>
        <w:tc>
          <w:tcPr/>
          <w:p>
            <w:pPr>
              <w:pStyle w:val="Compact"/>
              <w:jc w:val="left"/>
            </w:pPr>
            <w:r>
              <w:t xml:space="preserve">§ 95c: unverzüglich, mind. 5 Jahre verfügbar</w:t>
            </w:r>
          </w:p>
        </w:tc>
        <w:tc>
          <w:tcPr/>
          <w:p>
            <w:pPr>
              <w:pStyle w:val="Compact"/>
              <w:jc w:val="left"/>
            </w:pPr>
            <w:r>
              <w:t xml:space="preserve">§ 111c: spätestens am Tag des Geschäftsabschlusses</w:t>
            </w:r>
          </w:p>
        </w:tc>
      </w:tr>
      <w:tr>
        <w:tc>
          <w:tcPr/>
          <w:p>
            <w:pPr>
              <w:pStyle w:val="Compact"/>
              <w:jc w:val="left"/>
            </w:pPr>
            <w:r>
              <w:t xml:space="preserve">Ausnahmen</w:t>
            </w:r>
          </w:p>
        </w:tc>
        <w:tc>
          <w:tcPr/>
          <w:p>
            <w:pPr>
              <w:pStyle w:val="Compact"/>
              <w:jc w:val="left"/>
            </w:pPr>
            <w:r>
              <w:t xml:space="preserve">§ 95d: Konzernprivileg, ordentlicher Geschäftsgang, anteilige Dividende, eigene Aktien, Vergütung</w:t>
            </w:r>
          </w:p>
        </w:tc>
        <w:tc>
          <w:tcPr/>
          <w:p>
            <w:pPr>
              <w:pStyle w:val="Compact"/>
              <w:jc w:val="left"/>
            </w:pPr>
            <w:r>
              <w:t xml:space="preserve">§ 111a Abs 3 Nr 1–5: funktional parallel</w:t>
            </w:r>
          </w:p>
        </w:tc>
      </w:tr>
    </w:tbl>
    <w:bookmarkEnd w:id="28"/>
    <w:bookmarkEnd w:id="29"/>
    <w:bookmarkStart w:id="30" w:name="Xd4e4b4fbb7275e713d8e778e70dbc1985449dc8"/>
    <w:p>
      <w:pPr>
        <w:pStyle w:val="Heading1"/>
      </w:pPr>
      <w:r>
        <w:t xml:space="preserve">III. Methodische Vorüberlegung — wieso der</w:t>
      </w:r>
      <w:r>
        <w:t xml:space="preserve"> </w:t>
      </w:r>
      <w:r>
        <w:rPr>
          <w:iCs/>
          <w:i/>
        </w:rPr>
        <w:t xml:space="preserve">absolute</w:t>
      </w:r>
      <w:r>
        <w:t xml:space="preserve"> </w:t>
      </w:r>
      <w:r>
        <w:t xml:space="preserve">EUR-Betrag entscheidet</w:t>
      </w:r>
    </w:p>
    <w:p>
      <w:pPr>
        <w:pStyle w:val="FirstParagraph"/>
      </w:pPr>
      <w:r>
        <w:t xml:space="preserve">Bevor der empirische Vergleich präsentiert werden kann, ist eine methodische Klärung erforderlich, weil die Schwellen in den nationalen Gesetzen</w:t>
      </w:r>
      <w:r>
        <w:t xml:space="preserve"> </w:t>
      </w:r>
      <w:r>
        <w:rPr>
          <w:iCs/>
          <w:i/>
        </w:rPr>
        <w:t xml:space="preserve">relativ</w:t>
      </w:r>
      <w:r>
        <w:t xml:space="preserve"> </w:t>
      </w:r>
      <w:r>
        <w:t xml:space="preserve">(als Prozentsätze) formuliert sind, der empirische Test aber</w:t>
      </w:r>
      <w:r>
        <w:t xml:space="preserve"> </w:t>
      </w:r>
      <w:r>
        <w:rPr>
          <w:iCs/>
          <w:i/>
        </w:rPr>
        <w:t xml:space="preserve">absolut</w:t>
      </w:r>
      <w:r>
        <w:t xml:space="preserve"> </w:t>
      </w:r>
      <w:r>
        <w:t xml:space="preserve">(in EUR) erfolgt. Diese Operation ist nicht selbstverständlich, sie ist analytisch jedoch zwingend.</w:t>
      </w:r>
    </w:p>
    <w:p>
      <w:pPr>
        <w:pStyle w:val="BodyText"/>
      </w:pPr>
      <w:r>
        <w:rPr>
          <w:bCs/>
          <w:b/>
        </w:rPr>
        <w:t xml:space="preserve">Erstens</w:t>
      </w:r>
      <w:r>
        <w:t xml:space="preserve"> </w:t>
      </w:r>
      <w:r>
        <w:t xml:space="preserve">ist der gesetzliche Tatbestand zwar prozentual formuliert, die</w:t>
      </w:r>
      <w:r>
        <w:t xml:space="preserve"> </w:t>
      </w:r>
      <w:r>
        <w:rPr>
          <w:iCs/>
          <w:i/>
        </w:rPr>
        <w:t xml:space="preserve">Subsumtion</w:t>
      </w:r>
      <w:r>
        <w:t xml:space="preserve"> </w:t>
      </w:r>
      <w:r>
        <w:t xml:space="preserve">im Einzelfall aber zwangsläufig auf der absoluten Ebene angesiedelt. Die Frage, ob ein konkretes Geschäft die Schwelle überschreitet, lässt sich nur in EUR beantworten — die Prozentquote ist lediglich der Bauplan, aus dem im Einzelfall ein konkreter EUR-Schwellenwert errechnet wird. Beispiel Verbund AG (FY2024): Bilanzsumme EUR 18.718 Mio., Umsatz EUR 8.225 Mio.; daraus 5 % Bilanzsumme = EUR 936 Mio., 2,5 % Umsatz = EUR 206 Mio. Die bindende absolute Schwelle der Verbund AG ist mithin EUR 206 Mio. Ein einzelnes Geschäft mit Verbund-Aktionär Republik Österreich im Wert von EUR 250 Mio. wäre wesentlich, ein Geschäft im Wert von EUR 150 Mio. nicht.</w:t>
      </w:r>
    </w:p>
    <w:p>
      <w:pPr>
        <w:pStyle w:val="BodyText"/>
      </w:pPr>
      <w:r>
        <w:rPr>
          <w:bCs/>
          <w:b/>
        </w:rPr>
        <w:t xml:space="preserve">Zweitens</w:t>
      </w:r>
      <w:r>
        <w:t xml:space="preserve"> </w:t>
      </w:r>
      <w:r>
        <w:t xml:space="preserve">wird ein rechtsvergleichender Befund auf der reinen Prozentebene tautologisch: Wäre die Schwelle ausschließlich relativ, so hätten alle 60 Emittenten dieselbe</w:t>
      </w:r>
      <w:r>
        <w:t xml:space="preserve"> </w:t>
      </w:r>
      <w:r>
        <w:t xml:space="preserve">“</w:t>
      </w:r>
      <w:r>
        <w:t xml:space="preserve">Schwelle</w:t>
      </w:r>
      <w:r>
        <w:t xml:space="preserve">”</w:t>
      </w:r>
      <w:r>
        <w:t xml:space="preserve"> </w:t>
      </w:r>
      <w:r>
        <w:t xml:space="preserve">— 5 % bzw. 1,5 % ihrer jeweiligen Bilanzsumme. Diese Aussage trifft formal zu, ist aber empirisch leer, weil sie die</w:t>
      </w:r>
      <w:r>
        <w:t xml:space="preserve"> </w:t>
      </w:r>
      <w:r>
        <w:rPr>
          <w:iCs/>
          <w:i/>
        </w:rPr>
        <w:t xml:space="preserve">Heterogenität</w:t>
      </w:r>
      <w:r>
        <w:t xml:space="preserve"> </w:t>
      </w:r>
      <w:r>
        <w:t xml:space="preserve">der Emittentengröße ausblendet. Erst die Übersetzung in absolute Beträge offenbart, dass die bindende Schwelle bei CA Immobilien Anlagen bei EUR 6 Mio. liegt, bei der Deutschen Bank dagegen bei EUR 21 Mrd. Derselbe normative Tatbestand wirkt damit in der einen Konstellation als sehr scharfes, in der anderen als sehr weiches Filter.</w:t>
      </w:r>
    </w:p>
    <w:p>
      <w:pPr>
        <w:pStyle w:val="BodyText"/>
      </w:pPr>
      <w:r>
        <w:rPr>
          <w:bCs/>
          <w:b/>
        </w:rPr>
        <w:t xml:space="preserve">Drittens</w:t>
      </w:r>
      <w:r>
        <w:t xml:space="preserve"> </w:t>
      </w:r>
      <w:r>
        <w:t xml:space="preserve">und in unmittelbarem Zusammenhang mit der zentralen Forschungsfrage: Die intuitive Lesart</w:t>
      </w:r>
      <w:r>
        <w:t xml:space="preserve"> </w:t>
      </w:r>
      <w:r>
        <w:t xml:space="preserve">“</w:t>
      </w:r>
      <w:r>
        <w:t xml:space="preserve">AT 5 % &gt; DE 1,5 % → AT-Regime ist großzügiger</w:t>
      </w:r>
      <w:r>
        <w:t xml:space="preserve">”</w:t>
      </w:r>
      <w:r>
        <w:t xml:space="preserve"> </w:t>
      </w:r>
      <w:r>
        <w:t xml:space="preserve">hält nur auf der relativen Ebene. In dem Moment, in dem man absolute Beträge betrachtet — also die Frage stellt,</w:t>
      </w:r>
      <w:r>
        <w:t xml:space="preserve"> </w:t>
      </w:r>
      <w:r>
        <w:t xml:space="preserve">“</w:t>
      </w:r>
      <w:r>
        <w:t xml:space="preserve">ab welchem EUR-Wert greift der Tatbestand bei realen Emittenten?</w:t>
      </w:r>
      <w:r>
        <w:t xml:space="preserve">”</w:t>
      </w:r>
      <w:r>
        <w:t xml:space="preserve"> </w:t>
      </w:r>
      <w:r>
        <w:t xml:space="preserve">— kehrt sich die Reihenfolge in einem Großteil der Population um. Die Erklärung ist einfach: Die ATX-Emittenten sind in ihrer Bilanzsumme im Median erheblich kleiner als die DAX-Emittenten; die Multiplikation mit einer höheren Prozentquote kompensiert den Größenunterschied nur unvollständig. Hinzu kommt die alternative Umsatzbezugsgröße, die bei umsatzschwachen Emittenten — insbesondere im Immobilien-, Banken- und Versicherungssektor — die effektive Schwelle weit</w:t>
      </w:r>
      <w:r>
        <w:t xml:space="preserve"> </w:t>
      </w:r>
      <w:r>
        <w:rPr>
          <w:iCs/>
          <w:i/>
        </w:rPr>
        <w:t xml:space="preserve">unter</w:t>
      </w:r>
      <w:r>
        <w:t xml:space="preserve"> </w:t>
      </w:r>
      <w:r>
        <w:t xml:space="preserve">das Niveau drückt, das eine reine 1,5 %-Bilanzschwelle ergeben würde.</w:t>
      </w:r>
    </w:p>
    <w:p>
      <w:pPr>
        <w:pStyle w:val="BodyText"/>
      </w:pPr>
      <w:r>
        <w:t xml:space="preserve">Mit diesen drei Klärungen wird der empirische Befund in Abschnitt IV. fundiert: Ohne die Übersetzung der prozentualen Norm in absolute Beträge bleibt der rechtsvergleichende Schwellenvergleich oberflächlich und unter Umständen irreführend.</w:t>
      </w:r>
    </w:p>
    <w:bookmarkEnd w:id="30"/>
    <w:bookmarkStart w:id="31" w:name="Xdb4022b66707d53fdb98025a0126b6d519eb955"/>
    <w:p>
      <w:pPr>
        <w:pStyle w:val="Heading1"/>
      </w:pPr>
      <w:r>
        <w:t xml:space="preserve">IV. Die Schwellenwerte empirisch — absolute Beträge in ATX und DAX</w:t>
      </w:r>
    </w:p>
    <w:p>
      <w:pPr>
        <w:pStyle w:val="FirstParagraph"/>
      </w:pPr>
      <w:r>
        <w:t xml:space="preserve">Aus den FY2024-Konzernabschlüssen wurde für jeden der 60 Emittenten die Bilanzsumme erhoben; für die 20 ATX-Emittenten zusätzlich die jeweils einschlägige Umsatzgröße (Operating Income bei Banken; Bruttoprämien bei Versicherungen). Aus diesen Daten ergibt sich die</w:t>
      </w:r>
      <w:r>
        <w:t xml:space="preserve"> </w:t>
      </w:r>
      <w:r>
        <w:rPr>
          <w:iCs/>
          <w:i/>
        </w:rPr>
        <w:t xml:space="preserve">bindende absolute Schwelle</w:t>
      </w:r>
      <w:r>
        <w:t xml:space="preserve"> </w:t>
      </w:r>
      <w:r>
        <w:t xml:space="preserve">je Emittent. Die deskriptive Statistik ist in Tabelle 1 zusammengefasst.</w:t>
      </w:r>
    </w:p>
    <w:p>
      <w:pPr>
        <w:pStyle w:val="BodyText"/>
      </w:pPr>
      <w:r>
        <w:rPr>
          <w:bCs/>
          <w:b/>
        </w:rPr>
        <w:t xml:space="preserve">Tabelle 1: Bindende SRD-II-Schwelle in EUR Mio., ATX vs DAX (FY2024)</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Statistik</w:t>
            </w:r>
          </w:p>
        </w:tc>
        <w:tc>
          <w:tcPr/>
          <w:p>
            <w:pPr>
              <w:pStyle w:val="Compact"/>
              <w:jc w:val="right"/>
            </w:pPr>
            <w:r>
              <w:rPr>
                <w:bCs/>
                <w:b/>
              </w:rPr>
              <w:t xml:space="preserve">ATX</w:t>
            </w:r>
            <w:r>
              <w:t xml:space="preserve"> </w:t>
            </w:r>
            <w:r>
              <w:t xml:space="preserve">(n = 20)</w:t>
            </w:r>
          </w:p>
        </w:tc>
        <w:tc>
          <w:tcPr/>
          <w:p>
            <w:pPr>
              <w:pStyle w:val="Compact"/>
              <w:jc w:val="right"/>
            </w:pPr>
            <w:r>
              <w:rPr>
                <w:bCs/>
                <w:b/>
              </w:rPr>
              <w:t xml:space="preserve">DAX</w:t>
            </w:r>
            <w:r>
              <w:t xml:space="preserve"> </w:t>
            </w:r>
            <w:r>
              <w:t xml:space="preserve">(n = 40)</w:t>
            </w:r>
          </w:p>
        </w:tc>
      </w:tr>
      <w:tr>
        <w:tc>
          <w:tcPr/>
          <w:p>
            <w:pPr>
              <w:pStyle w:val="Compact"/>
              <w:jc w:val="left"/>
            </w:pPr>
            <w:r>
              <w:t xml:space="preserve">Minimum</w:t>
            </w:r>
          </w:p>
        </w:tc>
        <w:tc>
          <w:tcPr/>
          <w:p>
            <w:pPr>
              <w:pStyle w:val="Compact"/>
              <w:jc w:val="right"/>
            </w:pPr>
            <w:r>
              <w:t xml:space="preserve">6 (CA Immo)</w:t>
            </w:r>
          </w:p>
        </w:tc>
        <w:tc>
          <w:tcPr/>
          <w:p>
            <w:pPr>
              <w:pStyle w:val="Compact"/>
              <w:jc w:val="right"/>
            </w:pPr>
            <w:r>
              <w:t xml:space="preserve">82 (Qiagen)*</w:t>
            </w:r>
          </w:p>
        </w:tc>
      </w:tr>
      <w:tr>
        <w:tc>
          <w:tcPr/>
          <w:p>
            <w:pPr>
              <w:pStyle w:val="Compact"/>
              <w:jc w:val="left"/>
            </w:pPr>
            <w:r>
              <w:t xml:space="preserve">25-%-Quantil</w:t>
            </w:r>
          </w:p>
        </w:tc>
        <w:tc>
          <w:tcPr/>
          <w:p>
            <w:pPr>
              <w:pStyle w:val="Compact"/>
              <w:jc w:val="right"/>
            </w:pPr>
            <w:r>
              <w:t xml:space="preserve">54</w:t>
            </w:r>
          </w:p>
        </w:tc>
        <w:tc>
          <w:tcPr/>
          <w:p>
            <w:pPr>
              <w:pStyle w:val="Compact"/>
              <w:jc w:val="right"/>
            </w:pPr>
            <w:r>
              <w:t xml:space="preserve">483</w:t>
            </w:r>
          </w:p>
        </w:tc>
      </w:tr>
      <w:tr>
        <w:tc>
          <w:tcPr/>
          <w:p>
            <w:pPr>
              <w:pStyle w:val="Compact"/>
              <w:jc w:val="left"/>
            </w:pPr>
            <w:r>
              <w:rPr>
                <w:bCs/>
                <w:b/>
              </w:rPr>
              <w:t xml:space="preserve">Median</w:t>
            </w:r>
          </w:p>
        </w:tc>
        <w:tc>
          <w:tcPr/>
          <w:p>
            <w:pPr>
              <w:pStyle w:val="Compact"/>
              <w:jc w:val="right"/>
            </w:pPr>
            <w:r>
              <w:rPr>
                <w:bCs/>
                <w:b/>
              </w:rPr>
              <w:t xml:space="preserve">108</w:t>
            </w:r>
          </w:p>
        </w:tc>
        <w:tc>
          <w:tcPr/>
          <w:p>
            <w:pPr>
              <w:pStyle w:val="Compact"/>
              <w:jc w:val="right"/>
            </w:pPr>
            <w:r>
              <w:rPr>
                <w:bCs/>
                <w:b/>
              </w:rPr>
              <w:t xml:space="preserve">1.000</w:t>
            </w:r>
          </w:p>
        </w:tc>
      </w:tr>
      <w:tr>
        <w:tc>
          <w:tcPr/>
          <w:p>
            <w:pPr>
              <w:pStyle w:val="Compact"/>
              <w:jc w:val="left"/>
            </w:pPr>
            <w:r>
              <w:t xml:space="preserve">75-%-Quantil</w:t>
            </w:r>
          </w:p>
        </w:tc>
        <w:tc>
          <w:tcPr/>
          <w:p>
            <w:pPr>
              <w:pStyle w:val="Compact"/>
              <w:jc w:val="right"/>
            </w:pPr>
            <w:r>
              <w:t xml:space="preserve">206</w:t>
            </w:r>
          </w:p>
        </w:tc>
        <w:tc>
          <w:tcPr/>
          <w:p>
            <w:pPr>
              <w:pStyle w:val="Compact"/>
              <w:jc w:val="right"/>
            </w:pPr>
            <w:r>
              <w:t xml:space="preserve">2.008</w:t>
            </w:r>
          </w:p>
        </w:tc>
      </w:tr>
      <w:tr>
        <w:tc>
          <w:tcPr/>
          <w:p>
            <w:pPr>
              <w:pStyle w:val="Compact"/>
              <w:jc w:val="left"/>
            </w:pPr>
            <w:r>
              <w:t xml:space="preserve">Maximum</w:t>
            </w:r>
          </w:p>
        </w:tc>
        <w:tc>
          <w:tcPr/>
          <w:p>
            <w:pPr>
              <w:pStyle w:val="Compact"/>
              <w:jc w:val="right"/>
            </w:pPr>
            <w:r>
              <w:t xml:space="preserve">850 (OMV)</w:t>
            </w:r>
          </w:p>
        </w:tc>
        <w:tc>
          <w:tcPr/>
          <w:p>
            <w:pPr>
              <w:pStyle w:val="Compact"/>
              <w:jc w:val="right"/>
            </w:pPr>
            <w:r>
              <w:t xml:space="preserve">20.925 (Deutsche Bank)</w:t>
            </w:r>
          </w:p>
        </w:tc>
      </w:tr>
      <w:tr>
        <w:tc>
          <w:tcPr/>
          <w:p>
            <w:pPr>
              <w:pStyle w:val="Compact"/>
              <w:jc w:val="left"/>
            </w:pPr>
            <w:r>
              <w:t xml:space="preserve">Standardabweichung</w:t>
            </w:r>
          </w:p>
        </w:tc>
        <w:tc>
          <w:tcPr/>
          <w:p>
            <w:pPr>
              <w:pStyle w:val="Compact"/>
              <w:jc w:val="right"/>
            </w:pPr>
            <w:r>
              <w:t xml:space="preserve">215</w:t>
            </w:r>
          </w:p>
        </w:tc>
        <w:tc>
          <w:tcPr/>
          <w:p>
            <w:pPr>
              <w:pStyle w:val="Compact"/>
              <w:jc w:val="right"/>
            </w:pPr>
            <w:r>
              <w:t xml:space="preserve">4.318</w:t>
            </w:r>
          </w:p>
        </w:tc>
      </w:tr>
    </w:tbl>
    <w:p>
      <w:pPr>
        <w:pStyle w:val="BodyText"/>
      </w:pPr>
      <w:r>
        <w:t xml:space="preserve">* Qiagen NV ist niederländisch domiziliert und unterliegt der niederländischen SRD-II-Umsetzung (art 2:167 BW); die hier angesetzten 1,5 % der Bilanzsumme dienen als Vergleichsproxy.</w:t>
      </w:r>
    </w:p>
    <w:p>
      <w:pPr>
        <w:pStyle w:val="BodyText"/>
      </w:pPr>
      <w:r>
        <w:t xml:space="preserve">Der</w:t>
      </w:r>
      <w:r>
        <w:t xml:space="preserve"> </w:t>
      </w:r>
      <w:r>
        <w:rPr>
          <w:bCs/>
          <w:b/>
        </w:rPr>
        <w:t xml:space="preserve">zentrale Befund</w:t>
      </w:r>
      <w:r>
        <w:t xml:space="preserve"> </w:t>
      </w:r>
      <w:r>
        <w:t xml:space="preserve">ist unmittelbar ablesbar: Trotz der nominell höheren Prozentquote im österreichischen Recht (5 % gegenüber 1,5 % in Deutschland) liegt der Median des absoluten Schwellenbetrags bei ATX-Emittenten ungefähr eine Größenordnung</w:t>
      </w:r>
      <w:r>
        <w:t xml:space="preserve"> </w:t>
      </w:r>
      <w:r>
        <w:rPr>
          <w:iCs/>
          <w:i/>
        </w:rPr>
        <w:t xml:space="preserve">unter</w:t>
      </w:r>
      <w:r>
        <w:t xml:space="preserve"> </w:t>
      </w:r>
      <w:r>
        <w:t xml:space="preserve">dem DAX-Median (EUR 108 Mio. gegenüber EUR 1.000 Mio., Faktor 9,3×). Die</w:t>
      </w:r>
      <w:r>
        <w:t xml:space="preserve"> </w:t>
      </w:r>
      <w:r>
        <w:rPr>
          <w:iCs/>
          <w:i/>
        </w:rPr>
        <w:t xml:space="preserve">Streuung</w:t>
      </w:r>
      <w:r>
        <w:t xml:space="preserve"> </w:t>
      </w:r>
      <w:r>
        <w:t xml:space="preserve">ist im DAX zudem deutlich breiter (Standardabweichung EUR 4,3 Mrd. gegenüber EUR 215 Mio. im ATX), was die Heterogenität des DAX zwischen kleineren Spezialwerten (Qiagen, Symrise, Zalando) und Großbanken/Versicherern (Deutsche Bank, Allianz) widerspiegelt.</w:t>
      </w:r>
    </w:p>
    <w:p>
      <w:pPr>
        <w:pStyle w:val="BodyText"/>
      </w:pPr>
      <w:r>
        <w:t xml:space="preserve">Die Erklärung der Differenz hat zwei Komponenten:</w:t>
      </w:r>
    </w:p>
    <w:p>
      <w:pPr>
        <w:numPr>
          <w:ilvl w:val="0"/>
          <w:numId w:val="1003"/>
        </w:numPr>
        <w:pStyle w:val="Compact"/>
      </w:pPr>
      <w:r>
        <w:t xml:space="preserve">Der reine</w:t>
      </w:r>
      <w:r>
        <w:t xml:space="preserve"> </w:t>
      </w:r>
      <w:r>
        <w:rPr>
          <w:bCs/>
          <w:b/>
        </w:rPr>
        <w:t xml:space="preserve">Größeneffekt</w:t>
      </w:r>
      <w:r>
        <w:t xml:space="preserve">: Der Median der Bilanzsumme im ATX beträgt rund EUR 9 Mrd., im DAX rund EUR 67 Mrd. — ein Faktor von rund 7,4×.</w:t>
      </w:r>
    </w:p>
    <w:p>
      <w:pPr>
        <w:numPr>
          <w:ilvl w:val="0"/>
          <w:numId w:val="1003"/>
        </w:numPr>
        <w:pStyle w:val="Compact"/>
      </w:pPr>
      <w:r>
        <w:t xml:space="preserve">Der</w:t>
      </w:r>
      <w:r>
        <w:t xml:space="preserve"> </w:t>
      </w:r>
      <w:r>
        <w:rPr>
          <w:bCs/>
          <w:b/>
        </w:rPr>
        <w:t xml:space="preserve">Formeleffekt</w:t>
      </w:r>
      <w:r>
        <w:t xml:space="preserve"> </w:t>
      </w:r>
      <w:r>
        <w:t xml:space="preserve">der österreichischen 2,5 %-Umsatzregel: Bei einem typischen Industrieemittenten (Bilanzsumme ≈ Umsatzhöhe) bindet die 2,5 %-Umsatzregel statt der 5 %-Bilanzregel — sie ist mathematisch das Äquivalent einer 2,5 %-Bilanzregel, also strenger als die deutsche 1,5 %-Quote, sobald die Umsatzgröße in der Nähe der Bilanzsumme liegt. Bei umsatzschwachen Emittenten (Immobilien: Umsatz nur ein Bruchteil der Bilanzsumme) bindet die Umsatzregel sogar deutlich strenger als 1,5 % vom Bilanzvolumen — CA Immo ist das extreme Beispiel: 2,5 % von EUR 239 Mio. Umsatzerlösen = EUR 6 Mio., während 1,5 % der Bilanzsumme EUR 90 Mio. ergeben hätten. Die österreichische Norm bindet hier</w:t>
      </w:r>
      <w:r>
        <w:t xml:space="preserve"> </w:t>
      </w:r>
      <w:r>
        <w:rPr>
          <w:iCs/>
          <w:i/>
        </w:rPr>
        <w:t xml:space="preserve">fünfzehnfach</w:t>
      </w:r>
      <w:r>
        <w:t xml:space="preserve"> </w:t>
      </w:r>
      <w:r>
        <w:t xml:space="preserve">strenger als die deutsche.</w:t>
      </w:r>
    </w:p>
    <w:p>
      <w:pPr>
        <w:pStyle w:val="FirstParagraph"/>
      </w:pPr>
      <w:r>
        <w:t xml:space="preserve">Zusammen führen beide Effekte zu dem in Abbildung 1 visualisierten Bild: Die Verteilung der absoluten Schwellen im ATX (orange) und im DAX (blau) überlappt sich nur schwach im mittleren Bereich; die Mediane sind durch fast eine Größenordnung getrennt.</w:t>
      </w:r>
    </w:p>
    <w:bookmarkEnd w:id="31"/>
    <w:bookmarkStart w:id="37" w:name="X23c738757b487251da0d95c76ae5c6c3d0ce10e"/>
    <w:p>
      <w:pPr>
        <w:pStyle w:val="Heading1"/>
      </w:pPr>
      <w:r>
        <w:t xml:space="preserve">V. Welche Geschäfte überschreiten die Schwelle?</w:t>
      </w:r>
    </w:p>
    <w:bookmarkStart w:id="33" w:name="X5058d47d3c3a9f9b94ebbf51cf2488cc01ccd4e"/>
    <w:p>
      <w:pPr>
        <w:pStyle w:val="Heading2"/>
      </w:pPr>
      <w:r>
        <w:t xml:space="preserve">1. Tatbestandsabgrenzung — was zählt überhaupt als</w:t>
      </w:r>
      <w:r>
        <w:t xml:space="preserve"> </w:t>
      </w:r>
      <w:r>
        <w:t xml:space="preserve">“</w:t>
      </w:r>
      <w:r>
        <w:t xml:space="preserve">Geschäft</w:t>
      </w:r>
      <w:r>
        <w:t xml:space="preserve">”</w:t>
      </w:r>
    </w:p>
    <w:p>
      <w:pPr>
        <w:pStyle w:val="FirstParagraph"/>
      </w:pPr>
      <w:r>
        <w:t xml:space="preserve">Bevor die empirische Frage</w:t>
      </w:r>
      <w:r>
        <w:t xml:space="preserve"> </w:t>
      </w:r>
      <w:r>
        <w:t xml:space="preserve">“</w:t>
      </w:r>
      <w:r>
        <w:t xml:space="preserve">wer überschreitet?</w:t>
      </w:r>
      <w:r>
        <w:t xml:space="preserve">”</w:t>
      </w:r>
      <w:r>
        <w:t xml:space="preserve"> </w:t>
      </w:r>
      <w:r>
        <w:t xml:space="preserve">beantwortet wird, ist eine Abgrenzung notwendig, die im laufenden Anwendungs</w:t>
      </w:r>
      <w:r>
        <w:softHyphen/>
      </w:r>
      <w:r>
        <w:t xml:space="preserve">diskurs nicht immer klar getroffen wird. Folgende Vorgänge, die in den IAS-24-Anhangabschnitten der Konzernabschlüsse auftauchen, fallen</w:t>
      </w:r>
      <w:r>
        <w:t xml:space="preserve"> </w:t>
      </w:r>
      <w:r>
        <w:rPr>
          <w:iCs/>
          <w:i/>
        </w:rPr>
        <w:t xml:space="preserve">nicht</w:t>
      </w:r>
      <w:r>
        <w:t xml:space="preserve"> </w:t>
      </w:r>
      <w:r>
        <w:t xml:space="preserve">unter den Tatbestand des § 95a AktG bzw § 111a dAktG und sind daher auch nicht Gegenstand einer</w:t>
      </w:r>
      <w:r>
        <w:t xml:space="preserve"> </w:t>
      </w:r>
      <w:r>
        <w:t xml:space="preserve">“</w:t>
      </w:r>
      <w:r>
        <w:t xml:space="preserve">Ausnahme</w:t>
      </w:r>
      <w:r>
        <w:t xml:space="preserve">”</w:t>
      </w:r>
      <w:r>
        <w:t xml:space="preserve">:</w:t>
      </w:r>
    </w:p>
    <w:p>
      <w:pPr>
        <w:numPr>
          <w:ilvl w:val="0"/>
          <w:numId w:val="1004"/>
        </w:numPr>
        <w:pStyle w:val="Compact"/>
      </w:pPr>
      <w:r>
        <w:rPr>
          <w:bCs/>
          <w:b/>
        </w:rPr>
        <w:t xml:space="preserve">Anteilige Dividenden an alle Aktionäre.</w:t>
      </w:r>
      <w:r>
        <w:t xml:space="preserve"> </w:t>
      </w:r>
      <w:r>
        <w:t xml:space="preserve">Die Dividende fließt dem kontrollierenden Gesellschafter</w:t>
      </w:r>
      <w:r>
        <w:t xml:space="preserve"> </w:t>
      </w:r>
      <w:r>
        <w:rPr>
          <w:iCs/>
          <w:i/>
        </w:rPr>
        <w:t xml:space="preserve">qua Aktionärsstellung</w:t>
      </w:r>
      <w:r>
        <w:t xml:space="preserve"> </w:t>
      </w:r>
      <w:r>
        <w:t xml:space="preserve">zu, nicht</w:t>
      </w:r>
      <w:r>
        <w:t xml:space="preserve"> </w:t>
      </w:r>
      <w:r>
        <w:rPr>
          <w:iCs/>
          <w:i/>
        </w:rPr>
        <w:t xml:space="preserve">qua nahestehender Person</w:t>
      </w:r>
      <w:r>
        <w:t xml:space="preserve">. Sie ist daher kein</w:t>
      </w:r>
      <w:r>
        <w:t xml:space="preserve"> </w:t>
      </w:r>
      <w:r>
        <w:t xml:space="preserve">“</w:t>
      </w:r>
      <w:r>
        <w:t xml:space="preserve">Geschäft mit einer nahestehenden Person</w:t>
      </w:r>
      <w:r>
        <w:t xml:space="preserve">”</w:t>
      </w:r>
      <w:r>
        <w:t xml:space="preserve"> </w:t>
      </w:r>
      <w:r>
        <w:t xml:space="preserve">iSd § 95a AktG. Aus diesem Grund nennt § 111a Abs 3 Nr 3 dAktG die</w:t>
      </w:r>
      <w:r>
        <w:t xml:space="preserve"> </w:t>
      </w:r>
      <w:r>
        <w:t xml:space="preserve">“</w:t>
      </w:r>
      <w:r>
        <w:t xml:space="preserve">Geschäfte, die einem Ausschüttungsanspruch entsprechen, der allen Aktionären zusteht</w:t>
      </w:r>
      <w:r>
        <w:t xml:space="preserve">”</w:t>
      </w:r>
      <w:r>
        <w:t xml:space="preserve"> </w:t>
      </w:r>
      <w:r>
        <w:t xml:space="preserve">auch als ausgeschlossen — präziser formuliert: als außerhalb des Tatbestands. § 95d AktG enthält die parallele Ausschließung.</w:t>
      </w:r>
    </w:p>
    <w:p>
      <w:pPr>
        <w:numPr>
          <w:ilvl w:val="0"/>
          <w:numId w:val="1004"/>
        </w:numPr>
        <w:pStyle w:val="Compact"/>
      </w:pPr>
      <w:r>
        <w:rPr>
          <w:bCs/>
          <w:b/>
        </w:rPr>
        <w:t xml:space="preserve">Bestandsgrößen aus früheren Geschäftsabschlüssen.</w:t>
      </w:r>
      <w:r>
        <w:t xml:space="preserve"> </w:t>
      </w:r>
      <w:r>
        <w:t xml:space="preserve">§ 95a AktG / § 111a dAktG knüpft an</w:t>
      </w:r>
      <w:r>
        <w:t xml:space="preserve"> </w:t>
      </w:r>
      <w:r>
        <w:rPr>
          <w:iCs/>
          <w:i/>
        </w:rPr>
        <w:t xml:space="preserve">abgeschlossene Geschäfte</w:t>
      </w:r>
      <w:r>
        <w:t xml:space="preserve"> </w:t>
      </w:r>
      <w:r>
        <w:t xml:space="preserve">an. Eine bilanzielle Forderung oder Verbindlichkeit, die aus einer in einem früheren Jahr abgeschlossenen Transaktion stammt (etwa eine Sale-and-Leaseback-Verbindlichkeit aus 2023 oder eine konzerninterne Finanzverbindlichkeit aus den 1980er Jahren), erfüllt im laufenden Berichtsjahr keinen</w:t>
      </w:r>
      <w:r>
        <w:t xml:space="preserve"> </w:t>
      </w:r>
      <w:r>
        <w:rPr>
          <w:iCs/>
          <w:i/>
        </w:rPr>
        <w:t xml:space="preserve">neuen</w:t>
      </w:r>
      <w:r>
        <w:t xml:space="preserve"> </w:t>
      </w:r>
      <w:r>
        <w:t xml:space="preserve">Tatbestand. Der Tatbestand war bei Abschluss zu prüfen, nicht jährlich neu.</w:t>
      </w:r>
    </w:p>
    <w:p>
      <w:pPr>
        <w:numPr>
          <w:ilvl w:val="0"/>
          <w:numId w:val="1004"/>
        </w:numPr>
        <w:pStyle w:val="Compact"/>
      </w:pPr>
      <w:r>
        <w:rPr>
          <w:bCs/>
          <w:b/>
        </w:rPr>
        <w:t xml:space="preserve">Vorstandsvergütungen</w:t>
      </w:r>
      <w:r>
        <w:t xml:space="preserve"> </w:t>
      </w:r>
      <w:r>
        <w:t xml:space="preserve">sind nach § 95a AktG bzw § 111a dAktG eigens ausgenommen, weil ihre Transparenz durch den separat veröffentlichten Vergütungsbericht (§ 78c AktG / § 162 dAktG) gewährleistet ist.</w:t>
      </w:r>
    </w:p>
    <w:p>
      <w:pPr>
        <w:pStyle w:val="FirstParagraph"/>
      </w:pPr>
      <w:r>
        <w:t xml:space="preserve">Diese drei Fallgruppen sind aus dem empirischen Test ausgeklammert.</w:t>
      </w:r>
      <w:r>
        <w:rPr>
          <w:rStyle w:val="FootnoteReference"/>
        </w:rPr>
        <w:footnoteReference w:id="32"/>
      </w:r>
      <w:r>
        <w:t xml:space="preserve"> </w:t>
      </w:r>
      <w:r>
        <w:t xml:space="preserve">Eine ungeprüfte Aufnahme würde den Befund quantitativ aufblähen, ohne ihn rechtlich aussagekräftiger zu machen.</w:t>
      </w:r>
    </w:p>
    <w:bookmarkEnd w:id="33"/>
    <w:bookmarkStart w:id="34" w:name="X34de07f0df28e91df786f3b48ba2f743bf7010d"/>
    <w:p>
      <w:pPr>
        <w:pStyle w:val="Heading2"/>
      </w:pPr>
      <w:r>
        <w:t xml:space="preserve">2. Bereinigte Liste der nominellen Überschreiter</w:t>
      </w:r>
    </w:p>
    <w:p>
      <w:pPr>
        <w:pStyle w:val="FirstParagraph"/>
      </w:pPr>
      <w:r>
        <w:t xml:space="preserve">Nach Bereinigung um Pro-rata-Dividenden (5 Fälle: CA Immo, Verbund, EVN-empfangene Dividende vom Verbund-Beteiligungsunternehmen, Porsche SE, Erste Group) und Bestandsgrößen aus früheren Jahren (2 Fälle: Merck KGaA, Deutsche Telekom) verbleiben</w:t>
      </w:r>
      <w:r>
        <w:t xml:space="preserve"> </w:t>
      </w:r>
      <w:r>
        <w:rPr>
          <w:bCs/>
          <w:b/>
        </w:rPr>
        <w:t xml:space="preserve">elf Emittenten</w:t>
      </w:r>
      <w:r>
        <w:t xml:space="preserve">, deren größter quantifiziert offengelegter RPT-Einzelposten den bindenden Schwellenwert numerisch überschreitet (Tabelle 2). Hinzu kommt ein zwölfter Sonderfall — PIERER Mobility — dessen Einordnung sub specie § 95a AktG offen ist und im Folgenden gesondert erörtert wird.</w:t>
      </w:r>
    </w:p>
    <w:p>
      <w:pPr>
        <w:pStyle w:val="BodyText"/>
      </w:pPr>
      <w:r>
        <w:rPr>
          <w:bCs/>
          <w:b/>
        </w:rPr>
        <w:t xml:space="preserve">Tabelle 2: Emittenten mit RPT-Einzelposten oberhalb der bindenden Schwelle (bereinigt, FY2024)</w:t>
      </w:r>
    </w:p>
    <w:tbl>
      <w:tblPr>
        <w:tblStyle w:val="Table"/>
        <w:tblW w:type="pct" w:w="5000"/>
        <w:tblLook w:firstRow="1" w:lastRow="0" w:firstColumn="0" w:lastColumn="0" w:noHBand="0" w:noVBand="0" w:val="0020"/>
        <w:jc w:val="start"/>
      </w:tblPr>
      <w:tblGrid>
        <w:gridCol w:w="1267"/>
        <w:gridCol w:w="950"/>
        <w:gridCol w:w="950"/>
        <w:gridCol w:w="1267"/>
        <w:gridCol w:w="1267"/>
        <w:gridCol w:w="1267"/>
        <w:gridCol w:w="950"/>
      </w:tblGrid>
      <w:tr>
        <w:trPr>
          <w:tblHeader w:val="true"/>
        </w:trPr>
        <w:tc>
          <w:tcPr/>
          <w:p>
            <w:pPr>
              <w:pStyle w:val="Compact"/>
              <w:jc w:val="right"/>
            </w:pPr>
            <w:r>
              <w:t xml:space="preserve">Rang</w:t>
            </w:r>
          </w:p>
        </w:tc>
        <w:tc>
          <w:tcPr/>
          <w:p>
            <w:pPr>
              <w:pStyle w:val="Compact"/>
              <w:jc w:val="left"/>
            </w:pPr>
            <w:r>
              <w:t xml:space="preserve">Emittent</w:t>
            </w:r>
          </w:p>
        </w:tc>
        <w:tc>
          <w:tcPr/>
          <w:p>
            <w:pPr>
              <w:pStyle w:val="Compact"/>
              <w:jc w:val="left"/>
            </w:pPr>
            <w:r>
              <w:t xml:space="preserve">Index</w:t>
            </w:r>
          </w:p>
        </w:tc>
        <w:tc>
          <w:tcPr/>
          <w:p>
            <w:pPr>
              <w:pStyle w:val="Compact"/>
              <w:jc w:val="right"/>
            </w:pPr>
            <w:r>
              <w:t xml:space="preserve">Größter RPT (EUR Mio.)</w:t>
            </w:r>
          </w:p>
        </w:tc>
        <w:tc>
          <w:tcPr/>
          <w:p>
            <w:pPr>
              <w:pStyle w:val="Compact"/>
              <w:jc w:val="right"/>
            </w:pPr>
            <w:r>
              <w:t xml:space="preserve">Schwelle (EUR Mio.)</w:t>
            </w:r>
          </w:p>
        </w:tc>
        <w:tc>
          <w:tcPr/>
          <w:p>
            <w:pPr>
              <w:pStyle w:val="Compact"/>
              <w:jc w:val="right"/>
            </w:pPr>
            <w:r>
              <w:t xml:space="preserve">Faktor</w:t>
            </w:r>
          </w:p>
        </w:tc>
        <w:tc>
          <w:tcPr/>
          <w:p>
            <w:pPr>
              <w:pStyle w:val="Compact"/>
              <w:jc w:val="left"/>
            </w:pPr>
            <w:r>
              <w:t xml:space="preserve">Einschlägige Ausnahme</w:t>
            </w:r>
          </w:p>
        </w:tc>
      </w:tr>
      <w:tr>
        <w:tc>
          <w:tcPr/>
          <w:p>
            <w:pPr>
              <w:pStyle w:val="Compact"/>
              <w:jc w:val="right"/>
            </w:pPr>
            <w:r>
              <w:t xml:space="preserve">1</w:t>
            </w:r>
          </w:p>
        </w:tc>
        <w:tc>
          <w:tcPr/>
          <w:p>
            <w:pPr>
              <w:pStyle w:val="Compact"/>
              <w:jc w:val="left"/>
            </w:pPr>
            <w:r>
              <w:t xml:space="preserve">Siemens Energy</w:t>
            </w:r>
          </w:p>
        </w:tc>
        <w:tc>
          <w:tcPr/>
          <w:p>
            <w:pPr>
              <w:pStyle w:val="Compact"/>
              <w:jc w:val="left"/>
            </w:pPr>
            <w:r>
              <w:t xml:space="preserve">DAX</w:t>
            </w:r>
          </w:p>
        </w:tc>
        <w:tc>
          <w:tcPr/>
          <w:p>
            <w:pPr>
              <w:pStyle w:val="Compact"/>
              <w:jc w:val="right"/>
            </w:pPr>
            <w:r>
              <w:t xml:space="preserve">2.081</w:t>
            </w:r>
          </w:p>
        </w:tc>
        <w:tc>
          <w:tcPr/>
          <w:p>
            <w:pPr>
              <w:pStyle w:val="Compact"/>
              <w:jc w:val="right"/>
            </w:pPr>
            <w:r>
              <w:t xml:space="preserve">841</w:t>
            </w:r>
          </w:p>
        </w:tc>
        <w:tc>
          <w:tcPr/>
          <w:p>
            <w:pPr>
              <w:pStyle w:val="Compact"/>
              <w:jc w:val="right"/>
            </w:pPr>
            <w:r>
              <w:t xml:space="preserve">2,5×</w:t>
            </w:r>
          </w:p>
        </w:tc>
        <w:tc>
          <w:tcPr/>
          <w:p>
            <w:pPr>
              <w:pStyle w:val="Compact"/>
              <w:jc w:val="left"/>
            </w:pPr>
            <w:r>
              <w:t xml:space="preserve">keine — Bekanntmachung Dezember 2023 erfolgt</w:t>
            </w:r>
          </w:p>
        </w:tc>
      </w:tr>
      <w:tr>
        <w:tc>
          <w:tcPr/>
          <w:p>
            <w:pPr>
              <w:pStyle w:val="Compact"/>
              <w:jc w:val="right"/>
            </w:pPr>
            <w:r>
              <w:t xml:space="preserve">2</w:t>
            </w:r>
          </w:p>
        </w:tc>
        <w:tc>
          <w:tcPr/>
          <w:p>
            <w:pPr>
              <w:pStyle w:val="Compact"/>
              <w:jc w:val="left"/>
            </w:pPr>
            <w:r>
              <w:t xml:space="preserve">BASF</w:t>
            </w:r>
          </w:p>
        </w:tc>
        <w:tc>
          <w:tcPr/>
          <w:p>
            <w:pPr>
              <w:pStyle w:val="Compact"/>
              <w:jc w:val="left"/>
            </w:pPr>
            <w:r>
              <w:t xml:space="preserve">DAX</w:t>
            </w:r>
          </w:p>
        </w:tc>
        <w:tc>
          <w:tcPr/>
          <w:p>
            <w:pPr>
              <w:pStyle w:val="Compact"/>
              <w:jc w:val="right"/>
            </w:pPr>
            <w:r>
              <w:t xml:space="preserve">2.943</w:t>
            </w:r>
          </w:p>
        </w:tc>
        <w:tc>
          <w:tcPr/>
          <w:p>
            <w:pPr>
              <w:pStyle w:val="Compact"/>
              <w:jc w:val="right"/>
            </w:pPr>
            <w:r>
              <w:t xml:space="preserve">1.206</w:t>
            </w:r>
          </w:p>
        </w:tc>
        <w:tc>
          <w:tcPr/>
          <w:p>
            <w:pPr>
              <w:pStyle w:val="Compact"/>
              <w:jc w:val="right"/>
            </w:pPr>
            <w:r>
              <w:t xml:space="preserve">2,4×</w:t>
            </w:r>
          </w:p>
        </w:tc>
        <w:tc>
          <w:tcPr/>
          <w:p>
            <w:pPr>
              <w:pStyle w:val="Compact"/>
              <w:jc w:val="left"/>
            </w:pPr>
            <w:r>
              <w:t xml:space="preserve">ordentlicher Geschäftsgang</w:t>
            </w:r>
          </w:p>
        </w:tc>
      </w:tr>
      <w:tr>
        <w:tc>
          <w:tcPr/>
          <w:p>
            <w:pPr>
              <w:pStyle w:val="Compact"/>
              <w:jc w:val="right"/>
            </w:pPr>
            <w:r>
              <w:t xml:space="preserve">3</w:t>
            </w:r>
          </w:p>
        </w:tc>
        <w:tc>
          <w:tcPr/>
          <w:p>
            <w:pPr>
              <w:pStyle w:val="Compact"/>
              <w:jc w:val="left"/>
            </w:pPr>
            <w:r>
              <w:t xml:space="preserve">Porsche AG</w:t>
            </w:r>
          </w:p>
        </w:tc>
        <w:tc>
          <w:tcPr/>
          <w:p>
            <w:pPr>
              <w:pStyle w:val="Compact"/>
              <w:jc w:val="left"/>
            </w:pPr>
            <w:r>
              <w:t xml:space="preserve">DAX</w:t>
            </w:r>
          </w:p>
        </w:tc>
        <w:tc>
          <w:tcPr/>
          <w:p>
            <w:pPr>
              <w:pStyle w:val="Compact"/>
              <w:jc w:val="right"/>
            </w:pPr>
            <w:r>
              <w:t xml:space="preserve">2.062</w:t>
            </w:r>
          </w:p>
        </w:tc>
        <w:tc>
          <w:tcPr/>
          <w:p>
            <w:pPr>
              <w:pStyle w:val="Compact"/>
              <w:jc w:val="right"/>
            </w:pPr>
            <w:r>
              <w:t xml:space="preserve">908</w:t>
            </w:r>
          </w:p>
        </w:tc>
        <w:tc>
          <w:tcPr/>
          <w:p>
            <w:pPr>
              <w:pStyle w:val="Compact"/>
              <w:jc w:val="right"/>
            </w:pPr>
            <w:r>
              <w:t xml:space="preserve">2,3×</w:t>
            </w:r>
          </w:p>
        </w:tc>
        <w:tc>
          <w:tcPr/>
          <w:p>
            <w:pPr>
              <w:pStyle w:val="Compact"/>
              <w:jc w:val="left"/>
            </w:pPr>
            <w:r>
              <w:t xml:space="preserve">Konzernprivileg (Tochterunternehmen)</w:t>
            </w:r>
          </w:p>
        </w:tc>
      </w:tr>
      <w:tr>
        <w:tc>
          <w:tcPr/>
          <w:p>
            <w:pPr>
              <w:pStyle w:val="Compact"/>
              <w:jc w:val="right"/>
            </w:pPr>
            <w:r>
              <w:t xml:space="preserve">4</w:t>
            </w:r>
          </w:p>
        </w:tc>
        <w:tc>
          <w:tcPr/>
          <w:p>
            <w:pPr>
              <w:pStyle w:val="Compact"/>
              <w:jc w:val="left"/>
            </w:pPr>
            <w:r>
              <w:t xml:space="preserve">Siemens Healthineers</w:t>
            </w:r>
          </w:p>
        </w:tc>
        <w:tc>
          <w:tcPr/>
          <w:p>
            <w:pPr>
              <w:pStyle w:val="Compact"/>
              <w:jc w:val="left"/>
            </w:pPr>
            <w:r>
              <w:t xml:space="preserve">DAX</w:t>
            </w:r>
          </w:p>
        </w:tc>
        <w:tc>
          <w:tcPr/>
          <w:p>
            <w:pPr>
              <w:pStyle w:val="Compact"/>
              <w:jc w:val="right"/>
            </w:pPr>
            <w:r>
              <w:t xml:space="preserve">1.500</w:t>
            </w:r>
          </w:p>
        </w:tc>
        <w:tc>
          <w:tcPr/>
          <w:p>
            <w:pPr>
              <w:pStyle w:val="Compact"/>
              <w:jc w:val="right"/>
            </w:pPr>
            <w:r>
              <w:t xml:space="preserve">691</w:t>
            </w:r>
          </w:p>
        </w:tc>
        <w:tc>
          <w:tcPr/>
          <w:p>
            <w:pPr>
              <w:pStyle w:val="Compact"/>
              <w:jc w:val="right"/>
            </w:pPr>
            <w:r>
              <w:t xml:space="preserve">2,2×</w:t>
            </w:r>
          </w:p>
        </w:tc>
        <w:tc>
          <w:tcPr/>
          <w:p>
            <w:pPr>
              <w:pStyle w:val="Compact"/>
              <w:jc w:val="left"/>
            </w:pPr>
            <w:r>
              <w:t xml:space="preserve">Konzernprivileg</w:t>
            </w:r>
          </w:p>
        </w:tc>
      </w:tr>
      <w:tr>
        <w:tc>
          <w:tcPr/>
          <w:p>
            <w:pPr>
              <w:pStyle w:val="Compact"/>
              <w:jc w:val="right"/>
            </w:pPr>
            <w:r>
              <w:t xml:space="preserve">5</w:t>
            </w:r>
          </w:p>
        </w:tc>
        <w:tc>
          <w:tcPr/>
          <w:p>
            <w:pPr>
              <w:pStyle w:val="Compact"/>
              <w:jc w:val="left"/>
            </w:pPr>
            <w:r>
              <w:t xml:space="preserve">Telekom Austria</w:t>
            </w:r>
          </w:p>
        </w:tc>
        <w:tc>
          <w:tcPr/>
          <w:p>
            <w:pPr>
              <w:pStyle w:val="Compact"/>
              <w:jc w:val="left"/>
            </w:pPr>
            <w:r>
              <w:t xml:space="preserve">ATX</w:t>
            </w:r>
          </w:p>
        </w:tc>
        <w:tc>
          <w:tcPr/>
          <w:p>
            <w:pPr>
              <w:pStyle w:val="Compact"/>
              <w:jc w:val="right"/>
            </w:pPr>
            <w:r>
              <w:t xml:space="preserve">243</w:t>
            </w:r>
          </w:p>
        </w:tc>
        <w:tc>
          <w:tcPr/>
          <w:p>
            <w:pPr>
              <w:pStyle w:val="Compact"/>
              <w:jc w:val="right"/>
            </w:pPr>
            <w:r>
              <w:t xml:space="preserve">135</w:t>
            </w:r>
          </w:p>
        </w:tc>
        <w:tc>
          <w:tcPr/>
          <w:p>
            <w:pPr>
              <w:pStyle w:val="Compact"/>
              <w:jc w:val="right"/>
            </w:pPr>
            <w:r>
              <w:t xml:space="preserve">1,8×</w:t>
            </w:r>
          </w:p>
        </w:tc>
        <w:tc>
          <w:tcPr/>
          <w:p>
            <w:pPr>
              <w:pStyle w:val="Compact"/>
              <w:jc w:val="left"/>
            </w:pPr>
            <w:r>
              <w:t xml:space="preserve">ordentlicher Geschäftsgang</w:t>
            </w:r>
          </w:p>
        </w:tc>
      </w:tr>
      <w:tr>
        <w:tc>
          <w:tcPr/>
          <w:p>
            <w:pPr>
              <w:pStyle w:val="Compact"/>
              <w:jc w:val="right"/>
            </w:pPr>
            <w:r>
              <w:t xml:space="preserve">6</w:t>
            </w:r>
          </w:p>
        </w:tc>
        <w:tc>
          <w:tcPr/>
          <w:p>
            <w:pPr>
              <w:pStyle w:val="Compact"/>
              <w:jc w:val="left"/>
            </w:pPr>
            <w:r>
              <w:t xml:space="preserve">OMV</w:t>
            </w:r>
          </w:p>
        </w:tc>
        <w:tc>
          <w:tcPr/>
          <w:p>
            <w:pPr>
              <w:pStyle w:val="Compact"/>
              <w:jc w:val="left"/>
            </w:pPr>
            <w:r>
              <w:t xml:space="preserve">ATX</w:t>
            </w:r>
          </w:p>
        </w:tc>
        <w:tc>
          <w:tcPr/>
          <w:p>
            <w:pPr>
              <w:pStyle w:val="Compact"/>
              <w:jc w:val="right"/>
            </w:pPr>
            <w:r>
              <w:t xml:space="preserve">1.228</w:t>
            </w:r>
          </w:p>
        </w:tc>
        <w:tc>
          <w:tcPr/>
          <w:p>
            <w:pPr>
              <w:pStyle w:val="Compact"/>
              <w:jc w:val="right"/>
            </w:pPr>
            <w:r>
              <w:t xml:space="preserve">850</w:t>
            </w:r>
          </w:p>
        </w:tc>
        <w:tc>
          <w:tcPr/>
          <w:p>
            <w:pPr>
              <w:pStyle w:val="Compact"/>
              <w:jc w:val="right"/>
            </w:pPr>
            <w:r>
              <w:t xml:space="preserve">1,4×</w:t>
            </w:r>
          </w:p>
        </w:tc>
        <w:tc>
          <w:tcPr/>
          <w:p>
            <w:pPr>
              <w:pStyle w:val="Compact"/>
              <w:jc w:val="left"/>
            </w:pPr>
            <w:r>
              <w:t xml:space="preserve">ordentlicher Geschäftsgang (Bürgschaft an JV)</w:t>
            </w:r>
          </w:p>
        </w:tc>
      </w:tr>
      <w:tr>
        <w:tc>
          <w:tcPr/>
          <w:p>
            <w:pPr>
              <w:pStyle w:val="Compact"/>
              <w:jc w:val="right"/>
            </w:pPr>
            <w:r>
              <w:t xml:space="preserve">7</w:t>
            </w:r>
          </w:p>
        </w:tc>
        <w:tc>
          <w:tcPr/>
          <w:p>
            <w:pPr>
              <w:pStyle w:val="Compact"/>
              <w:jc w:val="left"/>
            </w:pPr>
            <w:r>
              <w:t xml:space="preserve">Volkswagen</w:t>
            </w:r>
          </w:p>
        </w:tc>
        <w:tc>
          <w:tcPr/>
          <w:p>
            <w:pPr>
              <w:pStyle w:val="Compact"/>
              <w:jc w:val="left"/>
            </w:pPr>
            <w:r>
              <w:t xml:space="preserve">DAX</w:t>
            </w:r>
          </w:p>
        </w:tc>
        <w:tc>
          <w:tcPr/>
          <w:p>
            <w:pPr>
              <w:pStyle w:val="Compact"/>
              <w:jc w:val="right"/>
            </w:pPr>
            <w:r>
              <w:t xml:space="preserve">11.941</w:t>
            </w:r>
          </w:p>
        </w:tc>
        <w:tc>
          <w:tcPr/>
          <w:p>
            <w:pPr>
              <w:pStyle w:val="Compact"/>
              <w:jc w:val="right"/>
            </w:pPr>
            <w:r>
              <w:t xml:space="preserve">9.360</w:t>
            </w:r>
          </w:p>
        </w:tc>
        <w:tc>
          <w:tcPr/>
          <w:p>
            <w:pPr>
              <w:pStyle w:val="Compact"/>
              <w:jc w:val="right"/>
            </w:pPr>
            <w:r>
              <w:t xml:space="preserve">1,3×</w:t>
            </w:r>
          </w:p>
        </w:tc>
        <w:tc>
          <w:tcPr/>
          <w:p>
            <w:pPr>
              <w:pStyle w:val="Compact"/>
              <w:jc w:val="left"/>
            </w:pPr>
            <w:r>
              <w:t xml:space="preserve">ordentlicher Geschäftsgang</w:t>
            </w:r>
          </w:p>
        </w:tc>
      </w:tr>
      <w:tr>
        <w:tc>
          <w:tcPr/>
          <w:p>
            <w:pPr>
              <w:pStyle w:val="Compact"/>
              <w:jc w:val="right"/>
            </w:pPr>
            <w:r>
              <w:t xml:space="preserve">8</w:t>
            </w:r>
          </w:p>
        </w:tc>
        <w:tc>
          <w:tcPr/>
          <w:p>
            <w:pPr>
              <w:pStyle w:val="Compact"/>
              <w:jc w:val="left"/>
            </w:pPr>
            <w:r>
              <w:t xml:space="preserve">Infineon Technologies</w:t>
            </w:r>
          </w:p>
        </w:tc>
        <w:tc>
          <w:tcPr/>
          <w:p>
            <w:pPr>
              <w:pStyle w:val="Compact"/>
              <w:jc w:val="left"/>
            </w:pPr>
            <w:r>
              <w:t xml:space="preserve">DAX</w:t>
            </w:r>
          </w:p>
        </w:tc>
        <w:tc>
          <w:tcPr/>
          <w:p>
            <w:pPr>
              <w:pStyle w:val="Compact"/>
              <w:jc w:val="right"/>
            </w:pPr>
            <w:r>
              <w:t xml:space="preserve">500</w:t>
            </w:r>
          </w:p>
        </w:tc>
        <w:tc>
          <w:tcPr/>
          <w:p>
            <w:pPr>
              <w:pStyle w:val="Compact"/>
              <w:jc w:val="right"/>
            </w:pPr>
            <w:r>
              <w:t xml:space="preserve">420</w:t>
            </w:r>
          </w:p>
        </w:tc>
        <w:tc>
          <w:tcPr/>
          <w:p>
            <w:pPr>
              <w:pStyle w:val="Compact"/>
              <w:jc w:val="right"/>
            </w:pPr>
            <w:r>
              <w:t xml:space="preserve">1,2×</w:t>
            </w:r>
          </w:p>
        </w:tc>
        <w:tc>
          <w:tcPr/>
          <w:p>
            <w:pPr>
              <w:pStyle w:val="Compact"/>
              <w:jc w:val="left"/>
            </w:pPr>
            <w:r>
              <w:t xml:space="preserve">ordentlicher Geschäftsgang (Mehrjahrestranchen)</w:t>
            </w:r>
          </w:p>
        </w:tc>
      </w:tr>
      <w:tr>
        <w:tc>
          <w:tcPr/>
          <w:p>
            <w:pPr>
              <w:pStyle w:val="Compact"/>
              <w:jc w:val="right"/>
            </w:pPr>
            <w:r>
              <w:t xml:space="preserve">9</w:t>
            </w:r>
          </w:p>
        </w:tc>
        <w:tc>
          <w:tcPr/>
          <w:p>
            <w:pPr>
              <w:pStyle w:val="Compact"/>
              <w:jc w:val="left"/>
            </w:pPr>
            <w:r>
              <w:t xml:space="preserve">UNIQA Insurance Group</w:t>
            </w:r>
          </w:p>
        </w:tc>
        <w:tc>
          <w:tcPr/>
          <w:p>
            <w:pPr>
              <w:pStyle w:val="Compact"/>
              <w:jc w:val="left"/>
            </w:pPr>
            <w:r>
              <w:t xml:space="preserve">ATX</w:t>
            </w:r>
          </w:p>
        </w:tc>
        <w:tc>
          <w:tcPr/>
          <w:p>
            <w:pPr>
              <w:pStyle w:val="Compact"/>
              <w:jc w:val="right"/>
            </w:pPr>
            <w:r>
              <w:t xml:space="preserve">215</w:t>
            </w:r>
          </w:p>
        </w:tc>
        <w:tc>
          <w:tcPr/>
          <w:p>
            <w:pPr>
              <w:pStyle w:val="Compact"/>
              <w:jc w:val="right"/>
            </w:pPr>
            <w:r>
              <w:t xml:space="preserve">196</w:t>
            </w:r>
          </w:p>
        </w:tc>
        <w:tc>
          <w:tcPr/>
          <w:p>
            <w:pPr>
              <w:pStyle w:val="Compact"/>
              <w:jc w:val="right"/>
            </w:pPr>
            <w:r>
              <w:t xml:space="preserve">1,1×</w:t>
            </w:r>
          </w:p>
        </w:tc>
        <w:tc>
          <w:tcPr/>
          <w:p>
            <w:pPr>
              <w:pStyle w:val="Compact"/>
              <w:jc w:val="left"/>
            </w:pPr>
            <w:r>
              <w:t xml:space="preserve">Konzernprivileg</w:t>
            </w:r>
          </w:p>
        </w:tc>
      </w:tr>
      <w:tr>
        <w:tc>
          <w:tcPr/>
          <w:p>
            <w:pPr>
              <w:pStyle w:val="Compact"/>
              <w:jc w:val="right"/>
            </w:pPr>
            <w:r>
              <w:t xml:space="preserve">10</w:t>
            </w:r>
          </w:p>
        </w:tc>
        <w:tc>
          <w:tcPr/>
          <w:p>
            <w:pPr>
              <w:pStyle w:val="Compact"/>
              <w:jc w:val="left"/>
            </w:pPr>
            <w:r>
              <w:t xml:space="preserve">Zalando</w:t>
            </w:r>
          </w:p>
        </w:tc>
        <w:tc>
          <w:tcPr/>
          <w:p>
            <w:pPr>
              <w:pStyle w:val="Compact"/>
              <w:jc w:val="left"/>
            </w:pPr>
            <w:r>
              <w:t xml:space="preserve">DAX</w:t>
            </w:r>
          </w:p>
        </w:tc>
        <w:tc>
          <w:tcPr/>
          <w:p>
            <w:pPr>
              <w:pStyle w:val="Compact"/>
              <w:jc w:val="right"/>
            </w:pPr>
            <w:r>
              <w:t xml:space="preserve">122</w:t>
            </w:r>
          </w:p>
        </w:tc>
        <w:tc>
          <w:tcPr/>
          <w:p>
            <w:pPr>
              <w:pStyle w:val="Compact"/>
              <w:jc w:val="right"/>
            </w:pPr>
            <w:r>
              <w:t xml:space="preserve">120</w:t>
            </w:r>
          </w:p>
        </w:tc>
        <w:tc>
          <w:tcPr/>
          <w:p>
            <w:pPr>
              <w:pStyle w:val="Compact"/>
              <w:jc w:val="right"/>
            </w:pPr>
            <w:r>
              <w:t xml:space="preserve">1,0×</w:t>
            </w:r>
          </w:p>
        </w:tc>
        <w:tc>
          <w:tcPr/>
          <w:p>
            <w:pPr>
              <w:pStyle w:val="Compact"/>
              <w:jc w:val="left"/>
            </w:pPr>
            <w:r>
              <w:t xml:space="preserve">ordentlicher Geschäftsgang</w:t>
            </w:r>
          </w:p>
        </w:tc>
      </w:tr>
      <w:tr>
        <w:tc>
          <w:tcPr/>
          <w:p>
            <w:pPr>
              <w:pStyle w:val="Compact"/>
              <w:jc w:val="right"/>
            </w:pPr>
            <w:r>
              <w:t xml:space="preserve">(Sonderfall)</w:t>
            </w:r>
          </w:p>
        </w:tc>
        <w:tc>
          <w:tcPr/>
          <w:p>
            <w:pPr>
              <w:pStyle w:val="Compact"/>
              <w:jc w:val="left"/>
            </w:pPr>
            <w:r>
              <w:t xml:space="preserve">PIERER Mobility</w:t>
            </w:r>
          </w:p>
        </w:tc>
        <w:tc>
          <w:tcPr/>
          <w:p>
            <w:pPr>
              <w:pStyle w:val="Compact"/>
              <w:jc w:val="left"/>
            </w:pPr>
            <w:r>
              <w:t xml:space="preserve">ATX</w:t>
            </w:r>
          </w:p>
        </w:tc>
        <w:tc>
          <w:tcPr/>
          <w:p>
            <w:pPr>
              <w:pStyle w:val="Compact"/>
              <w:jc w:val="right"/>
            </w:pPr>
            <w:r>
              <w:t xml:space="preserve">372</w:t>
            </w:r>
          </w:p>
        </w:tc>
        <w:tc>
          <w:tcPr/>
          <w:p>
            <w:pPr>
              <w:pStyle w:val="Compact"/>
              <w:jc w:val="right"/>
            </w:pPr>
            <w:r>
              <w:t xml:space="preserve">47</w:t>
            </w:r>
          </w:p>
        </w:tc>
        <w:tc>
          <w:tcPr/>
          <w:p>
            <w:pPr>
              <w:pStyle w:val="Compact"/>
              <w:jc w:val="right"/>
            </w:pPr>
            <w:r>
              <w:t xml:space="preserve">7,9×</w:t>
            </w:r>
          </w:p>
        </w:tc>
        <w:tc>
          <w:tcPr/>
          <w:p>
            <w:pPr>
              <w:pStyle w:val="Compact"/>
              <w:jc w:val="left"/>
            </w:pPr>
            <w:r>
              <w:t xml:space="preserve">offen — siehe V.3</w:t>
            </w:r>
          </w:p>
        </w:tc>
      </w:tr>
    </w:tbl>
    <w:p>
      <w:pPr>
        <w:pStyle w:val="BodyText"/>
      </w:pPr>
      <w:r>
        <w:t xml:space="preserve">Die quantitative Verteilung der einschlägigen Ausnahmen ist eindeutig:</w:t>
      </w:r>
      <w:r>
        <w:t xml:space="preserve"> </w:t>
      </w:r>
      <w:r>
        <w:rPr>
          <w:bCs/>
          <w:b/>
        </w:rPr>
        <w:t xml:space="preserve">Sechs</w:t>
      </w:r>
      <w:r>
        <w:t xml:space="preserve"> </w:t>
      </w:r>
      <w:r>
        <w:t xml:space="preserve">der elf Fälle (55 %) werden durch die Ausnahme</w:t>
      </w:r>
      <w:r>
        <w:t xml:space="preserve"> </w:t>
      </w:r>
      <w:r>
        <w:t xml:space="preserve">“</w:t>
      </w:r>
      <w:r>
        <w:t xml:space="preserve">ordentlicher Geschäftsgang zu marktüblichen Bedingungen</w:t>
      </w:r>
      <w:r>
        <w:t xml:space="preserve">”</w:t>
      </w:r>
      <w:r>
        <w:t xml:space="preserve"> </w:t>
      </w:r>
      <w:r>
        <w:t xml:space="preserve">abgedeckt;</w:t>
      </w:r>
      <w:r>
        <w:t xml:space="preserve"> </w:t>
      </w:r>
      <w:r>
        <w:rPr>
          <w:bCs/>
          <w:b/>
        </w:rPr>
        <w:t xml:space="preserve">drei</w:t>
      </w:r>
      <w:r>
        <w:t xml:space="preserve"> </w:t>
      </w:r>
      <w:r>
        <w:t xml:space="preserve">Fälle (27 %) durch das Konzernprivileg für Tochterunternehmen; in</w:t>
      </w:r>
      <w:r>
        <w:t xml:space="preserve"> </w:t>
      </w:r>
      <w:r>
        <w:rPr>
          <w:bCs/>
          <w:b/>
        </w:rPr>
        <w:t xml:space="preserve">einem</w:t>
      </w:r>
      <w:r>
        <w:t xml:space="preserve"> </w:t>
      </w:r>
      <w:r>
        <w:t xml:space="preserve">Fall (Siemens Energy) ist die Ausnahme nicht einschlägig — der Emittent hat dort tatsächlich eine § 111c-Bekanntmachung publiziert (allerdings im Dezember 2023, also vor dem Kalenderjahr 2024).</w:t>
      </w:r>
    </w:p>
    <w:bookmarkEnd w:id="34"/>
    <w:bookmarkStart w:id="35" w:name="der-sonderfall-pierer-mobility"/>
    <w:p>
      <w:pPr>
        <w:pStyle w:val="Heading2"/>
      </w:pPr>
      <w:r>
        <w:t xml:space="preserve">3. Der Sonderfall PIERER Mobility</w:t>
      </w:r>
    </w:p>
    <w:p>
      <w:pPr>
        <w:pStyle w:val="FirstParagraph"/>
      </w:pPr>
      <w:r>
        <w:t xml:space="preserve">PIERER Mobility hat im November 2024 ihre Tochter KTM AG aus dem Konsolidierungskreis entlassen. Damit wurden die zuvor konzerninternen Forderungen — insbesondere eine Forderung der KTM AG gegen die PIERER New Mobility GmbH iHv rund EUR 372 Mio. — zu</w:t>
      </w:r>
      <w:r>
        <w:t xml:space="preserve"> </w:t>
      </w:r>
      <w:r>
        <w:rPr>
          <w:iCs/>
          <w:i/>
        </w:rPr>
        <w:t xml:space="preserve">interfremden</w:t>
      </w:r>
      <w:r>
        <w:t xml:space="preserve"> </w:t>
      </w:r>
      <w:r>
        <w:t xml:space="preserve">Forderungen, deren Gegenpartei nun als</w:t>
      </w:r>
      <w:r>
        <w:t xml:space="preserve"> </w:t>
      </w:r>
      <w:r>
        <w:rPr>
          <w:iCs/>
          <w:i/>
        </w:rPr>
        <w:t xml:space="preserve">assoziiertes</w:t>
      </w:r>
      <w:r>
        <w:t xml:space="preserve"> </w:t>
      </w:r>
      <w:r>
        <w:t xml:space="preserve">(nicht mehr konsolidiertes) Unternehmen einzustufen ist. Damit stellen sich zwei Fragen, die in der bisherigen Kommentarliteratur soweit ersichtlich nicht ausgearbeitet worden sind:</w:t>
      </w:r>
    </w:p>
    <w:p>
      <w:pPr>
        <w:numPr>
          <w:ilvl w:val="0"/>
          <w:numId w:val="1005"/>
        </w:numPr>
        <w:pStyle w:val="Compact"/>
      </w:pPr>
      <w:r>
        <w:t xml:space="preserve">Ist die</w:t>
      </w:r>
      <w:r>
        <w:t xml:space="preserve"> </w:t>
      </w:r>
      <w:r>
        <w:rPr>
          <w:iCs/>
          <w:i/>
        </w:rPr>
        <w:t xml:space="preserve">Dekonsolidierung selbst</w:t>
      </w:r>
      <w:r>
        <w:t xml:space="preserve"> </w:t>
      </w:r>
      <w:r>
        <w:t xml:space="preserve">— also der Akt, durch den die Forderung erstmalig als RP-Forderung qualifiziert wird — ein</w:t>
      </w:r>
      <w:r>
        <w:t xml:space="preserve"> </w:t>
      </w:r>
      <w:r>
        <w:t xml:space="preserve">“</w:t>
      </w:r>
      <w:r>
        <w:t xml:space="preserve">Geschäft</w:t>
      </w:r>
      <w:r>
        <w:t xml:space="preserve">”</w:t>
      </w:r>
      <w:r>
        <w:t xml:space="preserve"> </w:t>
      </w:r>
      <w:r>
        <w:t xml:space="preserve">iSd § 95a AktG? Hierfür spricht, dass die zugrundeliegende Anteilsveränderung (Verlust der Kontrolle) eine eigenständige, neu abgeschlossene Transaktion ist; dagegen, dass die Forderung selbst nicht</w:t>
      </w:r>
      <w:r>
        <w:t xml:space="preserve"> </w:t>
      </w:r>
      <w:r>
        <w:rPr>
          <w:iCs/>
          <w:i/>
        </w:rPr>
        <w:t xml:space="preserve">neu abgeschlossen</w:t>
      </w:r>
      <w:r>
        <w:t xml:space="preserve"> </w:t>
      </w:r>
      <w:r>
        <w:t xml:space="preserve">wurde.</w:t>
      </w:r>
    </w:p>
    <w:p>
      <w:pPr>
        <w:numPr>
          <w:ilvl w:val="0"/>
          <w:numId w:val="1005"/>
        </w:numPr>
        <w:pStyle w:val="Compact"/>
      </w:pPr>
      <w:r>
        <w:t xml:space="preserve">Falls ja: greift der Ausnahmegrund</w:t>
      </w:r>
      <w:r>
        <w:t xml:space="preserve"> </w:t>
      </w:r>
      <w:r>
        <w:t xml:space="preserve">“</w:t>
      </w:r>
      <w:r>
        <w:t xml:space="preserve">Geschäfte mit Tochterunternehmen</w:t>
      </w:r>
      <w:r>
        <w:t xml:space="preserve">”</w:t>
      </w:r>
      <w:r>
        <w:t xml:space="preserve"> </w:t>
      </w:r>
      <w:r>
        <w:t xml:space="preserve">(§ 95d Z 1 AktG analog § 111a Abs 3 Nr 1 dAktG), wenn die Tochtereigenschaft gerade</w:t>
      </w:r>
      <w:r>
        <w:t xml:space="preserve"> </w:t>
      </w:r>
      <w:r>
        <w:rPr>
          <w:iCs/>
          <w:i/>
        </w:rPr>
        <w:t xml:space="preserve">durch</w:t>
      </w:r>
      <w:r>
        <w:t xml:space="preserve"> </w:t>
      </w:r>
      <w:r>
        <w:t xml:space="preserve">das Geschäft verloren geht?</w:t>
      </w:r>
    </w:p>
    <w:p>
      <w:pPr>
        <w:pStyle w:val="FirstParagraph"/>
      </w:pPr>
      <w:r>
        <w:t xml:space="preserve">In den von uns recherchierten EQS-Newsfeeds und IR-Mitteilungen von PIERER Mobility im Kalenderjahr 2024 wurde</w:t>
      </w:r>
      <w:r>
        <w:t xml:space="preserve"> </w:t>
      </w:r>
      <w:r>
        <w:rPr>
          <w:iCs/>
          <w:i/>
        </w:rPr>
        <w:t xml:space="preserve">keine</w:t>
      </w:r>
      <w:r>
        <w:t xml:space="preserve"> </w:t>
      </w:r>
      <w:r>
        <w:t xml:space="preserve">Bekanntmachung nach § 95c AktG publiziert. Die § 95a-/§ 95c-Bewertung der Dekonsolidierung bleibt damit ungeklärt und stellt aus Sicht des Verfassers eine offene methodische Frage dar, die für die Verwendung der Ausnahmegründe in vergleichbaren Carve-out-Konstellationen Bedeutung hat.</w:t>
      </w:r>
    </w:p>
    <w:bookmarkEnd w:id="35"/>
    <w:bookmarkStart w:id="36" w:name="Xef38cf0e852d8b17038ef9c71b6b07933bf3dc1"/>
    <w:p>
      <w:pPr>
        <w:pStyle w:val="Heading2"/>
      </w:pPr>
      <w:r>
        <w:t xml:space="preserve">4. Eine wichtige Einschränkung der Klassifikation</w:t>
      </w:r>
    </w:p>
    <w:p>
      <w:pPr>
        <w:pStyle w:val="FirstParagraph"/>
      </w:pPr>
      <w:r>
        <w:t xml:space="preserve">Die in Tabelle 2 ausgewiesenen Ausnahmen — insbesondere</w:t>
      </w:r>
      <w:r>
        <w:t xml:space="preserve"> </w:t>
      </w:r>
      <w:r>
        <w:t xml:space="preserve">“</w:t>
      </w:r>
      <w:r>
        <w:t xml:space="preserve">ordentlicher Geschäftsgang zu marktüblichen Bedingungen</w:t>
      </w:r>
      <w:r>
        <w:t xml:space="preserve">”</w:t>
      </w:r>
      <w:r>
        <w:t xml:space="preserve"> </w:t>
      </w:r>
      <w:r>
        <w:t xml:space="preserve">— sind</w:t>
      </w:r>
      <w:r>
        <w:t xml:space="preserve"> </w:t>
      </w:r>
      <w:r>
        <w:rPr>
          <w:iCs/>
          <w:i/>
        </w:rPr>
        <w:t xml:space="preserve">Emittentenklassifikationen</w:t>
      </w:r>
      <w:r>
        <w:t xml:space="preserve">, nicht objektiv-rechtlich überprüfte Befunde. In den hier betroffenen sechs Fällen (BASF mehrjährige PPA-Rahmenverträge mit JV-Partnern; Telekom Austria Master-Lease mit EuroTeleSites; OMV ECA-Bürgschaft für Borouge 4; Volkswagen Darlehen an die chinesischen JVs FAW/SAIC/JAC; Infineon mehrjährige Kapitaltranchen für das ESMC-JV in Dresden; Zalando laufende Wareneinkäufe von Bestseller-kontrollierten Marken) handelt es sich um ökonomisch</w:t>
      </w:r>
      <w:r>
        <w:t xml:space="preserve"> </w:t>
      </w:r>
      <w:r>
        <w:rPr>
          <w:iCs/>
          <w:i/>
        </w:rPr>
        <w:t xml:space="preserve">hochwesentliche</w:t>
      </w:r>
      <w:r>
        <w:t xml:space="preserve"> </w:t>
      </w:r>
      <w:r>
        <w:t xml:space="preserve">Vorgänge mit Volumina im einstelligen bis zweistelligen Milliarden-EUR-Bereich. Sie werden vom jeweiligen Emittenten — gestützt auf eine Bewertung durch den Prüfungsausschuss und den Abschlussprüfer — der Ausnahme zugeordnet. Eine</w:t>
      </w:r>
      <w:r>
        <w:t xml:space="preserve"> </w:t>
      </w:r>
      <w:r>
        <w:rPr>
          <w:iCs/>
          <w:i/>
        </w:rPr>
        <w:t xml:space="preserve">gerichtliche</w:t>
      </w:r>
      <w:r>
        <w:t xml:space="preserve"> </w:t>
      </w:r>
      <w:r>
        <w:t xml:space="preserve">Bestätigung der Reichweite dieser Ausnahme über mehrjährige Rahmenverträge mit JV-Partnern existiert weder in Österreich noch in Deutschland; die in der Lehre vereinzelt geäußerten Bedenken sind bisher nicht justiziabel geworden. Diese Selbstauskunftsstruktur ist im Anwendungsdiskurs zu berücksichtigen.</w:t>
      </w:r>
    </w:p>
    <w:bookmarkEnd w:id="36"/>
    <w:bookmarkEnd w:id="37"/>
    <w:bookmarkStart w:id="38" w:name="X78f085059707aee88e0dc310ab9978f8a684206"/>
    <w:p>
      <w:pPr>
        <w:pStyle w:val="Heading1"/>
      </w:pPr>
      <w:r>
        <w:t xml:space="preserve">VI. Anlassbezogene Bekanntmachungen — der Null-Befund</w:t>
      </w:r>
    </w:p>
    <w:p>
      <w:pPr>
        <w:pStyle w:val="FirstParagraph"/>
      </w:pPr>
      <w:r>
        <w:t xml:space="preserve">Die zentrale Beobachtung des FY2024-Datensatzes ist nicht die Zahl der nominellen Überschreitungen, sondern die Zahl der</w:t>
      </w:r>
      <w:r>
        <w:t xml:space="preserve"> </w:t>
      </w:r>
      <w:r>
        <w:rPr>
          <w:iCs/>
          <w:i/>
        </w:rPr>
        <w:t xml:space="preserve">tatsächlich publizierten Bekanntmachungen</w:t>
      </w:r>
      <w:r>
        <w:t xml:space="preserve">. Eine systematische Abfrage der einschlägigen IR-Seiten aller 60 Emittenten, ergänzt durch die EQS-, DGAP-, Wiener-Börse- und OeKB-Newsfeeds sowie den Bundesanzeiger über das volle Kalenderjahr 2024, ergibt ein eindeutiges Ergebnis:</w:t>
      </w:r>
      <w:r>
        <w:t xml:space="preserve"> </w:t>
      </w:r>
      <w:r>
        <w:rPr>
          <w:bCs/>
          <w:b/>
        </w:rPr>
        <w:t xml:space="preserve">Kein einziger der 60 Emittenten hat im Kalenderjahr 2024 eine Bekanntmachung nach § 95c AktG bzw § 111c dAktG publiziert</w:t>
      </w:r>
      <w:r>
        <w:t xml:space="preserve">.</w:t>
      </w:r>
    </w:p>
    <w:p>
      <w:pPr>
        <w:pStyle w:val="BodyText"/>
      </w:pPr>
      <w:r>
        <w:t xml:space="preserve">Die einzige zeitlich nahegelegene Bekanntmachung — die Veräußerung der 18-%-Beteiligung an Siemens Limited (Indien) durch Siemens Energy AG an Siemens AG für EUR 2.081 Mio. — datiert vom 8. Dezember 2023 und fällt damit außerhalb des untersuchten Kalenderjahres 2024 (allerdings innerhalb des gebrochenen Geschäftsjahres FY2023/24 von Siemens Energy). Selbst bei einer weiten Interpretation, die diesen Fall noch dem Berichtsjahr 2024 zurechnet, läge die Quote in der Vollerhebung von 60 Großemittenten bei</w:t>
      </w:r>
      <w:r>
        <w:t xml:space="preserve"> </w:t>
      </w:r>
      <w:r>
        <w:rPr>
          <w:iCs/>
          <w:i/>
        </w:rPr>
        <w:t xml:space="preserve">einer einzigen</w:t>
      </w:r>
      <w:r>
        <w:t xml:space="preserve"> </w:t>
      </w:r>
      <w:r>
        <w:t xml:space="preserve">Bekanntmachung über zwölf Monate.</w:t>
      </w:r>
    </w:p>
    <w:p>
      <w:pPr>
        <w:pStyle w:val="BodyText"/>
      </w:pPr>
      <w:r>
        <w:t xml:space="preserve">Die Diskrepanz zwischen elf nominellen Schwellenüberschreitungen (siehe V.) und null (bzw eins) tatsächlichen Bekanntmachungen ist die zentrale Pointe der Untersuchung. Sie ist</w:t>
      </w:r>
      <w:r>
        <w:t xml:space="preserve"> </w:t>
      </w:r>
      <w:r>
        <w:rPr>
          <w:iCs/>
          <w:i/>
        </w:rPr>
        <w:t xml:space="preserve">nicht</w:t>
      </w:r>
      <w:r>
        <w:t xml:space="preserve"> </w:t>
      </w:r>
      <w:r>
        <w:t xml:space="preserve">ein Hinweis darauf, dass das Recht nicht beachtet würde — der Befund ist mit den jeweiligen Ausnahmekatalogen vollständig konsistent. Sie ist vielmehr ein Hinweis darauf, dass die normative Architektur so angelegt ist, dass die</w:t>
      </w:r>
      <w:r>
        <w:t xml:space="preserve"> </w:t>
      </w:r>
      <w:r>
        <w:rPr>
          <w:iCs/>
          <w:i/>
        </w:rPr>
        <w:t xml:space="preserve">materiell</w:t>
      </w:r>
      <w:r>
        <w:t xml:space="preserve"> </w:t>
      </w:r>
      <w:r>
        <w:t xml:space="preserve">bedeutendsten Kategorien von RPT — Konzernfinanzierung, ordentlicher Bezug von Vorleistungen, Bürgschaften an JV-Partner — systematisch außerhalb des anlassbezogenen Veröffentlichungsregimes verbleiben. Die Transparenz dieser Geschäfte wird damit</w:t>
      </w:r>
      <w:r>
        <w:t xml:space="preserve"> </w:t>
      </w:r>
      <w:r>
        <w:rPr>
          <w:iCs/>
          <w:i/>
        </w:rPr>
        <w:t xml:space="preserve">faktisch</w:t>
      </w:r>
      <w:r>
        <w:t xml:space="preserve"> </w:t>
      </w:r>
      <w:r>
        <w:t xml:space="preserve">von der laufenden IAS-24-Anhangangabe getragen, nicht von der ARUG-II-/AktRÄG-2019-Architektur. Diese Beobachtung verdient eine differenzierte Würdigung.</w:t>
      </w:r>
    </w:p>
    <w:bookmarkEnd w:id="38"/>
    <w:bookmarkStart w:id="39" w:name="X514296e295cf6fa45bc9913dbc0f9ed4f923ae1"/>
    <w:p>
      <w:pPr>
        <w:pStyle w:val="Heading1"/>
      </w:pPr>
      <w:r>
        <w:t xml:space="preserve">VII. Strukturelle Gründe für den Null-Befund — der Ausnahmekatalog</w:t>
      </w:r>
    </w:p>
    <w:p>
      <w:pPr>
        <w:pStyle w:val="FirstParagraph"/>
      </w:pPr>
      <w:r>
        <w:t xml:space="preserve">Die Schwellenwert-Architektur war im Gesetzgebungsverfahren der SRD II ausdrücklich als ein</w:t>
      </w:r>
      <w:r>
        <w:t xml:space="preserve"> </w:t>
      </w:r>
      <w:r>
        <w:rPr>
          <w:iCs/>
          <w:i/>
        </w:rPr>
        <w:t xml:space="preserve">anlassbezogenes Filter</w:t>
      </w:r>
      <w:r>
        <w:t xml:space="preserve"> </w:t>
      </w:r>
      <w:r>
        <w:t xml:space="preserve">konzipiert: Nicht jeder, sondern nur der materiell und politisch sensible RPT-Vorgang sollte der zusätzlichen Genehmigungs- und Veröffentlichungspflicht unterworfen werden. Die Filterung wird normativ jedoch nicht durch die Schwellenhöhe allein bewirkt, sondern durch das Zusammenspiel mit dem Ausnahmekatalog. In dem hier untersuchten Datensatz lassen sich die Ausnahmegründe nach Reichweite gewichten:</w:t>
      </w:r>
    </w:p>
    <w:p>
      <w:pPr>
        <w:numPr>
          <w:ilvl w:val="0"/>
          <w:numId w:val="1006"/>
        </w:numPr>
        <w:pStyle w:val="Compact"/>
      </w:pPr>
      <w:r>
        <w:rPr>
          <w:bCs/>
          <w:b/>
        </w:rPr>
        <w:t xml:space="preserve">Ordentlicher Geschäftsgang / marktübliche Bedingungen</w:t>
      </w:r>
      <w:r>
        <w:t xml:space="preserve"> </w:t>
      </w:r>
      <w:r>
        <w:t xml:space="preserve">ist quantitativ der wichtigste Ausnahmegrund. In sechs der elf bereinigten Überschreiter-Fälle ist diese Ausnahme einschlägig. Die Reichweite ist breit; sie umfasst mehrjährige Rahmenverträge, Konzern-Cash-Pools, Konzern-Treasury-Strukturen, JV-Darlehen und laufende Liefer- und Leistungsbeziehungen. Ihre Anwendung beruht auf einer Bewertung durch den Vorstand, einer Bestätigung durch den Prüfungsausschuss und einer Prüfung durch den Abschlussprüfer — eine</w:t>
      </w:r>
      <w:r>
        <w:t xml:space="preserve"> </w:t>
      </w:r>
      <w:r>
        <w:rPr>
          <w:iCs/>
          <w:i/>
        </w:rPr>
        <w:t xml:space="preserve">justizielle</w:t>
      </w:r>
      <w:r>
        <w:t xml:space="preserve"> </w:t>
      </w:r>
      <w:r>
        <w:t xml:space="preserve">Konturierung fehlt.</w:t>
      </w:r>
    </w:p>
    <w:p>
      <w:pPr>
        <w:numPr>
          <w:ilvl w:val="0"/>
          <w:numId w:val="1006"/>
        </w:numPr>
        <w:pStyle w:val="Compact"/>
      </w:pPr>
      <w:r>
        <w:t xml:space="preserve">Das</w:t>
      </w:r>
      <w:r>
        <w:t xml:space="preserve"> </w:t>
      </w:r>
      <w:r>
        <w:rPr>
          <w:bCs/>
          <w:b/>
        </w:rPr>
        <w:t xml:space="preserve">Konzernprivileg</w:t>
      </w:r>
      <w:r>
        <w:t xml:space="preserve"> </w:t>
      </w:r>
      <w:r>
        <w:t xml:space="preserve">(Geschäfte mit vollkonsolidierten Tochterunternehmen) ist der zweitwichtigste Ausnahmegrund. Drei der elf Fälle (Porsche AG ↔ VW; Siemens Healthineers ↔ Siemens AG; UNIQA ↔ UNIQA Re) fallen in diese Kategorie. Die Ratio des Konzernprivilegs ist klar: konzerninterne Beziehungen werden bereits durch das Konzernrecht und die Vollkonsolidierung verlustfrei abgebildet; eine zusätzliche Bekanntmachungspflicht würde die operative Funktionsfähigkeit der Konzernfinanzierung empfindlich stören.</w:t>
      </w:r>
    </w:p>
    <w:p>
      <w:pPr>
        <w:numPr>
          <w:ilvl w:val="0"/>
          <w:numId w:val="1006"/>
        </w:numPr>
        <w:pStyle w:val="Compact"/>
      </w:pPr>
      <w:r>
        <w:t xml:space="preserve">Die</w:t>
      </w:r>
      <w:r>
        <w:t xml:space="preserve"> </w:t>
      </w:r>
      <w:r>
        <w:rPr>
          <w:bCs/>
          <w:b/>
        </w:rPr>
        <w:t xml:space="preserve">Pro-rata-Ausnahme</w:t>
      </w:r>
      <w:r>
        <w:t xml:space="preserve"> </w:t>
      </w:r>
      <w:r>
        <w:t xml:space="preserve">(anteilige Dividenden) ist konzeptionell keine Ausnahme im engeren Sinne, sondern eine</w:t>
      </w:r>
      <w:r>
        <w:t xml:space="preserve"> </w:t>
      </w:r>
      <w:r>
        <w:rPr>
          <w:iCs/>
          <w:i/>
        </w:rPr>
        <w:t xml:space="preserve">Tatbestandsabgrenzung</w:t>
      </w:r>
      <w:r>
        <w:t xml:space="preserve">: Dividenden an alle Aktionäre sind kein RP-Geschäft, weil der Mehrheitsgesellschafter sie</w:t>
      </w:r>
      <w:r>
        <w:t xml:space="preserve"> </w:t>
      </w:r>
      <w:r>
        <w:rPr>
          <w:iCs/>
          <w:i/>
        </w:rPr>
        <w:t xml:space="preserve">qua Aktionärsstellung</w:t>
      </w:r>
      <w:r>
        <w:t xml:space="preserve"> </w:t>
      </w:r>
      <w:r>
        <w:t xml:space="preserve">erhält. Diese Klärung ist normativ überzeugend, hat aber in der Praxis zur Folge, dass die volumetrisch häufig sehr großen Ausschüttungen an kontrollierende Gesellschafter dem § 95c-/§ 111c-Mechanismus nicht zugänglich sind. Aus Sicht der Transparenz ist das verschmerzbar, weil Dividenden ohnehin per Hauptversammlungsbeschluss und Ad-hoc-Mitteilung kommuniziert werden.</w:t>
      </w:r>
    </w:p>
    <w:p>
      <w:pPr>
        <w:pStyle w:val="FirstParagraph"/>
      </w:pPr>
      <w:r>
        <w:t xml:space="preserve">Eine Beobachtung am Rande: Die in der deutschen Norm zusätzlich enthaltene Ausnahme für</w:t>
      </w:r>
      <w:r>
        <w:t xml:space="preserve"> </w:t>
      </w:r>
      <w:r>
        <w:rPr>
          <w:bCs/>
          <w:b/>
        </w:rPr>
        <w:t xml:space="preserve">eigene Aktien</w:t>
      </w:r>
      <w:r>
        <w:t xml:space="preserve"> </w:t>
      </w:r>
      <w:r>
        <w:t xml:space="preserve">(§ 111a Abs 3 Nr 4 dAktG) hat im hier untersuchten Datensatz keine Bedeutung erlangt — Rückkaufprogramme wurden im IAS-24-Anhang regelmäßig nicht als RPT-Vorgang ausgewiesen.</w:t>
      </w:r>
    </w:p>
    <w:bookmarkEnd w:id="39"/>
    <w:bookmarkStart w:id="40" w:name="X570867c981af39b8c1a2c84038857f5b320662e"/>
    <w:p>
      <w:pPr>
        <w:pStyle w:val="Heading1"/>
      </w:pPr>
      <w:r>
        <w:t xml:space="preserve">VIII. Governance-Dimension — Doppelrolle des Aufsichtsrats</w:t>
      </w:r>
    </w:p>
    <w:p>
      <w:pPr>
        <w:pStyle w:val="FirstParagraph"/>
      </w:pPr>
      <w:r>
        <w:t xml:space="preserve">Eine Frage, die durch den hier dokumentierten Null-Befund an Bedeutung gewinnt, betrifft die</w:t>
      </w:r>
      <w:r>
        <w:t xml:space="preserve"> </w:t>
      </w:r>
      <w:r>
        <w:rPr>
          <w:iCs/>
          <w:i/>
        </w:rPr>
        <w:t xml:space="preserve">Governance</w:t>
      </w:r>
      <w:r>
        <w:t xml:space="preserve"> </w:t>
      </w:r>
      <w:r>
        <w:t xml:space="preserve">des Genehmigungsvorbehalts. Sowohl § 95b AktG als auch § 111b Abs 2 dAktG übertragen die Zustimmung über wesentliche RPT dem Aufsichtsrat — gerade in jenen Konstellationen, in denen der Aufsichtsrat häufig mit</w:t>
      </w:r>
      <w:r>
        <w:t xml:space="preserve"> </w:t>
      </w:r>
      <w:r>
        <w:rPr>
          <w:iCs/>
          <w:i/>
        </w:rPr>
        <w:t xml:space="preserve">Vertretern</w:t>
      </w:r>
      <w:r>
        <w:t xml:space="preserve"> </w:t>
      </w:r>
      <w:r>
        <w:t xml:space="preserve">der nahestehenden Person besetzt ist (typisches Beispiel: Familienmehrheit, Staatsbeteiligung, Foundation-Repräsentanten). Das Stimmverbot für betroffene RP-Mitglieder ist die einzige verfahrensrechtliche Schutzeinrichtung gegen die strukturelle Konfliktsituation; ob es ausreicht, hängt von der Mehrheit der nicht-RP-Mitglieder im Aufsichtsrat ab.</w:t>
      </w:r>
    </w:p>
    <w:p>
      <w:pPr>
        <w:pStyle w:val="BodyText"/>
      </w:pPr>
      <w:r>
        <w:t xml:space="preserve">In der ATX-Population sind die Vertretungen der nahestehenden Person im Aufsichtsrat in einer ganzen Reihe von Konstellationen signifikant: voestalpine (Kernaktionärssyndikat), Verbund (Republik Österreich + Landesbeteiligungen), Erste Group (ERSTE-Stiftung), Wienerberger (ANC Privatstiftung), CA Immo (Starwood). Im DAX gilt Vergleichbares für Henkel (Familienpool), Beiersdorf (maxingvest), Merck KGaA (E.-Merck-KG-Familienpool), Porsche AG (VW als Mehrheitsaktionär), Volkswagen (Porsche/Piëch-Familie via Porsche SE; Land Niedersachsen). Eine systematische Erhebung der Anteile der nicht-RP-Mitglieder im jeweiligen Prüfungsausschuss würde den Rahmen dieses Beitrags sprengen; die Frage, ob die existierende Governance-Architektur den Genehmigungsvorbehalt materiell trägt oder formal aushöhlt, wäre ein ergiebiges Folgethema.</w:t>
      </w:r>
    </w:p>
    <w:bookmarkEnd w:id="40"/>
    <w:bookmarkStart w:id="41" w:name="ix.-diskussion-und-schlussfolgerungen"/>
    <w:p>
      <w:pPr>
        <w:pStyle w:val="Heading1"/>
      </w:pPr>
      <w:r>
        <w:t xml:space="preserve">IX. Diskussion und Schlussfolgerungen</w:t>
      </w:r>
    </w:p>
    <w:p>
      <w:pPr>
        <w:numPr>
          <w:ilvl w:val="0"/>
          <w:numId w:val="1007"/>
        </w:numPr>
      </w:pPr>
      <w:r>
        <w:rPr>
          <w:bCs/>
          <w:b/>
        </w:rPr>
        <w:t xml:space="preserve">Die nominelle Schwellenwertasymmetrie zwischen Österreich und Deutschland ist empirisch zu großen Teilen umgekehrt.</w:t>
      </w:r>
      <w:r>
        <w:t xml:space="preserve"> </w:t>
      </w:r>
      <w:r>
        <w:t xml:space="preserve">Auf der relativen Ebene ist die österreichische Quote (5 % BS oder 2,5 % U) deutlich höher als die deutsche (1,5 % AV+UV). Auf der absoluten Ebene — der einzig anwendungsrelevanten — liegt der Median des österreichischen Schwellenbetrags um Faktor 9,3</w:t>
      </w:r>
      <w:r>
        <w:t xml:space="preserve"> </w:t>
      </w:r>
      <w:r>
        <w:rPr>
          <w:iCs/>
          <w:i/>
        </w:rPr>
        <w:t xml:space="preserve">unter</w:t>
      </w:r>
      <w:r>
        <w:t xml:space="preserve"> </w:t>
      </w:r>
      <w:r>
        <w:t xml:space="preserve">dem deutschen. Die Konstruktionsentscheidung des österreichischen Gesetzgebers, eine zusätzliche Umsatzbezugsgröße einzuführen, wirkt im Effekt nicht entlastend, sondern verschärfend — besonders bei umsatzschwachen Geschäftsmodellen.</w:t>
      </w:r>
    </w:p>
    <w:p>
      <w:pPr>
        <w:numPr>
          <w:ilvl w:val="0"/>
          <w:numId w:val="1007"/>
        </w:numPr>
      </w:pPr>
      <w:r>
        <w:rPr>
          <w:bCs/>
          <w:b/>
        </w:rPr>
        <w:t xml:space="preserve">Die häufig im Schrifttum geäußerte Vermutung, der österreichische Gesetzgeber habe eine</w:t>
      </w:r>
      <w:r>
        <w:rPr>
          <w:bCs/>
          <w:b/>
        </w:rPr>
        <w:t xml:space="preserve"> </w:t>
      </w:r>
      <w:r>
        <w:rPr>
          <w:bCs/>
          <w:b/>
        </w:rPr>
        <w:t xml:space="preserve">“</w:t>
      </w:r>
      <w:r>
        <w:rPr>
          <w:bCs/>
          <w:b/>
        </w:rPr>
        <w:t xml:space="preserve">großzügigere</w:t>
      </w:r>
      <w:r>
        <w:rPr>
          <w:bCs/>
          <w:b/>
        </w:rPr>
        <w:t xml:space="preserve">”</w:t>
      </w:r>
      <w:r>
        <w:rPr>
          <w:bCs/>
          <w:b/>
        </w:rPr>
        <w:t xml:space="preserve"> </w:t>
      </w:r>
      <w:r>
        <w:rPr>
          <w:bCs/>
          <w:b/>
        </w:rPr>
        <w:t xml:space="preserve">Schwelle gewählt, hält der empirischen Realität nicht stand.</w:t>
      </w:r>
      <w:r>
        <w:t xml:space="preserve"> </w:t>
      </w:r>
      <w:r>
        <w:t xml:space="preserve">Sie beruht auf einer ungeprüften Übertragung der relativen Prozente auf die absolute Ebene, ohne den Größenunterschied der Emittentengruppen zu berücksichtigen.</w:t>
      </w:r>
    </w:p>
    <w:p>
      <w:pPr>
        <w:numPr>
          <w:ilvl w:val="0"/>
          <w:numId w:val="1007"/>
        </w:numPr>
      </w:pPr>
      <w:r>
        <w:rPr>
          <w:bCs/>
          <w:b/>
        </w:rPr>
        <w:t xml:space="preserve">Die SRD-II-Anlassbekanntmachung ist im FY2024 in der hier vollständig erhobenen ATX-/DAX-Population</w:t>
      </w:r>
      <w:r>
        <w:rPr>
          <w:bCs/>
          <w:b/>
        </w:rPr>
        <w:t xml:space="preserve"> </w:t>
      </w:r>
      <w:r>
        <w:rPr>
          <w:iCs/>
          <w:i/>
          <w:bCs/>
          <w:b/>
        </w:rPr>
        <w:t xml:space="preserve">wirkungslos</w:t>
      </w:r>
      <w:r>
        <w:rPr>
          <w:bCs/>
          <w:b/>
        </w:rPr>
        <w:t xml:space="preserve"> </w:t>
      </w:r>
      <w:r>
        <w:rPr>
          <w:bCs/>
          <w:b/>
        </w:rPr>
        <w:t xml:space="preserve">geblieben.</w:t>
      </w:r>
      <w:r>
        <w:t xml:space="preserve"> </w:t>
      </w:r>
      <w:r>
        <w:t xml:space="preserve">Null Bekanntmachungen in 60 großen Emittenten über zwölf Monate sind ein bedeutsames empirisches Signal — kein Indiz für Normverstöße, sondern für die strukturelle Wirkung des Ausnahmekatalogs.</w:t>
      </w:r>
    </w:p>
    <w:p>
      <w:pPr>
        <w:numPr>
          <w:ilvl w:val="0"/>
          <w:numId w:val="1007"/>
        </w:numPr>
      </w:pPr>
      <w:r>
        <w:rPr>
          <w:bCs/>
          <w:b/>
        </w:rPr>
        <w:t xml:space="preserve">Die Wirkung der Ausnahmen lässt sich auf zwei breite Kategorien konzentrieren.</w:t>
      </w:r>
      <w:r>
        <w:t xml:space="preserve"> </w:t>
      </w:r>
      <w:r>
        <w:t xml:space="preserve">Sechs der elf bereinigten Überschreitungs-Fälle fallen unter</w:t>
      </w:r>
      <w:r>
        <w:t xml:space="preserve"> </w:t>
      </w:r>
      <w:r>
        <w:t xml:space="preserve">“</w:t>
      </w:r>
      <w:r>
        <w:t xml:space="preserve">ordentlicher Geschäftsgang zu marktüblichen Bedingungen</w:t>
      </w:r>
      <w:r>
        <w:t xml:space="preserve">”</w:t>
      </w:r>
      <w:r>
        <w:t xml:space="preserve">, drei weitere unter das Konzernprivileg. Damit absorbieren diese beiden Ausnahmegründe gemeinsam 82 % der bereinigten Überschreiter. Ihre Reichweite ist mithin</w:t>
      </w:r>
      <w:r>
        <w:t xml:space="preserve"> </w:t>
      </w:r>
      <w:r>
        <w:rPr>
          <w:iCs/>
          <w:i/>
        </w:rPr>
        <w:t xml:space="preserve">de facto</w:t>
      </w:r>
      <w:r>
        <w:t xml:space="preserve"> </w:t>
      </w:r>
      <w:r>
        <w:t xml:space="preserve">die entscheidende Variable des Regimes.</w:t>
      </w:r>
    </w:p>
    <w:p>
      <w:pPr>
        <w:numPr>
          <w:ilvl w:val="0"/>
          <w:numId w:val="1007"/>
        </w:numPr>
      </w:pPr>
      <w:r>
        <w:rPr>
          <w:bCs/>
          <w:b/>
        </w:rPr>
        <w:t xml:space="preserve">Die Reichweite der</w:t>
      </w:r>
      <w:r>
        <w:rPr>
          <w:bCs/>
          <w:b/>
        </w:rPr>
        <w:t xml:space="preserve"> </w:t>
      </w:r>
      <w:r>
        <w:rPr>
          <w:bCs/>
          <w:b/>
        </w:rPr>
        <w:t xml:space="preserve">“</w:t>
      </w:r>
      <w:r>
        <w:rPr>
          <w:bCs/>
          <w:b/>
        </w:rPr>
        <w:t xml:space="preserve">ordentlicher Geschäftsgang</w:t>
      </w:r>
      <w:r>
        <w:rPr>
          <w:bCs/>
          <w:b/>
        </w:rPr>
        <w:t xml:space="preserve">”</w:t>
      </w:r>
      <w:r>
        <w:rPr>
          <w:bCs/>
          <w:b/>
        </w:rPr>
        <w:t xml:space="preserve">-Ausnahme ist konzeptionell nicht ausreichend konturiert.</w:t>
      </w:r>
      <w:r>
        <w:t xml:space="preserve"> </w:t>
      </w:r>
      <w:r>
        <w:t xml:space="preserve">Sie wird gegenwärtig auf mehrjährige Rahmenverträge mit JV-Partnern, Konzern-Cash-Pools und Bürgschaften in Milliardenvolumen angewandt. Dass diese Vorgänge ökonomisch hoch wesentlich sind, ist offensichtlich; dass die Begründung ihrer Ausnahme allein durch die Berufung auf</w:t>
      </w:r>
      <w:r>
        <w:t xml:space="preserve"> </w:t>
      </w:r>
      <w:r>
        <w:t xml:space="preserve">“</w:t>
      </w:r>
      <w:r>
        <w:t xml:space="preserve">Marktüblichkeit</w:t>
      </w:r>
      <w:r>
        <w:t xml:space="preserve">”</w:t>
      </w:r>
      <w:r>
        <w:t xml:space="preserve"> </w:t>
      </w:r>
      <w:r>
        <w:t xml:space="preserve">konzeptionell dünn ist, ebenfalls. Eine</w:t>
      </w:r>
      <w:r>
        <w:t xml:space="preserve"> </w:t>
      </w:r>
      <w:r>
        <w:rPr>
          <w:iCs/>
          <w:i/>
        </w:rPr>
        <w:t xml:space="preserve">de lege ferenda</w:t>
      </w:r>
      <w:r>
        <w:t xml:space="preserve">-Diskussion über eine engere Konturierung dieser Ausnahme — etwa durch ergänzende Schwellenwerte für mehrjährige Rahmenverträge, Verrechnungspreis-Dokumentationspflichten oder eine quantifizierte Beschränkung des</w:t>
      </w:r>
      <w:r>
        <w:t xml:space="preserve"> </w:t>
      </w:r>
      <w:r>
        <w:t xml:space="preserve">“</w:t>
      </w:r>
      <w:r>
        <w:t xml:space="preserve">ordentlichen Geschäftsgangs</w:t>
      </w:r>
      <w:r>
        <w:t xml:space="preserve">”</w:t>
      </w:r>
      <w:r>
        <w:t xml:space="preserve"> </w:t>
      </w:r>
      <w:r>
        <w:t xml:space="preserve">auf operative, im Einzelgeschäft schwellenunkritische Vorgänge — wäre angezeigt.</w:t>
      </w:r>
    </w:p>
    <w:p>
      <w:pPr>
        <w:numPr>
          <w:ilvl w:val="0"/>
          <w:numId w:val="1007"/>
        </w:numPr>
      </w:pPr>
      <w:r>
        <w:rPr>
          <w:bCs/>
          <w:b/>
        </w:rPr>
        <w:t xml:space="preserve">Aus Sicht der Konzernabschluss-Disclosure ist der Befund von praktischer Bedeutung.</w:t>
      </w:r>
      <w:r>
        <w:t xml:space="preserve"> </w:t>
      </w:r>
      <w:r>
        <w:t xml:space="preserve">Da der Anlassbekanntmachungs-Mechanismus de facto leerläuft, übernimmt die laufende IAS-24-Anhangangabe die Transparenzfunktion vollständig. Emittenten sind gut beraten, die Schwellenwerte je Berichtsperiode</w:t>
      </w:r>
      <w:r>
        <w:t xml:space="preserve"> </w:t>
      </w:r>
      <w:r>
        <w:rPr>
          <w:iCs/>
          <w:i/>
        </w:rPr>
        <w:t xml:space="preserve">explizit</w:t>
      </w:r>
      <w:r>
        <w:t xml:space="preserve"> </w:t>
      </w:r>
      <w:r>
        <w:t xml:space="preserve">zu berechnen und die Anwendung der Ausnahmegründe in der Anhangangabe ausdrücklich zu benennen. Eine Praxis, die in den FY2024-Berichten erst von wenigen Emittenten (insbesondere Volkswagen, Porsche AG, Siemens Energy, BASF) konsequent geübt wird.</w:t>
      </w:r>
    </w:p>
    <w:bookmarkEnd w:id="41"/>
    <w:bookmarkStart w:id="42" w:name="x.-praktische-empfehlungen"/>
    <w:p>
      <w:pPr>
        <w:pStyle w:val="Heading1"/>
      </w:pPr>
      <w:r>
        <w:t xml:space="preserve">X. Praktische Empfehlungen</w:t>
      </w:r>
    </w:p>
    <w:p>
      <w:pPr>
        <w:pStyle w:val="FirstParagraph"/>
      </w:pPr>
      <w:r>
        <w:t xml:space="preserve">Vor Verabschiedung des nächsten Konzernabschlusses sollten Vorstand, Prüfungsausschuss und Abschlussprüfer:</w:t>
      </w:r>
    </w:p>
    <w:p>
      <w:pPr>
        <w:numPr>
          <w:ilvl w:val="0"/>
          <w:numId w:val="1008"/>
        </w:numPr>
      </w:pPr>
      <w:r>
        <w:t xml:space="preserve">die bindende SRD-II-Schwelle in EUR-Beträgen</w:t>
      </w:r>
      <w:r>
        <w:t xml:space="preserve"> </w:t>
      </w:r>
      <w:r>
        <w:rPr>
          <w:iCs/>
          <w:i/>
        </w:rPr>
        <w:t xml:space="preserve">explizit</w:t>
      </w:r>
      <w:r>
        <w:t xml:space="preserve"> </w:t>
      </w:r>
      <w:r>
        <w:t xml:space="preserve">berechnen und schriftlich dokumentieren — für österreichische Emittenten unter ausdrücklicher Ausweisung der</w:t>
      </w:r>
      <w:r>
        <w:t xml:space="preserve"> </w:t>
      </w:r>
      <w:r>
        <w:rPr>
          <w:iCs/>
          <w:i/>
        </w:rPr>
        <w:t xml:space="preserve">niedrigeren</w:t>
      </w:r>
      <w:r>
        <w:t xml:space="preserve"> </w:t>
      </w:r>
      <w:r>
        <w:t xml:space="preserve">der beiden Werte aus 5 % Bilanzsumme und 2,5 % Konzernumsatz;</w:t>
      </w:r>
    </w:p>
    <w:p>
      <w:pPr>
        <w:numPr>
          <w:ilvl w:val="0"/>
          <w:numId w:val="1008"/>
        </w:numPr>
      </w:pPr>
      <w:r>
        <w:t xml:space="preserve">sämtliche RPT-Einzelposten oberhalb der bindenden Schwelle in einer eigenen Liste erfassen und gegen die Ausnahmekataloge des § 95d AktG bzw § 111a Abs 3 dAktG abgleichen;</w:t>
      </w:r>
    </w:p>
    <w:p>
      <w:pPr>
        <w:numPr>
          <w:ilvl w:val="0"/>
          <w:numId w:val="1008"/>
        </w:numPr>
      </w:pPr>
      <w:r>
        <w:t xml:space="preserve">die jeweils einschlägige Ausnahme in der Anhangangabe</w:t>
      </w:r>
      <w:r>
        <w:t xml:space="preserve"> </w:t>
      </w:r>
      <w:r>
        <w:rPr>
          <w:iCs/>
          <w:i/>
        </w:rPr>
        <w:t xml:space="preserve">namentlich</w:t>
      </w:r>
      <w:r>
        <w:t xml:space="preserve"> </w:t>
      </w:r>
      <w:r>
        <w:t xml:space="preserve">benennen — die bloße Erwähnung der Schwelle ohne explizite Subsumtion lässt offen, ob das Genehmigungs- und Veröffentlichungsverfahren tatsächlich geprüft wurde;</w:t>
      </w:r>
    </w:p>
    <w:p>
      <w:pPr>
        <w:numPr>
          <w:ilvl w:val="0"/>
          <w:numId w:val="1008"/>
        </w:numPr>
      </w:pPr>
      <w:r>
        <w:t xml:space="preserve">bei Berufung auf den ordentlichen Geschäftsgang konkrete Belege für die Marktüblichkeit beibringen (Verrechnungspreis-Methodik, externe Benchmark-Vergleiche, Audit-Ausschuss-Protokolle), statt sich auf pauschale Formulierungen (</w:t>
      </w:r>
      <w:r>
        <w:t xml:space="preserve">“</w:t>
      </w:r>
      <w:r>
        <w:t xml:space="preserve">at arm’s length</w:t>
      </w:r>
      <w:r>
        <w:t xml:space="preserve">”</w:t>
      </w:r>
      <w:r>
        <w:t xml:space="preserve">) zu beschränken;</w:t>
      </w:r>
    </w:p>
    <w:p>
      <w:pPr>
        <w:numPr>
          <w:ilvl w:val="0"/>
          <w:numId w:val="1008"/>
        </w:numPr>
      </w:pPr>
      <w:r>
        <w:t xml:space="preserve">die Governance-Architektur des Prüfungsausschusses regelmäßig auf die Mehrheit der nicht-RP-Mitglieder überprüfen, insbesondere in Konstellationen mit signifikantem Mehrheits- oder Kernaktionärseinfluss im Aufsichtsrat;</w:t>
      </w:r>
    </w:p>
    <w:p>
      <w:pPr>
        <w:numPr>
          <w:ilvl w:val="0"/>
          <w:numId w:val="1008"/>
        </w:numPr>
      </w:pPr>
      <w:r>
        <w:t xml:space="preserve">bei Carve-out- und Dekonsolidierungsvorgängen die Frage explizit prüfen, ob der Vorgang selbst — und nicht erst die nachfolgenden RPT mit dem nun dekonsolidierten Unternehmen — eine § 95c-/§ 111c-Bekanntmachungspflicht auslöst. Die hier diskutierte Konstellation PIERER Mobility / KTM AG ist insoweit ein Anwendungsfall, der einer Klärung bedarf.</w:t>
      </w:r>
    </w:p>
    <w:p>
      <w:r>
        <w:pict>
          <v:rect style="width:0;height:1.5pt" o:hralign="center" o:hrstd="t" o:hr="t"/>
        </w:pict>
      </w:r>
    </w:p>
    <w:p>
      <w:pPr>
        <w:pStyle w:val="FirstParagraph"/>
      </w:pPr>
      <w:r>
        <w:rPr>
          <w:bCs/>
          <w:b/>
        </w:rPr>
        <w:t xml:space="preserve">Datengrundlage.</w:t>
      </w:r>
      <w:r>
        <w:t xml:space="preserve"> </w:t>
      </w:r>
      <w:r>
        <w:t xml:space="preserve">Die hier verwendete Datenmatrix (Bilanzsumme, Umsatz, absolute Schwelle je Emittent, größter quantifiziert offengelegter RPT-Einzelposten, einschlägige Ausnahme, Anzahl 2024-Bekanntmachungen) für alle 60 Emittenten ist im Forschungsrepository unter</w:t>
      </w:r>
      <w:r>
        <w:t xml:space="preserve"> </w:t>
      </w:r>
      <w:r>
        <w:rPr>
          <w:rStyle w:val="VerbatimChar"/>
        </w:rPr>
        <w:t xml:space="preserve">/analysis/threshold_matrix.csv</w:t>
      </w:r>
      <w:r>
        <w:t xml:space="preserve"> </w:t>
      </w:r>
      <w:r>
        <w:t xml:space="preserve">einsehbar. Die per-Emittent-Auszüge der IAS-24-Anhangabschnitte sind unter</w:t>
      </w:r>
      <w:r>
        <w:t xml:space="preserve"> </w:t>
      </w:r>
      <w:r>
        <w:rPr>
          <w:rStyle w:val="VerbatimChar"/>
        </w:rPr>
        <w:t xml:space="preserve">/disclosures/</w:t>
      </w:r>
      <w:r>
        <w:t xml:space="preserve"> </w:t>
      </w:r>
      <w:r>
        <w:t xml:space="preserve">abrufbar; die per-Emittent-Schwellenrechnungen unter</w:t>
      </w:r>
      <w:r>
        <w:t xml:space="preserve"> </w:t>
      </w:r>
      <w:r>
        <w:rPr>
          <w:rStyle w:val="VerbatimChar"/>
        </w:rPr>
        <w:t xml:space="preserve">/disclosures/thresholds/</w:t>
      </w:r>
      <w:r>
        <w:t xml:space="preserve">.</w:t>
      </w:r>
    </w:p>
    <w:p>
      <w:r>
        <w:pict>
          <v:rect style="width:0;height:1.5pt" o:hralign="center" o:hrstd="t" o:hr="t"/>
        </w:pic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Richtlinie (EU) 2017/828 des Europäischen Parlaments und des Rates vom 17.5.2017 zur Änderung der RL 2007/36/EG im Hinblick auf die Förderung der langfristigen Mitwirkung der Aktionäre, ABl L 132/1.</w:t>
      </w:r>
    </w:p>
  </w:footnote>
  <w:footnote w:id="21">
    <w:p>
      <w:pPr>
        <w:pStyle w:val="FootnoteText"/>
      </w:pPr>
      <w:r>
        <w:rPr>
          <w:rStyle w:val="FootnoteReference"/>
        </w:rPr>
        <w:footnoteRef/>
      </w:r>
      <w:r>
        <w:t xml:space="preserve"> </w:t>
      </w:r>
      <w:r>
        <w:t xml:space="preserve">Aktienrechts-Änderungsgesetz 2019 (AktRÄG 2019), BGBl I 2019/63; Inkrafttreten der §§ 95a–d AktG zum 17. September 2020.</w:t>
      </w:r>
    </w:p>
  </w:footnote>
  <w:footnote w:id="22">
    <w:p>
      <w:pPr>
        <w:pStyle w:val="FootnoteText"/>
      </w:pPr>
      <w:r>
        <w:rPr>
          <w:rStyle w:val="FootnoteReference"/>
        </w:rPr>
        <w:footnoteRef/>
      </w:r>
      <w:r>
        <w:t xml:space="preserve"> </w:t>
      </w:r>
      <w:r>
        <w:t xml:space="preserve">Gesetz zur Umsetzung der zweiten Aktionärsrechte-Richtlinie (ARUG II) vom 12. Dezember 2019, BGBl I 2019, 2637; Inkrafttreten der §§ 111a–c dAktG zum 1. Januar 2020.</w:t>
      </w:r>
    </w:p>
  </w:footnote>
  <w:footnote w:id="24">
    <w:p>
      <w:pPr>
        <w:pStyle w:val="FootnoteText"/>
      </w:pPr>
      <w:r>
        <w:rPr>
          <w:rStyle w:val="FootnoteReference"/>
        </w:rPr>
        <w:footnoteRef/>
      </w:r>
      <w:r>
        <w:t xml:space="preserve"> </w:t>
      </w:r>
      <w:r>
        <w:t xml:space="preserve">§ 95a AktG idF AktRÄG 2019; die exakte Verortung der Schwellenwerte (Abs 1 Z 2 oder Abs 2) ist gegenüber dem Wortlaut der konsolidierten Fassung zu prüfen.</w:t>
      </w:r>
    </w:p>
  </w:footnote>
  <w:footnote w:id="26">
    <w:p>
      <w:pPr>
        <w:pStyle w:val="FootnoteText"/>
      </w:pPr>
      <w:r>
        <w:rPr>
          <w:rStyle w:val="FootnoteReference"/>
        </w:rPr>
        <w:footnoteRef/>
      </w:r>
      <w:r>
        <w:t xml:space="preserve"> </w:t>
      </w:r>
      <w:r>
        <w:t xml:space="preserve">§ 111b Abs 1 Satz 1 dAktG idF ARUG II.</w:t>
      </w:r>
    </w:p>
  </w:footnote>
  <w:footnote w:id="32">
    <w:p>
      <w:pPr>
        <w:pStyle w:val="FootnoteText"/>
      </w:pPr>
      <w:r>
        <w:rPr>
          <w:rStyle w:val="FootnoteReference"/>
        </w:rPr>
        <w:footnoteRef/>
      </w:r>
      <w:r>
        <w:t xml:space="preserve"> </w:t>
      </w:r>
      <w:r>
        <w:t xml:space="preserve">Die hier praktizierte Bereinigung wirkt strenger als der bloße Tatbestandsausschluss nahelegt: Pro-rata-Dividenden, Altbestände und Vorstandsvergütungen werden</w:t>
      </w:r>
      <w:r>
        <w:t xml:space="preserve"> </w:t>
      </w:r>
      <w:r>
        <w:rPr>
          <w:iCs/>
          <w:i/>
        </w:rPr>
        <w:t xml:space="preserve">vollständig</w:t>
      </w:r>
      <w:r>
        <w:t xml:space="preserve"> </w:t>
      </w:r>
      <w:r>
        <w:t xml:space="preserve">aus dem empirischen Test ausgeschlossen. Im Ergebnis reduziert sich die Zahl der nominellen Überschreitungen von 18 (Rohdaten) auf 11 (bereinigt), zuzüglich des Sonderfalls PIERER Mobility.</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Wesentlichkeitsschwellen für Geschäfte mit nahestehenden Personen — eine empirische Vollerhebung in ATX und DAX (FY2024)</dc:title>
  <dc:creator/>
  <dc:language>de</dc:language>
  <cp:keywords/>
  <dcterms:created xsi:type="dcterms:W3CDTF">2026-05-20T18:52:57Z</dcterms:created>
  <dcterms:modified xsi:type="dcterms:W3CDTF">2026-05-20T18:52:57Z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Mai 2026</vt:lpwstr>
  </property>
  <property fmtid="{D5CDD505-2E9C-101B-9397-08002B2CF9AE}" pid="3" name="subtitle">
    <vt:lpwstr>§§ 95a ff. AktG und §§ 111a ff. dAktG im Praxistest</vt:lpwstr>
  </property>
</Properties>
</file>