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4C33B" w14:textId="77777777" w:rsidR="00CB328A" w:rsidRDefault="00CB328A" w:rsidP="00F705DD">
      <w:pPr>
        <w:jc w:val="center"/>
        <w:rPr>
          <w:rFonts w:ascii="Century Gothic" w:hAnsi="Century Gothic"/>
          <w:b/>
          <w:sz w:val="21"/>
          <w:szCs w:val="21"/>
          <w:lang w:val="en-GB"/>
        </w:rPr>
      </w:pPr>
      <w:r w:rsidRPr="00F705DD">
        <w:rPr>
          <w:rFonts w:ascii="Century Gothic" w:hAnsi="Century Gothic"/>
          <w:b/>
          <w:sz w:val="21"/>
          <w:szCs w:val="21"/>
          <w:lang w:val="en-GB"/>
        </w:rPr>
        <w:t>BBSRC London Interdisciplinary Biosciences PhD Consortium (LIDo)</w:t>
      </w:r>
      <w:r w:rsidR="00F705DD" w:rsidRPr="00F705DD">
        <w:rPr>
          <w:rFonts w:ascii="Century Gothic" w:hAnsi="Century Gothic"/>
          <w:b/>
          <w:sz w:val="21"/>
          <w:szCs w:val="21"/>
          <w:lang w:val="en-GB"/>
        </w:rPr>
        <w:t xml:space="preserve"> </w:t>
      </w:r>
      <w:r w:rsidRPr="00F705DD">
        <w:rPr>
          <w:rFonts w:ascii="Century Gothic" w:hAnsi="Century Gothic"/>
          <w:b/>
          <w:sz w:val="21"/>
          <w:szCs w:val="21"/>
          <w:lang w:val="en-GB"/>
        </w:rPr>
        <w:t>Project Form</w:t>
      </w:r>
    </w:p>
    <w:p w14:paraId="43628CC5" w14:textId="77777777" w:rsidR="00F705DD" w:rsidRPr="00F705DD" w:rsidRDefault="00F705DD" w:rsidP="00F705DD">
      <w:pPr>
        <w:jc w:val="center"/>
        <w:rPr>
          <w:rFonts w:ascii="Century Gothic" w:hAnsi="Century Gothic"/>
          <w:b/>
          <w:sz w:val="21"/>
          <w:szCs w:val="21"/>
          <w:lang w:val="en-GB"/>
        </w:rPr>
      </w:pPr>
    </w:p>
    <w:p w14:paraId="36BF2F58" w14:textId="592971B3" w:rsidR="00CB328A" w:rsidRDefault="00CB328A" w:rsidP="00CB328A">
      <w:pPr>
        <w:rPr>
          <w:rFonts w:ascii="Century Gothic" w:hAnsi="Century Gothic"/>
          <w:i/>
          <w:sz w:val="20"/>
          <w:szCs w:val="21"/>
          <w:lang w:val="en-GB"/>
        </w:rPr>
      </w:pPr>
      <w:r w:rsidRPr="00F705DD">
        <w:rPr>
          <w:rFonts w:ascii="Century Gothic" w:hAnsi="Century Gothic"/>
          <w:i/>
          <w:sz w:val="20"/>
          <w:szCs w:val="21"/>
          <w:lang w:val="en-GB"/>
        </w:rPr>
        <w:t xml:space="preserve">Detailed criteria for project approval </w:t>
      </w:r>
      <w:r w:rsidR="00785068" w:rsidRPr="00F705DD">
        <w:rPr>
          <w:rFonts w:ascii="Century Gothic" w:hAnsi="Century Gothic"/>
          <w:i/>
          <w:sz w:val="20"/>
          <w:szCs w:val="21"/>
          <w:lang w:val="en-GB"/>
        </w:rPr>
        <w:t>are</w:t>
      </w:r>
      <w:r w:rsidRPr="00F705DD">
        <w:rPr>
          <w:rFonts w:ascii="Century Gothic" w:hAnsi="Century Gothic"/>
          <w:i/>
          <w:sz w:val="20"/>
          <w:szCs w:val="21"/>
          <w:lang w:val="en-GB"/>
        </w:rPr>
        <w:t xml:space="preserve"> listed in the accompanying LIDo Project Vetting Guidelines</w:t>
      </w:r>
    </w:p>
    <w:p w14:paraId="44447127" w14:textId="10B5B1AC" w:rsidR="00785068" w:rsidRDefault="00785068" w:rsidP="00CB328A">
      <w:pPr>
        <w:rPr>
          <w:rFonts w:ascii="Century Gothic" w:hAnsi="Century Gothic"/>
          <w:i/>
          <w:sz w:val="20"/>
          <w:szCs w:val="21"/>
          <w:lang w:val="en-GB"/>
        </w:rPr>
      </w:pPr>
    </w:p>
    <w:p w14:paraId="256DD86C" w14:textId="017B6FB8" w:rsidR="00785068" w:rsidRPr="00F705DD" w:rsidRDefault="00785068" w:rsidP="00CB328A">
      <w:pPr>
        <w:rPr>
          <w:rFonts w:ascii="Century Gothic" w:hAnsi="Century Gothic"/>
          <w:i/>
          <w:sz w:val="20"/>
          <w:szCs w:val="21"/>
          <w:lang w:val="en-GB"/>
        </w:rPr>
      </w:pPr>
      <w:r w:rsidRPr="008C00DA">
        <w:rPr>
          <w:rFonts w:ascii="Century Gothic" w:hAnsi="Century Gothic"/>
          <w:i/>
          <w:sz w:val="20"/>
          <w:szCs w:val="21"/>
          <w:highlight w:val="yellow"/>
          <w:lang w:val="en-GB"/>
        </w:rPr>
        <w:t>Projects must be submitted online via the LIDo portal. Paper/Electronic forms will not be accepted under any circumstances. This form is provided strictly as an aide to preparing a proposal ahead of the online submission.</w:t>
      </w:r>
    </w:p>
    <w:p w14:paraId="5F880B46" w14:textId="77777777" w:rsidR="00CB328A" w:rsidRPr="00F705DD" w:rsidRDefault="00CB328A">
      <w:pPr>
        <w:rPr>
          <w:rFonts w:ascii="Century Gothic" w:hAnsi="Century Gothic"/>
          <w:sz w:val="21"/>
          <w:szCs w:val="2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3506"/>
        <w:gridCol w:w="6534"/>
      </w:tblGrid>
      <w:tr w:rsidR="00CB328A" w:rsidRPr="00F705DD" w14:paraId="3C664BDA" w14:textId="77777777" w:rsidTr="0027752B">
        <w:tc>
          <w:tcPr>
            <w:tcW w:w="2758" w:type="dxa"/>
            <w:shd w:val="clear" w:color="auto" w:fill="auto"/>
          </w:tcPr>
          <w:p w14:paraId="01256123" w14:textId="77777777" w:rsidR="00CB328A" w:rsidRPr="00F705DD" w:rsidRDefault="00CB328A" w:rsidP="0027752B">
            <w:pPr>
              <w:rPr>
                <w:rFonts w:ascii="Century Gothic" w:hAnsi="Century Gothic" w:cs="Arial"/>
                <w:b/>
                <w:sz w:val="21"/>
                <w:szCs w:val="21"/>
              </w:rPr>
            </w:pPr>
          </w:p>
        </w:tc>
        <w:tc>
          <w:tcPr>
            <w:tcW w:w="3882" w:type="dxa"/>
            <w:shd w:val="clear" w:color="auto" w:fill="auto"/>
            <w:vAlign w:val="center"/>
          </w:tcPr>
          <w:p w14:paraId="120C33FD" w14:textId="77777777" w:rsidR="00CB328A" w:rsidRPr="0004659A" w:rsidRDefault="00CB328A" w:rsidP="0027752B">
            <w:pPr>
              <w:rPr>
                <w:rFonts w:ascii="Century Gothic" w:hAnsi="Century Gothic" w:cs="Arial"/>
                <w:sz w:val="21"/>
                <w:szCs w:val="21"/>
              </w:rPr>
            </w:pPr>
            <w:r w:rsidRPr="0004659A">
              <w:rPr>
                <w:rFonts w:ascii="Century Gothic" w:hAnsi="Century Gothic" w:cs="Arial"/>
                <w:sz w:val="21"/>
                <w:szCs w:val="21"/>
              </w:rPr>
              <w:t>Primary Supervisor</w:t>
            </w:r>
          </w:p>
        </w:tc>
        <w:tc>
          <w:tcPr>
            <w:tcW w:w="4122" w:type="dxa"/>
            <w:shd w:val="clear" w:color="auto" w:fill="auto"/>
            <w:vAlign w:val="center"/>
          </w:tcPr>
          <w:p w14:paraId="79333432" w14:textId="77777777" w:rsidR="00CB328A" w:rsidRPr="0004659A" w:rsidRDefault="00CB328A" w:rsidP="0027752B">
            <w:pPr>
              <w:rPr>
                <w:rFonts w:ascii="Century Gothic" w:hAnsi="Century Gothic" w:cs="Arial"/>
                <w:sz w:val="21"/>
                <w:szCs w:val="21"/>
              </w:rPr>
            </w:pPr>
            <w:r w:rsidRPr="0004659A">
              <w:rPr>
                <w:rFonts w:ascii="Century Gothic" w:hAnsi="Century Gothic" w:cs="Arial"/>
                <w:sz w:val="21"/>
                <w:szCs w:val="21"/>
              </w:rPr>
              <w:t>Secondary Supervisor</w:t>
            </w:r>
          </w:p>
        </w:tc>
      </w:tr>
      <w:tr w:rsidR="00CB328A" w:rsidRPr="00F705DD" w14:paraId="6964195C" w14:textId="77777777" w:rsidTr="0027752B">
        <w:tc>
          <w:tcPr>
            <w:tcW w:w="2758" w:type="dxa"/>
            <w:shd w:val="clear" w:color="auto" w:fill="auto"/>
            <w:vAlign w:val="center"/>
          </w:tcPr>
          <w:p w14:paraId="3B78B8CC" w14:textId="77777777" w:rsidR="00CB328A" w:rsidRPr="00F705DD" w:rsidRDefault="00CB328A" w:rsidP="0027752B">
            <w:pPr>
              <w:rPr>
                <w:rFonts w:ascii="Century Gothic" w:hAnsi="Century Gothic" w:cs="Arial"/>
                <w:sz w:val="21"/>
                <w:szCs w:val="21"/>
              </w:rPr>
            </w:pPr>
            <w:r w:rsidRPr="00F705DD">
              <w:rPr>
                <w:rFonts w:ascii="Century Gothic" w:hAnsi="Century Gothic" w:cs="Arial"/>
                <w:sz w:val="21"/>
                <w:szCs w:val="21"/>
              </w:rPr>
              <w:t>Name</w:t>
            </w:r>
          </w:p>
        </w:tc>
        <w:tc>
          <w:tcPr>
            <w:tcW w:w="3882" w:type="dxa"/>
            <w:shd w:val="clear" w:color="auto" w:fill="auto"/>
          </w:tcPr>
          <w:p w14:paraId="21563258" w14:textId="28FFD77B" w:rsidR="00CB328A" w:rsidRPr="0004659A" w:rsidRDefault="0027752B" w:rsidP="0027752B">
            <w:pPr>
              <w:rPr>
                <w:rFonts w:ascii="Century Gothic" w:hAnsi="Century Gothic" w:cs="Arial"/>
                <w:sz w:val="21"/>
                <w:szCs w:val="21"/>
              </w:rPr>
            </w:pPr>
            <w:r w:rsidRPr="0004659A">
              <w:rPr>
                <w:rFonts w:ascii="Century Gothic" w:hAnsi="Century Gothic" w:cs="Arial"/>
                <w:sz w:val="21"/>
                <w:szCs w:val="21"/>
              </w:rPr>
              <w:t>Elli Leadbeater</w:t>
            </w:r>
          </w:p>
        </w:tc>
        <w:tc>
          <w:tcPr>
            <w:tcW w:w="4122" w:type="dxa"/>
            <w:shd w:val="clear" w:color="auto" w:fill="auto"/>
          </w:tcPr>
          <w:p w14:paraId="02D61158" w14:textId="3E93A766" w:rsidR="00CB328A" w:rsidRPr="0004659A" w:rsidRDefault="00D50E04" w:rsidP="0027752B">
            <w:pPr>
              <w:rPr>
                <w:rFonts w:ascii="Century Gothic" w:hAnsi="Century Gothic" w:cs="Arial"/>
                <w:sz w:val="21"/>
                <w:szCs w:val="21"/>
              </w:rPr>
            </w:pPr>
            <w:r w:rsidRPr="0004659A">
              <w:rPr>
                <w:rFonts w:ascii="Century Gothic" w:hAnsi="Century Gothic" w:cs="Arial"/>
                <w:sz w:val="21"/>
                <w:szCs w:val="21"/>
              </w:rPr>
              <w:t>Michael Antoniou</w:t>
            </w:r>
          </w:p>
        </w:tc>
      </w:tr>
      <w:tr w:rsidR="00CB328A" w:rsidRPr="00F705DD" w14:paraId="3818B31D" w14:textId="77777777" w:rsidTr="0027752B">
        <w:tc>
          <w:tcPr>
            <w:tcW w:w="2758" w:type="dxa"/>
            <w:shd w:val="clear" w:color="auto" w:fill="auto"/>
            <w:vAlign w:val="center"/>
          </w:tcPr>
          <w:p w14:paraId="402DC7B3" w14:textId="77777777" w:rsidR="00CB328A" w:rsidRPr="00F705DD" w:rsidRDefault="00CB328A" w:rsidP="0027752B">
            <w:pPr>
              <w:rPr>
                <w:rFonts w:ascii="Century Gothic" w:hAnsi="Century Gothic" w:cs="Arial"/>
                <w:sz w:val="21"/>
                <w:szCs w:val="21"/>
              </w:rPr>
            </w:pPr>
            <w:r w:rsidRPr="00F705DD">
              <w:rPr>
                <w:rFonts w:ascii="Century Gothic" w:hAnsi="Century Gothic" w:cs="Arial"/>
                <w:sz w:val="21"/>
                <w:szCs w:val="21"/>
              </w:rPr>
              <w:t>Department</w:t>
            </w:r>
          </w:p>
        </w:tc>
        <w:tc>
          <w:tcPr>
            <w:tcW w:w="3882" w:type="dxa"/>
            <w:shd w:val="clear" w:color="auto" w:fill="auto"/>
          </w:tcPr>
          <w:p w14:paraId="3752F060" w14:textId="6736D5FE" w:rsidR="00CB328A" w:rsidRPr="0004659A" w:rsidRDefault="0027752B" w:rsidP="0027752B">
            <w:pPr>
              <w:rPr>
                <w:rFonts w:ascii="Century Gothic" w:hAnsi="Century Gothic" w:cs="Arial"/>
                <w:sz w:val="21"/>
                <w:szCs w:val="21"/>
              </w:rPr>
            </w:pPr>
            <w:r w:rsidRPr="0004659A">
              <w:rPr>
                <w:rFonts w:ascii="Century Gothic" w:hAnsi="Century Gothic" w:cs="Arial"/>
                <w:sz w:val="21"/>
                <w:szCs w:val="21"/>
              </w:rPr>
              <w:t>Biological Sciences</w:t>
            </w:r>
          </w:p>
        </w:tc>
        <w:tc>
          <w:tcPr>
            <w:tcW w:w="4122" w:type="dxa"/>
            <w:shd w:val="clear" w:color="auto" w:fill="auto"/>
          </w:tcPr>
          <w:p w14:paraId="03DC5E42" w14:textId="4EB9B422" w:rsidR="00CB328A" w:rsidRPr="0004659A" w:rsidRDefault="00D50E04" w:rsidP="0027752B">
            <w:pPr>
              <w:rPr>
                <w:rFonts w:ascii="Century Gothic" w:hAnsi="Century Gothic" w:cs="Arial"/>
                <w:sz w:val="21"/>
                <w:szCs w:val="21"/>
              </w:rPr>
            </w:pPr>
            <w:r w:rsidRPr="0004659A">
              <w:rPr>
                <w:rFonts w:ascii="Century Gothic" w:hAnsi="Century Gothic" w:cs="Arial"/>
                <w:sz w:val="21"/>
                <w:szCs w:val="21"/>
              </w:rPr>
              <w:t>Medical and Molecular Genetics</w:t>
            </w:r>
          </w:p>
        </w:tc>
      </w:tr>
      <w:tr w:rsidR="00CB328A" w:rsidRPr="00F705DD" w14:paraId="168C8D7B" w14:textId="77777777" w:rsidTr="0027752B">
        <w:tc>
          <w:tcPr>
            <w:tcW w:w="2758" w:type="dxa"/>
            <w:shd w:val="clear" w:color="auto" w:fill="auto"/>
            <w:vAlign w:val="center"/>
          </w:tcPr>
          <w:p w14:paraId="269C2EA9" w14:textId="77777777" w:rsidR="00CB328A" w:rsidRPr="00F705DD" w:rsidRDefault="00CB328A" w:rsidP="0027752B">
            <w:pPr>
              <w:rPr>
                <w:rFonts w:ascii="Century Gothic" w:hAnsi="Century Gothic" w:cs="Arial"/>
                <w:sz w:val="21"/>
                <w:szCs w:val="21"/>
              </w:rPr>
            </w:pPr>
            <w:r w:rsidRPr="00F705DD">
              <w:rPr>
                <w:rFonts w:ascii="Century Gothic" w:hAnsi="Century Gothic" w:cs="Arial"/>
                <w:sz w:val="21"/>
                <w:szCs w:val="21"/>
              </w:rPr>
              <w:t>Institution</w:t>
            </w:r>
          </w:p>
        </w:tc>
        <w:tc>
          <w:tcPr>
            <w:tcW w:w="3882" w:type="dxa"/>
            <w:shd w:val="clear" w:color="auto" w:fill="auto"/>
          </w:tcPr>
          <w:p w14:paraId="50B6DC0A" w14:textId="00EFCBC8" w:rsidR="00CB328A" w:rsidRPr="0004659A" w:rsidRDefault="0027752B" w:rsidP="0027752B">
            <w:pPr>
              <w:rPr>
                <w:rFonts w:ascii="Century Gothic" w:hAnsi="Century Gothic" w:cs="Arial"/>
                <w:sz w:val="21"/>
                <w:szCs w:val="21"/>
              </w:rPr>
            </w:pPr>
            <w:r w:rsidRPr="0004659A">
              <w:rPr>
                <w:rFonts w:ascii="Century Gothic" w:hAnsi="Century Gothic" w:cs="Arial"/>
                <w:sz w:val="21"/>
                <w:szCs w:val="21"/>
              </w:rPr>
              <w:t>Royal Holloway University of London</w:t>
            </w:r>
          </w:p>
        </w:tc>
        <w:tc>
          <w:tcPr>
            <w:tcW w:w="4122" w:type="dxa"/>
            <w:shd w:val="clear" w:color="auto" w:fill="auto"/>
          </w:tcPr>
          <w:p w14:paraId="122452E3" w14:textId="278B09B9" w:rsidR="00CB328A" w:rsidRPr="0004659A" w:rsidRDefault="00D50E04" w:rsidP="0027752B">
            <w:pPr>
              <w:rPr>
                <w:rFonts w:ascii="Century Gothic" w:hAnsi="Century Gothic" w:cs="Arial"/>
                <w:sz w:val="21"/>
                <w:szCs w:val="21"/>
              </w:rPr>
            </w:pPr>
            <w:r w:rsidRPr="0004659A">
              <w:rPr>
                <w:rFonts w:ascii="Century Gothic" w:hAnsi="Century Gothic" w:cs="Arial"/>
                <w:sz w:val="21"/>
                <w:szCs w:val="21"/>
              </w:rPr>
              <w:t>King’s College London</w:t>
            </w:r>
          </w:p>
        </w:tc>
      </w:tr>
      <w:tr w:rsidR="00CB328A" w:rsidRPr="00F705DD" w14:paraId="5CB3EA47" w14:textId="77777777" w:rsidTr="0027752B">
        <w:tc>
          <w:tcPr>
            <w:tcW w:w="2758" w:type="dxa"/>
            <w:shd w:val="clear" w:color="auto" w:fill="auto"/>
            <w:vAlign w:val="center"/>
          </w:tcPr>
          <w:p w14:paraId="291C784F" w14:textId="77777777" w:rsidR="00CB328A" w:rsidRPr="00F705DD" w:rsidRDefault="00CB328A" w:rsidP="0027752B">
            <w:pPr>
              <w:rPr>
                <w:rFonts w:ascii="Century Gothic" w:hAnsi="Century Gothic" w:cs="Arial"/>
                <w:sz w:val="21"/>
                <w:szCs w:val="21"/>
              </w:rPr>
            </w:pPr>
            <w:r w:rsidRPr="00F705DD">
              <w:rPr>
                <w:rFonts w:ascii="Century Gothic" w:hAnsi="Century Gothic" w:cs="Arial"/>
                <w:sz w:val="21"/>
                <w:szCs w:val="21"/>
              </w:rPr>
              <w:t>E-mail</w:t>
            </w:r>
          </w:p>
        </w:tc>
        <w:tc>
          <w:tcPr>
            <w:tcW w:w="3882" w:type="dxa"/>
            <w:shd w:val="clear" w:color="auto" w:fill="auto"/>
          </w:tcPr>
          <w:p w14:paraId="44403342" w14:textId="4AEA6A0B" w:rsidR="00CB328A" w:rsidRPr="0004659A" w:rsidRDefault="00D50E04" w:rsidP="0027752B">
            <w:pPr>
              <w:rPr>
                <w:rFonts w:ascii="Century Gothic" w:hAnsi="Century Gothic" w:cs="Arial"/>
                <w:sz w:val="21"/>
                <w:szCs w:val="21"/>
              </w:rPr>
            </w:pPr>
            <w:r w:rsidRPr="0004659A">
              <w:rPr>
                <w:rFonts w:ascii="Century Gothic" w:hAnsi="Century Gothic" w:cs="Arial"/>
                <w:sz w:val="21"/>
                <w:szCs w:val="21"/>
              </w:rPr>
              <w:t>Elli.Leadbeater@rhul.ac.uk</w:t>
            </w:r>
          </w:p>
        </w:tc>
        <w:tc>
          <w:tcPr>
            <w:tcW w:w="4122" w:type="dxa"/>
            <w:shd w:val="clear" w:color="auto" w:fill="auto"/>
          </w:tcPr>
          <w:p w14:paraId="6DFB4C88" w14:textId="7C31915C" w:rsidR="00CB328A" w:rsidRPr="0004659A" w:rsidRDefault="00D50E04" w:rsidP="0027752B">
            <w:pPr>
              <w:rPr>
                <w:rFonts w:ascii="Century Gothic" w:hAnsi="Century Gothic" w:cs="Arial"/>
                <w:sz w:val="21"/>
                <w:szCs w:val="21"/>
              </w:rPr>
            </w:pPr>
            <w:r w:rsidRPr="0004659A">
              <w:rPr>
                <w:rFonts w:ascii="Century Gothic" w:hAnsi="Century Gothic" w:cs="Arial"/>
                <w:sz w:val="21"/>
                <w:szCs w:val="21"/>
              </w:rPr>
              <w:t>michael.antoniou@kcl.ac.uk</w:t>
            </w:r>
          </w:p>
        </w:tc>
      </w:tr>
      <w:tr w:rsidR="00CB328A" w:rsidRPr="00F705DD" w14:paraId="3103620F" w14:textId="77777777" w:rsidTr="0027752B">
        <w:tc>
          <w:tcPr>
            <w:tcW w:w="2758" w:type="dxa"/>
            <w:shd w:val="clear" w:color="auto" w:fill="auto"/>
            <w:vAlign w:val="center"/>
          </w:tcPr>
          <w:p w14:paraId="7D2F7CC8" w14:textId="77777777" w:rsidR="00CB328A" w:rsidRPr="00F705DD" w:rsidRDefault="00CB328A" w:rsidP="0027752B">
            <w:pPr>
              <w:rPr>
                <w:rFonts w:ascii="Century Gothic" w:hAnsi="Century Gothic" w:cs="Arial"/>
                <w:sz w:val="21"/>
                <w:szCs w:val="21"/>
              </w:rPr>
            </w:pPr>
            <w:r w:rsidRPr="00F705DD">
              <w:rPr>
                <w:rFonts w:ascii="Century Gothic" w:hAnsi="Century Gothic" w:cs="Arial"/>
                <w:sz w:val="21"/>
                <w:szCs w:val="21"/>
              </w:rPr>
              <w:t>Website (optional)</w:t>
            </w:r>
          </w:p>
        </w:tc>
        <w:tc>
          <w:tcPr>
            <w:tcW w:w="3882" w:type="dxa"/>
            <w:shd w:val="clear" w:color="auto" w:fill="auto"/>
          </w:tcPr>
          <w:p w14:paraId="21D30071" w14:textId="27AAA099" w:rsidR="00CB328A" w:rsidRPr="0004659A" w:rsidRDefault="00004268" w:rsidP="0027752B">
            <w:pPr>
              <w:rPr>
                <w:rFonts w:ascii="Century Gothic" w:hAnsi="Century Gothic" w:cs="Arial"/>
                <w:sz w:val="21"/>
                <w:szCs w:val="21"/>
              </w:rPr>
            </w:pPr>
            <w:hyperlink r:id="rId7" w:history="1">
              <w:r w:rsidR="00D50E04" w:rsidRPr="0004659A">
                <w:rPr>
                  <w:rStyle w:val="Hyperlink"/>
                  <w:rFonts w:ascii="Century Gothic" w:hAnsi="Century Gothic" w:cs="Arial"/>
                  <w:sz w:val="21"/>
                  <w:szCs w:val="21"/>
                </w:rPr>
                <w:t>http://ellileadbeater.wixsite.com/insectcognition</w:t>
              </w:r>
            </w:hyperlink>
            <w:r w:rsidR="00D50E04" w:rsidRPr="0004659A">
              <w:rPr>
                <w:rFonts w:ascii="Century Gothic" w:hAnsi="Century Gothic" w:cs="Arial"/>
                <w:sz w:val="21"/>
                <w:szCs w:val="21"/>
              </w:rPr>
              <w:t xml:space="preserve">; </w:t>
            </w:r>
            <w:hyperlink r:id="rId8" w:history="1">
              <w:r w:rsidR="00D50E04" w:rsidRPr="0004659A">
                <w:rPr>
                  <w:rStyle w:val="Hyperlink"/>
                  <w:rFonts w:ascii="Century Gothic" w:hAnsi="Century Gothic" w:cs="Arial"/>
                  <w:sz w:val="21"/>
                  <w:szCs w:val="21"/>
                </w:rPr>
                <w:t>https://pure.royalholloway.ac.uk/portal/en/persons/elli-leadbeater(a2edc845-5d79-4c83-bab4-6c58102f485f).html</w:t>
              </w:r>
            </w:hyperlink>
            <w:r w:rsidR="00D50E04" w:rsidRPr="0004659A">
              <w:rPr>
                <w:rFonts w:ascii="Century Gothic" w:hAnsi="Century Gothic" w:cs="Arial"/>
                <w:sz w:val="21"/>
                <w:szCs w:val="21"/>
              </w:rPr>
              <w:t xml:space="preserve"> </w:t>
            </w:r>
          </w:p>
        </w:tc>
        <w:tc>
          <w:tcPr>
            <w:tcW w:w="4122" w:type="dxa"/>
            <w:shd w:val="clear" w:color="auto" w:fill="auto"/>
          </w:tcPr>
          <w:p w14:paraId="26A47A8C" w14:textId="61D601B7" w:rsidR="00CB328A" w:rsidRPr="0004659A" w:rsidRDefault="00004268" w:rsidP="0027752B">
            <w:pPr>
              <w:rPr>
                <w:rFonts w:ascii="Century Gothic" w:hAnsi="Century Gothic" w:cs="Arial"/>
                <w:sz w:val="21"/>
                <w:szCs w:val="21"/>
              </w:rPr>
            </w:pPr>
            <w:hyperlink r:id="rId9" w:history="1">
              <w:r w:rsidR="00D50E04" w:rsidRPr="0004659A">
                <w:rPr>
                  <w:rStyle w:val="Hyperlink"/>
                  <w:rFonts w:ascii="Century Gothic" w:hAnsi="Century Gothic" w:cs="Arial"/>
                  <w:sz w:val="21"/>
                  <w:szCs w:val="21"/>
                </w:rPr>
                <w:t>https://www.kcl.ac.uk/lsm/research/divisions/gmm/departments/mmg/researchgroups/antonioulab/index</w:t>
              </w:r>
            </w:hyperlink>
          </w:p>
          <w:p w14:paraId="36C4A53A" w14:textId="708B2F5A" w:rsidR="00D50E04" w:rsidRPr="0004659A" w:rsidRDefault="00D50E04" w:rsidP="0027752B">
            <w:pPr>
              <w:rPr>
                <w:rFonts w:ascii="Century Gothic" w:hAnsi="Century Gothic" w:cs="Arial"/>
                <w:sz w:val="21"/>
                <w:szCs w:val="21"/>
              </w:rPr>
            </w:pPr>
          </w:p>
        </w:tc>
      </w:tr>
      <w:tr w:rsidR="00CB328A" w:rsidRPr="00F705DD" w14:paraId="65E4F89D" w14:textId="77777777" w:rsidTr="0027752B">
        <w:tc>
          <w:tcPr>
            <w:tcW w:w="2758" w:type="dxa"/>
            <w:shd w:val="clear" w:color="auto" w:fill="auto"/>
            <w:vAlign w:val="center"/>
          </w:tcPr>
          <w:p w14:paraId="69D5B7EE" w14:textId="77777777" w:rsidR="00CB328A" w:rsidRPr="00F705DD" w:rsidRDefault="00CB328A" w:rsidP="0027752B">
            <w:pPr>
              <w:rPr>
                <w:rFonts w:ascii="Century Gothic" w:hAnsi="Century Gothic" w:cs="Arial"/>
                <w:sz w:val="21"/>
                <w:szCs w:val="21"/>
              </w:rPr>
            </w:pPr>
            <w:r w:rsidRPr="00F705DD">
              <w:rPr>
                <w:rFonts w:ascii="Century Gothic" w:hAnsi="Century Gothic" w:cs="Arial"/>
                <w:sz w:val="21"/>
                <w:szCs w:val="21"/>
              </w:rPr>
              <w:t>Phone (optional)</w:t>
            </w:r>
          </w:p>
        </w:tc>
        <w:tc>
          <w:tcPr>
            <w:tcW w:w="3882" w:type="dxa"/>
            <w:shd w:val="clear" w:color="auto" w:fill="auto"/>
          </w:tcPr>
          <w:p w14:paraId="46FE2789" w14:textId="77777777" w:rsidR="00CB328A" w:rsidRPr="00F705DD" w:rsidRDefault="00CB328A" w:rsidP="0027752B">
            <w:pPr>
              <w:rPr>
                <w:rFonts w:ascii="Century Gothic" w:hAnsi="Century Gothic" w:cs="Arial"/>
                <w:b/>
                <w:sz w:val="21"/>
                <w:szCs w:val="21"/>
              </w:rPr>
            </w:pPr>
            <w:r w:rsidRPr="00F705DD">
              <w:rPr>
                <w:rFonts w:ascii="Century Gothic" w:hAnsi="Century Gothic" w:cs="Arial"/>
                <w:b/>
                <w:sz w:val="21"/>
                <w:szCs w:val="21"/>
              </w:rPr>
              <w:fldChar w:fldCharType="begin">
                <w:ffData>
                  <w:name w:val="Text71"/>
                  <w:enabled/>
                  <w:calcOnExit w:val="0"/>
                  <w:textInput/>
                </w:ffData>
              </w:fldChar>
            </w:r>
            <w:bookmarkStart w:id="0" w:name="Text71"/>
            <w:r w:rsidRPr="00F705DD">
              <w:rPr>
                <w:rFonts w:ascii="Century Gothic" w:hAnsi="Century Gothic" w:cs="Arial"/>
                <w:b/>
                <w:sz w:val="21"/>
                <w:szCs w:val="21"/>
              </w:rPr>
              <w:instrText xml:space="preserve"> FORMTEXT </w:instrText>
            </w:r>
            <w:r w:rsidRPr="00F705DD">
              <w:rPr>
                <w:rFonts w:ascii="Century Gothic" w:hAnsi="Century Gothic" w:cs="Arial"/>
                <w:b/>
                <w:sz w:val="21"/>
                <w:szCs w:val="21"/>
              </w:rPr>
            </w:r>
            <w:r w:rsidRPr="00F705DD">
              <w:rPr>
                <w:rFonts w:ascii="Century Gothic" w:hAnsi="Century Gothic" w:cs="Arial"/>
                <w:b/>
                <w:sz w:val="21"/>
                <w:szCs w:val="21"/>
              </w:rPr>
              <w:fldChar w:fldCharType="separate"/>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sz w:val="21"/>
                <w:szCs w:val="21"/>
              </w:rPr>
              <w:fldChar w:fldCharType="end"/>
            </w:r>
            <w:bookmarkEnd w:id="0"/>
          </w:p>
        </w:tc>
        <w:tc>
          <w:tcPr>
            <w:tcW w:w="4122" w:type="dxa"/>
            <w:shd w:val="clear" w:color="auto" w:fill="auto"/>
          </w:tcPr>
          <w:p w14:paraId="1F3F9933" w14:textId="600A96B5" w:rsidR="00CB328A" w:rsidRPr="008077EA" w:rsidRDefault="008077EA" w:rsidP="0027752B">
            <w:pPr>
              <w:rPr>
                <w:rFonts w:ascii="Century Gothic" w:hAnsi="Century Gothic" w:cs="Arial"/>
                <w:bCs/>
                <w:sz w:val="21"/>
                <w:szCs w:val="21"/>
              </w:rPr>
            </w:pPr>
            <w:r w:rsidRPr="008077EA">
              <w:rPr>
                <w:rFonts w:ascii="Century Gothic" w:hAnsi="Century Gothic" w:cs="Arial"/>
                <w:bCs/>
                <w:sz w:val="21"/>
                <w:szCs w:val="21"/>
              </w:rPr>
              <w:t>020 7848 8501</w:t>
            </w:r>
          </w:p>
        </w:tc>
      </w:tr>
      <w:tr w:rsidR="00CB328A" w:rsidRPr="00F705DD" w14:paraId="0FD6340D" w14:textId="77777777" w:rsidTr="0027752B">
        <w:tc>
          <w:tcPr>
            <w:tcW w:w="10762" w:type="dxa"/>
            <w:gridSpan w:val="3"/>
            <w:shd w:val="clear" w:color="auto" w:fill="auto"/>
            <w:vAlign w:val="center"/>
          </w:tcPr>
          <w:p w14:paraId="1C229CFE" w14:textId="77777777" w:rsidR="00CB328A" w:rsidRPr="00F705DD" w:rsidRDefault="00CB328A" w:rsidP="0027752B">
            <w:pPr>
              <w:rPr>
                <w:rFonts w:ascii="Century Gothic" w:hAnsi="Century Gothic"/>
                <w:sz w:val="21"/>
                <w:szCs w:val="21"/>
              </w:rPr>
            </w:pPr>
            <w:r w:rsidRPr="00F705DD">
              <w:rPr>
                <w:rFonts w:ascii="Century Gothic" w:hAnsi="Century Gothic" w:cs="Arial"/>
                <w:sz w:val="21"/>
                <w:szCs w:val="21"/>
              </w:rPr>
              <w:t xml:space="preserve">If </w:t>
            </w:r>
            <w:r w:rsidRPr="00F705DD">
              <w:rPr>
                <w:rFonts w:ascii="Century Gothic" w:hAnsi="Century Gothic"/>
                <w:sz w:val="21"/>
                <w:szCs w:val="21"/>
              </w:rPr>
              <w:t>you have additional supervisors, please include details here:</w:t>
            </w:r>
          </w:p>
          <w:p w14:paraId="76ED7CB5" w14:textId="77777777" w:rsidR="00CB328A" w:rsidRPr="00F705DD" w:rsidRDefault="00CB328A" w:rsidP="0027752B">
            <w:pPr>
              <w:rPr>
                <w:rFonts w:ascii="Century Gothic" w:hAnsi="Century Gothic" w:cs="Arial"/>
                <w:b/>
                <w:sz w:val="21"/>
                <w:szCs w:val="21"/>
              </w:rPr>
            </w:pPr>
            <w:r w:rsidRPr="00F705DD">
              <w:rPr>
                <w:rFonts w:ascii="Century Gothic" w:hAnsi="Century Gothic" w:cs="Arial"/>
                <w:b/>
                <w:sz w:val="21"/>
                <w:szCs w:val="21"/>
              </w:rPr>
              <w:fldChar w:fldCharType="begin">
                <w:ffData>
                  <w:name w:val="Text37"/>
                  <w:enabled/>
                  <w:calcOnExit w:val="0"/>
                  <w:textInput/>
                </w:ffData>
              </w:fldChar>
            </w:r>
            <w:bookmarkStart w:id="1" w:name="Text37"/>
            <w:r w:rsidRPr="00F705DD">
              <w:rPr>
                <w:rFonts w:ascii="Century Gothic" w:hAnsi="Century Gothic" w:cs="Arial"/>
                <w:b/>
                <w:sz w:val="21"/>
                <w:szCs w:val="21"/>
              </w:rPr>
              <w:instrText xml:space="preserve"> FORMTEXT </w:instrText>
            </w:r>
            <w:r w:rsidRPr="00F705DD">
              <w:rPr>
                <w:rFonts w:ascii="Century Gothic" w:hAnsi="Century Gothic" w:cs="Arial"/>
                <w:b/>
                <w:sz w:val="21"/>
                <w:szCs w:val="21"/>
              </w:rPr>
            </w:r>
            <w:r w:rsidRPr="00F705DD">
              <w:rPr>
                <w:rFonts w:ascii="Century Gothic" w:hAnsi="Century Gothic" w:cs="Arial"/>
                <w:b/>
                <w:sz w:val="21"/>
                <w:szCs w:val="21"/>
              </w:rPr>
              <w:fldChar w:fldCharType="separate"/>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noProof/>
                <w:sz w:val="21"/>
                <w:szCs w:val="21"/>
              </w:rPr>
              <w:t> </w:t>
            </w:r>
            <w:r w:rsidRPr="00F705DD">
              <w:rPr>
                <w:rFonts w:ascii="Century Gothic" w:hAnsi="Century Gothic" w:cs="Arial"/>
                <w:b/>
                <w:sz w:val="21"/>
                <w:szCs w:val="21"/>
              </w:rPr>
              <w:fldChar w:fldCharType="end"/>
            </w:r>
            <w:bookmarkEnd w:id="1"/>
          </w:p>
        </w:tc>
      </w:tr>
    </w:tbl>
    <w:p w14:paraId="279799C9" w14:textId="77777777" w:rsidR="00CB328A" w:rsidRPr="00F705DD" w:rsidRDefault="00CB328A">
      <w:pPr>
        <w:rPr>
          <w:rFonts w:ascii="Century Gothic" w:hAnsi="Century Gothic"/>
          <w:sz w:val="21"/>
          <w:szCs w:val="21"/>
          <w:lang w:val="en-GB"/>
        </w:rPr>
      </w:pPr>
    </w:p>
    <w:p w14:paraId="7DF37D4C" w14:textId="77777777" w:rsidR="00CB328A" w:rsidRPr="00D831B1" w:rsidRDefault="00CB328A">
      <w:pPr>
        <w:rPr>
          <w:rFonts w:ascii="Century Gothic" w:hAnsi="Century Gothic"/>
          <w:b/>
          <w:color w:val="7F7F7F" w:themeColor="text1" w:themeTint="80"/>
          <w:sz w:val="21"/>
          <w:szCs w:val="21"/>
          <w:lang w:val="en-GB"/>
        </w:rPr>
      </w:pPr>
      <w:r w:rsidRPr="00D831B1">
        <w:rPr>
          <w:rFonts w:ascii="Century Gothic" w:hAnsi="Century Gothic"/>
          <w:b/>
          <w:color w:val="7F7F7F" w:themeColor="text1" w:themeTint="80"/>
          <w:sz w:val="21"/>
          <w:szCs w:val="21"/>
          <w:lang w:val="en-GB"/>
        </w:rPr>
        <w:t>ELIGIBILITY, FUNDING AND RESOURCES (visible to the LIDo Management and Research Committees only)</w:t>
      </w:r>
    </w:p>
    <w:p w14:paraId="011ABF2E" w14:textId="77777777" w:rsidR="00CB328A" w:rsidRPr="00F705DD" w:rsidRDefault="00CB328A">
      <w:pPr>
        <w:rPr>
          <w:rFonts w:ascii="Century Gothic" w:hAnsi="Century Gothic"/>
          <w:sz w:val="21"/>
          <w:szCs w:val="21"/>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3193"/>
        <w:gridCol w:w="4118"/>
      </w:tblGrid>
      <w:tr w:rsidR="00CB328A" w:rsidRPr="00F705DD" w14:paraId="204B13B8" w14:textId="77777777" w:rsidTr="00CB328A">
        <w:tc>
          <w:tcPr>
            <w:tcW w:w="3445" w:type="dxa"/>
            <w:shd w:val="clear" w:color="auto" w:fill="auto"/>
          </w:tcPr>
          <w:p w14:paraId="7A24F0D8" w14:textId="77777777" w:rsidR="00CB328A" w:rsidRPr="00F705DD" w:rsidRDefault="00CB328A" w:rsidP="0027752B">
            <w:pPr>
              <w:rPr>
                <w:rFonts w:ascii="Century Gothic" w:hAnsi="Century Gothic"/>
                <w:sz w:val="21"/>
                <w:szCs w:val="21"/>
              </w:rPr>
            </w:pPr>
          </w:p>
        </w:tc>
        <w:tc>
          <w:tcPr>
            <w:tcW w:w="3193" w:type="dxa"/>
            <w:shd w:val="clear" w:color="auto" w:fill="auto"/>
            <w:vAlign w:val="center"/>
          </w:tcPr>
          <w:p w14:paraId="763883F4" w14:textId="77777777" w:rsidR="00CB328A" w:rsidRPr="00F705DD" w:rsidRDefault="00CB328A" w:rsidP="0027752B">
            <w:pPr>
              <w:rPr>
                <w:rFonts w:ascii="Century Gothic" w:hAnsi="Century Gothic" w:cs="Arial"/>
                <w:b/>
                <w:sz w:val="21"/>
                <w:szCs w:val="21"/>
              </w:rPr>
            </w:pPr>
            <w:r w:rsidRPr="00F705DD">
              <w:rPr>
                <w:rFonts w:ascii="Century Gothic" w:hAnsi="Century Gothic" w:cs="Arial"/>
                <w:b/>
                <w:sz w:val="21"/>
                <w:szCs w:val="21"/>
              </w:rPr>
              <w:t>Primary Supervisor</w:t>
            </w:r>
          </w:p>
        </w:tc>
        <w:tc>
          <w:tcPr>
            <w:tcW w:w="4118" w:type="dxa"/>
            <w:shd w:val="clear" w:color="auto" w:fill="auto"/>
            <w:vAlign w:val="center"/>
          </w:tcPr>
          <w:p w14:paraId="712B2C30" w14:textId="77777777" w:rsidR="00CB328A" w:rsidRPr="00F705DD" w:rsidRDefault="00CB328A" w:rsidP="0027752B">
            <w:pPr>
              <w:rPr>
                <w:rFonts w:ascii="Century Gothic" w:hAnsi="Century Gothic" w:cs="Arial"/>
                <w:b/>
                <w:sz w:val="21"/>
                <w:szCs w:val="21"/>
              </w:rPr>
            </w:pPr>
            <w:r w:rsidRPr="00F705DD">
              <w:rPr>
                <w:rFonts w:ascii="Century Gothic" w:hAnsi="Century Gothic" w:cs="Arial"/>
                <w:b/>
                <w:sz w:val="21"/>
                <w:szCs w:val="21"/>
              </w:rPr>
              <w:t>Secondary Supervisor</w:t>
            </w:r>
          </w:p>
        </w:tc>
      </w:tr>
      <w:tr w:rsidR="00CB328A" w:rsidRPr="00F705DD" w14:paraId="4E5C0FB9" w14:textId="77777777" w:rsidTr="00CB328A">
        <w:trPr>
          <w:trHeight w:val="1317"/>
        </w:trPr>
        <w:tc>
          <w:tcPr>
            <w:tcW w:w="3445" w:type="dxa"/>
            <w:shd w:val="clear" w:color="auto" w:fill="auto"/>
          </w:tcPr>
          <w:p w14:paraId="7B402B11"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t>Title and Duration of Appointment</w:t>
            </w:r>
          </w:p>
          <w:p w14:paraId="67C13857" w14:textId="77777777" w:rsidR="00CB328A" w:rsidRPr="00D831B1" w:rsidRDefault="00CB328A" w:rsidP="0027752B">
            <w:pPr>
              <w:rPr>
                <w:rFonts w:ascii="Century Gothic" w:hAnsi="Century Gothic"/>
                <w:i/>
                <w:sz w:val="21"/>
                <w:szCs w:val="21"/>
              </w:rPr>
            </w:pPr>
            <w:r w:rsidRPr="00D831B1">
              <w:rPr>
                <w:rFonts w:ascii="Century Gothic" w:hAnsi="Century Gothic"/>
                <w:i/>
                <w:sz w:val="20"/>
                <w:szCs w:val="21"/>
              </w:rPr>
              <w:t>(Must hold centrally funded position at lecturer-level or above or a lecturer-level fellowship</w:t>
            </w:r>
            <w:r w:rsidRPr="00D831B1">
              <w:rPr>
                <w:rFonts w:ascii="Century Gothic" w:hAnsi="Century Gothic"/>
                <w:i/>
                <w:sz w:val="20"/>
                <w:szCs w:val="21"/>
                <w:vertAlign w:val="superscript"/>
              </w:rPr>
              <w:t>1</w:t>
            </w:r>
            <w:r w:rsidRPr="00D831B1">
              <w:rPr>
                <w:rFonts w:ascii="Century Gothic" w:hAnsi="Century Gothic"/>
                <w:i/>
                <w:sz w:val="20"/>
                <w:szCs w:val="21"/>
              </w:rPr>
              <w:t xml:space="preserve"> for the entire PhD duration.)</w:t>
            </w:r>
          </w:p>
        </w:tc>
        <w:tc>
          <w:tcPr>
            <w:tcW w:w="3193" w:type="dxa"/>
            <w:shd w:val="clear" w:color="auto" w:fill="auto"/>
          </w:tcPr>
          <w:p w14:paraId="7A9B4389" w14:textId="073A94E8" w:rsidR="00CB328A" w:rsidRPr="00F705DD" w:rsidRDefault="00D50E04" w:rsidP="0027752B">
            <w:pPr>
              <w:rPr>
                <w:rFonts w:ascii="Century Gothic" w:hAnsi="Century Gothic"/>
                <w:sz w:val="21"/>
                <w:szCs w:val="21"/>
              </w:rPr>
            </w:pPr>
            <w:r>
              <w:rPr>
                <w:rFonts w:ascii="Century Gothic" w:hAnsi="Century Gothic"/>
                <w:sz w:val="21"/>
                <w:szCs w:val="21"/>
              </w:rPr>
              <w:t>Professor of Ecology and Evolution</w:t>
            </w:r>
          </w:p>
        </w:tc>
        <w:tc>
          <w:tcPr>
            <w:tcW w:w="4118" w:type="dxa"/>
            <w:shd w:val="clear" w:color="auto" w:fill="auto"/>
          </w:tcPr>
          <w:p w14:paraId="317AC81F" w14:textId="3B8F3510" w:rsidR="00CB328A" w:rsidRPr="00F705DD" w:rsidRDefault="008077EA" w:rsidP="0027752B">
            <w:pPr>
              <w:rPr>
                <w:rFonts w:ascii="Century Gothic" w:hAnsi="Century Gothic"/>
                <w:sz w:val="21"/>
                <w:szCs w:val="21"/>
              </w:rPr>
            </w:pPr>
            <w:r>
              <w:rPr>
                <w:rFonts w:ascii="Century Gothic" w:hAnsi="Century Gothic"/>
                <w:sz w:val="21"/>
                <w:szCs w:val="21"/>
              </w:rPr>
              <w:t>Reader in Molecular Genetics</w:t>
            </w:r>
          </w:p>
        </w:tc>
      </w:tr>
      <w:tr w:rsidR="00CB328A" w:rsidRPr="00F705DD" w14:paraId="737B6845" w14:textId="77777777" w:rsidTr="00CB328A">
        <w:tc>
          <w:tcPr>
            <w:tcW w:w="3445" w:type="dxa"/>
            <w:shd w:val="clear" w:color="auto" w:fill="auto"/>
          </w:tcPr>
          <w:p w14:paraId="3CD40A78"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t>Give details of:</w:t>
            </w:r>
          </w:p>
          <w:p w14:paraId="2DA26467"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t xml:space="preserve">1. RCUK grant funding </w:t>
            </w:r>
          </w:p>
          <w:p w14:paraId="49F28FD8"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t>2. Other funding.</w:t>
            </w:r>
          </w:p>
          <w:p w14:paraId="798535CB" w14:textId="77777777" w:rsidR="00CB328A" w:rsidRPr="00D831B1" w:rsidRDefault="00CB328A" w:rsidP="0027752B">
            <w:pPr>
              <w:rPr>
                <w:rFonts w:ascii="Century Gothic" w:hAnsi="Century Gothic"/>
                <w:i/>
                <w:sz w:val="21"/>
                <w:szCs w:val="21"/>
              </w:rPr>
            </w:pPr>
            <w:r w:rsidRPr="00D831B1">
              <w:rPr>
                <w:rFonts w:ascii="Century Gothic" w:hAnsi="Century Gothic"/>
                <w:i/>
                <w:sz w:val="20"/>
                <w:szCs w:val="21"/>
              </w:rPr>
              <w:t xml:space="preserve">Please list: </w:t>
            </w:r>
            <w:r w:rsidRPr="00D831B1">
              <w:rPr>
                <w:rFonts w:ascii="Century Gothic" w:hAnsi="Century Gothic"/>
                <w:b/>
                <w:i/>
                <w:sz w:val="20"/>
                <w:szCs w:val="21"/>
              </w:rPr>
              <w:t>Funding body;</w:t>
            </w:r>
            <w:r w:rsidRPr="00D831B1">
              <w:rPr>
                <w:rFonts w:ascii="Century Gothic" w:hAnsi="Century Gothic"/>
                <w:i/>
                <w:sz w:val="20"/>
                <w:szCs w:val="21"/>
              </w:rPr>
              <w:t xml:space="preserve"> </w:t>
            </w:r>
            <w:r w:rsidRPr="00D831B1">
              <w:rPr>
                <w:rFonts w:ascii="Century Gothic" w:hAnsi="Century Gothic"/>
                <w:b/>
                <w:i/>
                <w:sz w:val="20"/>
                <w:szCs w:val="21"/>
              </w:rPr>
              <w:t>grant type; grant title, start and end dates, and amount</w:t>
            </w:r>
          </w:p>
        </w:tc>
        <w:tc>
          <w:tcPr>
            <w:tcW w:w="3193" w:type="dxa"/>
            <w:shd w:val="clear" w:color="auto" w:fill="auto"/>
          </w:tcPr>
          <w:p w14:paraId="75BCA130" w14:textId="77777777" w:rsidR="00CB328A" w:rsidRDefault="00D50E04" w:rsidP="0027752B">
            <w:r>
              <w:rPr>
                <w:rFonts w:ascii="Century Gothic" w:hAnsi="Century Gothic"/>
                <w:sz w:val="21"/>
                <w:szCs w:val="21"/>
              </w:rPr>
              <w:t>ERC Starting Grant: BeeDanceGap, Feb 2016-Jan 2021</w:t>
            </w:r>
            <w:r w:rsidRPr="00D50E04">
              <w:rPr>
                <w:rFonts w:ascii="Century Gothic" w:hAnsi="Century Gothic"/>
                <w:sz w:val="21"/>
                <w:szCs w:val="21"/>
              </w:rPr>
              <w:t xml:space="preserve">; </w:t>
            </w:r>
            <w:r w:rsidRPr="00D50E04">
              <w:t>€1 422 110</w:t>
            </w:r>
          </w:p>
          <w:p w14:paraId="60809217" w14:textId="77777777" w:rsidR="00D50E04" w:rsidRDefault="00D50E04" w:rsidP="0027752B"/>
          <w:p w14:paraId="066DB545" w14:textId="5EBB0FEB" w:rsidR="00D50E04" w:rsidRPr="00F705DD" w:rsidRDefault="00D50E04" w:rsidP="0027752B">
            <w:pPr>
              <w:rPr>
                <w:rFonts w:ascii="Century Gothic" w:hAnsi="Century Gothic"/>
                <w:sz w:val="21"/>
                <w:szCs w:val="21"/>
              </w:rPr>
            </w:pPr>
            <w:r>
              <w:t xml:space="preserve">Leverhulme </w:t>
            </w:r>
            <w:r w:rsidR="00DC45A5">
              <w:t xml:space="preserve">Trust </w:t>
            </w:r>
            <w:r>
              <w:t xml:space="preserve">Research </w:t>
            </w:r>
            <w:r w:rsidR="00DC45A5">
              <w:t xml:space="preserve">Project </w:t>
            </w:r>
            <w:r>
              <w:t xml:space="preserve">Grant: Cognition in the </w:t>
            </w:r>
            <w:r>
              <w:lastRenderedPageBreak/>
              <w:t>Wild</w:t>
            </w:r>
            <w:r w:rsidR="00455F5E">
              <w:t>, £249 516; Aug 2017- Jul 2020</w:t>
            </w:r>
          </w:p>
        </w:tc>
        <w:tc>
          <w:tcPr>
            <w:tcW w:w="4118" w:type="dxa"/>
            <w:shd w:val="clear" w:color="auto" w:fill="auto"/>
          </w:tcPr>
          <w:p w14:paraId="17F786CF" w14:textId="639F06FD" w:rsidR="00CF5F0A" w:rsidRPr="00CF5F0A" w:rsidRDefault="00CF5F0A" w:rsidP="00FD108D">
            <w:pPr>
              <w:pStyle w:val="ListParagraph"/>
              <w:tabs>
                <w:tab w:val="left" w:pos="-720"/>
              </w:tabs>
              <w:suppressAutoHyphens/>
              <w:spacing w:after="0" w:line="240" w:lineRule="auto"/>
              <w:ind w:left="0" w:right="-20"/>
              <w:rPr>
                <w:rFonts w:ascii="Times New Roman" w:hAnsi="Times New Roman"/>
                <w:sz w:val="24"/>
                <w:szCs w:val="24"/>
              </w:rPr>
            </w:pPr>
            <w:r w:rsidRPr="00CF5F0A">
              <w:rPr>
                <w:rFonts w:ascii="Times New Roman" w:hAnsi="Times New Roman"/>
                <w:sz w:val="24"/>
                <w:szCs w:val="24"/>
              </w:rPr>
              <w:lastRenderedPageBreak/>
              <w:t>Sustainable Food Alliance (USA)</w:t>
            </w:r>
            <w:r w:rsidR="00FD108D">
              <w:rPr>
                <w:rFonts w:ascii="Times New Roman" w:hAnsi="Times New Roman"/>
                <w:sz w:val="24"/>
                <w:szCs w:val="24"/>
              </w:rPr>
              <w:t xml:space="preserve"> </w:t>
            </w:r>
            <w:r w:rsidR="00FD108D">
              <w:t>project grant</w:t>
            </w:r>
            <w:r w:rsidR="00FD108D">
              <w:rPr>
                <w:rFonts w:ascii="Times New Roman" w:hAnsi="Times New Roman"/>
                <w:sz w:val="24"/>
                <w:szCs w:val="24"/>
              </w:rPr>
              <w:t>:</w:t>
            </w:r>
            <w:r w:rsidRPr="00CF5F0A">
              <w:rPr>
                <w:rFonts w:ascii="Times New Roman" w:hAnsi="Times New Roman"/>
                <w:sz w:val="24"/>
                <w:szCs w:val="24"/>
              </w:rPr>
              <w:t xml:space="preserve"> </w:t>
            </w:r>
            <w:hyperlink r:id="rId10" w:history="1">
              <w:r w:rsidRPr="00CF5F0A">
                <w:rPr>
                  <w:rFonts w:ascii="Times New Roman" w:hAnsi="Times New Roman"/>
                  <w:bCs/>
                  <w:color w:val="000000"/>
                  <w:sz w:val="24"/>
                  <w:szCs w:val="24"/>
                  <w:lang w:eastAsia="en-GB"/>
                </w:rPr>
                <w:t>Beneficial effects of organic food consumption and toxic effects of glyphosate residues: ill-health biomarkers by a multiomics approach</w:t>
              </w:r>
            </w:hyperlink>
            <w:r w:rsidRPr="00CF5F0A">
              <w:rPr>
                <w:rFonts w:ascii="Times New Roman" w:hAnsi="Times New Roman"/>
                <w:bCs/>
                <w:color w:val="000000"/>
                <w:sz w:val="24"/>
                <w:szCs w:val="24"/>
                <w:lang w:eastAsia="en-GB"/>
              </w:rPr>
              <w:t>.</w:t>
            </w:r>
            <w:r w:rsidRPr="00CF5F0A">
              <w:rPr>
                <w:rFonts w:ascii="Times New Roman" w:hAnsi="Times New Roman"/>
                <w:sz w:val="24"/>
                <w:szCs w:val="24"/>
              </w:rPr>
              <w:t xml:space="preserve"> £694,663; 2016-2020</w:t>
            </w:r>
          </w:p>
          <w:p w14:paraId="0DFB8061" w14:textId="0C44E47A" w:rsidR="00CF5F0A" w:rsidRDefault="00CF5F0A" w:rsidP="00FD108D">
            <w:pPr>
              <w:pStyle w:val="ListParagraph"/>
              <w:tabs>
                <w:tab w:val="left" w:pos="-720"/>
              </w:tabs>
              <w:suppressAutoHyphens/>
              <w:spacing w:after="0" w:line="240" w:lineRule="auto"/>
              <w:ind w:right="-20" w:hanging="720"/>
              <w:rPr>
                <w:rFonts w:ascii="Times New Roman" w:hAnsi="Times New Roman"/>
                <w:sz w:val="24"/>
                <w:szCs w:val="24"/>
              </w:rPr>
            </w:pPr>
            <w:r w:rsidRPr="00CF5F0A">
              <w:rPr>
                <w:rFonts w:ascii="Times New Roman" w:hAnsi="Times New Roman"/>
                <w:sz w:val="24"/>
                <w:szCs w:val="24"/>
              </w:rPr>
              <w:lastRenderedPageBreak/>
              <w:t>Breast Cancer UK</w:t>
            </w:r>
            <w:r w:rsidR="00FD108D">
              <w:t xml:space="preserve"> project grant</w:t>
            </w:r>
            <w:r w:rsidR="00FD108D">
              <w:rPr>
                <w:rFonts w:ascii="Times New Roman" w:hAnsi="Times New Roman"/>
                <w:sz w:val="24"/>
                <w:szCs w:val="24"/>
              </w:rPr>
              <w:t>:</w:t>
            </w:r>
            <w:r w:rsidRPr="00CF5F0A">
              <w:rPr>
                <w:rFonts w:ascii="Times New Roman" w:hAnsi="Times New Roman"/>
                <w:sz w:val="24"/>
                <w:szCs w:val="24"/>
              </w:rPr>
              <w:t xml:space="preserve"> </w:t>
            </w:r>
            <w:hyperlink r:id="rId11" w:history="1">
              <w:r w:rsidRPr="00CF5F0A">
                <w:rPr>
                  <w:rStyle w:val="Hyperlink"/>
                  <w:rFonts w:ascii="Times New Roman" w:hAnsi="Times New Roman"/>
                  <w:color w:val="000000"/>
                  <w:sz w:val="24"/>
                  <w:szCs w:val="24"/>
                  <w:u w:val="none"/>
                </w:rPr>
                <w:t>Evaluating the</w:t>
              </w:r>
              <w:r w:rsidR="00FD108D">
                <w:rPr>
                  <w:rStyle w:val="Hyperlink"/>
                  <w:rFonts w:ascii="Times New Roman" w:hAnsi="Times New Roman"/>
                  <w:color w:val="000000"/>
                  <w:sz w:val="24"/>
                  <w:szCs w:val="24"/>
                  <w:u w:val="none"/>
                </w:rPr>
                <w:t xml:space="preserve"> </w:t>
              </w:r>
              <w:r w:rsidRPr="00CF5F0A">
                <w:rPr>
                  <w:rStyle w:val="Hyperlink"/>
                  <w:rFonts w:ascii="Times New Roman" w:hAnsi="Times New Roman"/>
                  <w:color w:val="000000"/>
                  <w:sz w:val="24"/>
                  <w:szCs w:val="24"/>
                  <w:u w:val="none"/>
                </w:rPr>
                <w:t>cancer-causing potential of bisphenol combinations in primary mammary epithelial cells</w:t>
              </w:r>
            </w:hyperlink>
            <w:r w:rsidRPr="00CF5F0A">
              <w:rPr>
                <w:rStyle w:val="Hyperlink"/>
                <w:rFonts w:ascii="Times New Roman" w:hAnsi="Times New Roman"/>
                <w:color w:val="000000"/>
                <w:sz w:val="24"/>
                <w:szCs w:val="24"/>
                <w:u w:val="none"/>
              </w:rPr>
              <w:t>.</w:t>
            </w:r>
            <w:r w:rsidRPr="00CF5F0A">
              <w:rPr>
                <w:rFonts w:ascii="Times New Roman" w:hAnsi="Times New Roman"/>
                <w:sz w:val="24"/>
                <w:szCs w:val="24"/>
              </w:rPr>
              <w:t xml:space="preserve"> £45,000; 2018-2020</w:t>
            </w:r>
          </w:p>
          <w:p w14:paraId="49FDE274" w14:textId="77777777" w:rsidR="00FD108D" w:rsidRPr="00CF5F0A" w:rsidRDefault="00FD108D" w:rsidP="00FD108D">
            <w:pPr>
              <w:pStyle w:val="ListParagraph"/>
              <w:tabs>
                <w:tab w:val="left" w:pos="-720"/>
              </w:tabs>
              <w:suppressAutoHyphens/>
              <w:spacing w:after="0" w:line="240" w:lineRule="auto"/>
              <w:ind w:right="-20" w:hanging="720"/>
              <w:rPr>
                <w:rFonts w:ascii="Times New Roman" w:hAnsi="Times New Roman"/>
                <w:sz w:val="24"/>
                <w:szCs w:val="24"/>
              </w:rPr>
            </w:pPr>
          </w:p>
          <w:p w14:paraId="0478C02A" w14:textId="1D7FB1E9" w:rsidR="00CF5F0A" w:rsidRDefault="00CF5F0A" w:rsidP="00FD108D">
            <w:pPr>
              <w:pStyle w:val="ListParagraph"/>
              <w:tabs>
                <w:tab w:val="left" w:pos="-720"/>
              </w:tabs>
              <w:suppressAutoHyphens/>
              <w:spacing w:after="0" w:line="240" w:lineRule="auto"/>
              <w:ind w:right="-20" w:hanging="720"/>
              <w:rPr>
                <w:rFonts w:ascii="Times New Roman" w:hAnsi="Times New Roman"/>
                <w:sz w:val="24"/>
                <w:szCs w:val="24"/>
              </w:rPr>
            </w:pPr>
            <w:r w:rsidRPr="00CF5F0A">
              <w:rPr>
                <w:rFonts w:ascii="Times New Roman" w:hAnsi="Times New Roman"/>
                <w:sz w:val="24"/>
                <w:szCs w:val="24"/>
              </w:rPr>
              <w:t>Sustainable Food Alliance (USA)</w:t>
            </w:r>
            <w:r w:rsidR="00FD108D">
              <w:rPr>
                <w:rFonts w:ascii="Times New Roman" w:hAnsi="Times New Roman"/>
                <w:sz w:val="24"/>
                <w:szCs w:val="24"/>
              </w:rPr>
              <w:t xml:space="preserve"> project grant:</w:t>
            </w:r>
            <w:r w:rsidRPr="00CF5F0A">
              <w:rPr>
                <w:rFonts w:ascii="Times New Roman" w:hAnsi="Times New Roman"/>
                <w:sz w:val="24"/>
                <w:szCs w:val="24"/>
              </w:rPr>
              <w:t xml:space="preserve"> </w:t>
            </w:r>
            <w:hyperlink r:id="rId12" w:history="1">
              <w:r w:rsidRPr="00CF5F0A">
                <w:rPr>
                  <w:rStyle w:val="Hyperlink"/>
                  <w:rFonts w:ascii="Times New Roman" w:hAnsi="Times New Roman"/>
                  <w:color w:val="000000"/>
                  <w:sz w:val="24"/>
                  <w:szCs w:val="24"/>
                  <w:u w:val="none"/>
                </w:rPr>
                <w:t>Highlighting the health benefits of an organic diet through analysis of the gut microbiome in human subjects</w:t>
              </w:r>
            </w:hyperlink>
            <w:r w:rsidRPr="00CF5F0A">
              <w:rPr>
                <w:rStyle w:val="Hyperlink"/>
                <w:rFonts w:ascii="Times New Roman" w:hAnsi="Times New Roman"/>
                <w:color w:val="000000"/>
                <w:sz w:val="24"/>
                <w:szCs w:val="24"/>
                <w:u w:val="none"/>
              </w:rPr>
              <w:t>.</w:t>
            </w:r>
            <w:r w:rsidRPr="00CF5F0A">
              <w:rPr>
                <w:rStyle w:val="Hyperlink"/>
                <w:rFonts w:ascii="Times New Roman" w:hAnsi="Times New Roman"/>
                <w:sz w:val="24"/>
                <w:szCs w:val="24"/>
                <w:u w:val="none"/>
              </w:rPr>
              <w:t xml:space="preserve"> </w:t>
            </w:r>
            <w:r w:rsidRPr="00CF5F0A">
              <w:rPr>
                <w:rStyle w:val="Hyperlink"/>
                <w:rFonts w:ascii="Times New Roman" w:hAnsi="Times New Roman"/>
                <w:color w:val="000000"/>
                <w:sz w:val="24"/>
                <w:szCs w:val="24"/>
                <w:u w:val="none"/>
              </w:rPr>
              <w:t>£130,252</w:t>
            </w:r>
            <w:r w:rsidRPr="00CF5F0A">
              <w:rPr>
                <w:rFonts w:ascii="Times New Roman" w:hAnsi="Times New Roman"/>
                <w:sz w:val="24"/>
                <w:szCs w:val="24"/>
              </w:rPr>
              <w:t>; 2018-2020</w:t>
            </w:r>
          </w:p>
          <w:p w14:paraId="46D8F53C" w14:textId="77777777" w:rsidR="00FD108D" w:rsidRPr="00CF5F0A" w:rsidRDefault="00FD108D" w:rsidP="00FD108D">
            <w:pPr>
              <w:pStyle w:val="ListParagraph"/>
              <w:tabs>
                <w:tab w:val="left" w:pos="-720"/>
              </w:tabs>
              <w:suppressAutoHyphens/>
              <w:spacing w:after="0" w:line="240" w:lineRule="auto"/>
              <w:ind w:right="-20" w:hanging="720"/>
              <w:rPr>
                <w:rFonts w:ascii="Times New Roman" w:hAnsi="Times New Roman"/>
                <w:sz w:val="24"/>
                <w:szCs w:val="24"/>
              </w:rPr>
            </w:pPr>
          </w:p>
          <w:p w14:paraId="2770C435" w14:textId="7A1C9A36" w:rsidR="00CF5F0A" w:rsidRPr="00CF5F0A" w:rsidRDefault="00CF5F0A" w:rsidP="00FD108D">
            <w:pPr>
              <w:pStyle w:val="ListParagraph"/>
              <w:tabs>
                <w:tab w:val="left" w:pos="-720"/>
              </w:tabs>
              <w:suppressAutoHyphens/>
              <w:spacing w:after="0" w:line="240" w:lineRule="auto"/>
              <w:ind w:left="0" w:right="-20"/>
              <w:rPr>
                <w:rFonts w:ascii="Times New Roman" w:hAnsi="Times New Roman"/>
                <w:sz w:val="24"/>
                <w:szCs w:val="24"/>
              </w:rPr>
            </w:pPr>
            <w:r w:rsidRPr="00CF5F0A">
              <w:rPr>
                <w:rFonts w:ascii="Times New Roman" w:hAnsi="Times New Roman"/>
                <w:sz w:val="24"/>
                <w:szCs w:val="24"/>
              </w:rPr>
              <w:t>DEBRA UK</w:t>
            </w:r>
            <w:r w:rsidR="00FD108D">
              <w:rPr>
                <w:rFonts w:ascii="Times New Roman" w:hAnsi="Times New Roman"/>
                <w:sz w:val="24"/>
                <w:szCs w:val="24"/>
              </w:rPr>
              <w:t xml:space="preserve"> project grant:</w:t>
            </w:r>
            <w:r w:rsidRPr="00CF5F0A">
              <w:rPr>
                <w:rFonts w:ascii="Times New Roman" w:hAnsi="Times New Roman"/>
                <w:sz w:val="24"/>
                <w:szCs w:val="24"/>
              </w:rPr>
              <w:t xml:space="preserve"> Spray-on gene/cell therapy </w:t>
            </w:r>
            <w:r w:rsidR="00FD108D">
              <w:rPr>
                <w:rFonts w:ascii="Times New Roman" w:hAnsi="Times New Roman"/>
                <w:sz w:val="24"/>
                <w:szCs w:val="24"/>
              </w:rPr>
              <w:t xml:space="preserve">      </w:t>
            </w:r>
            <w:r w:rsidRPr="00CF5F0A">
              <w:rPr>
                <w:rFonts w:ascii="Times New Roman" w:hAnsi="Times New Roman"/>
                <w:sz w:val="24"/>
                <w:szCs w:val="24"/>
              </w:rPr>
              <w:t>for RDEB. £174,022; 2019-2021</w:t>
            </w:r>
          </w:p>
          <w:p w14:paraId="0ADD6ECE" w14:textId="77777777" w:rsidR="00FD108D" w:rsidRDefault="00FD108D" w:rsidP="00FD108D">
            <w:pPr>
              <w:pStyle w:val="ListParagraph"/>
              <w:tabs>
                <w:tab w:val="left" w:pos="-720"/>
              </w:tabs>
              <w:suppressAutoHyphens/>
              <w:spacing w:after="0" w:line="240" w:lineRule="auto"/>
              <w:ind w:right="-20" w:hanging="720"/>
              <w:rPr>
                <w:rFonts w:ascii="Times New Roman" w:hAnsi="Times New Roman"/>
                <w:sz w:val="24"/>
                <w:szCs w:val="24"/>
              </w:rPr>
            </w:pPr>
          </w:p>
          <w:p w14:paraId="2C23DA88" w14:textId="1CD7AD13" w:rsidR="00CF5F0A" w:rsidRDefault="00CF5F0A" w:rsidP="00FD108D">
            <w:pPr>
              <w:pStyle w:val="ListParagraph"/>
              <w:tabs>
                <w:tab w:val="left" w:pos="-720"/>
              </w:tabs>
              <w:suppressAutoHyphens/>
              <w:spacing w:after="0" w:line="240" w:lineRule="auto"/>
              <w:ind w:right="-20" w:hanging="720"/>
              <w:rPr>
                <w:rFonts w:ascii="Times New Roman" w:hAnsi="Times New Roman"/>
                <w:sz w:val="24"/>
              </w:rPr>
            </w:pPr>
            <w:r w:rsidRPr="00CF5F0A">
              <w:rPr>
                <w:rFonts w:ascii="Times New Roman" w:hAnsi="Times New Roman"/>
                <w:sz w:val="24"/>
                <w:szCs w:val="24"/>
              </w:rPr>
              <w:t xml:space="preserve">BBSRC </w:t>
            </w:r>
            <w:r w:rsidR="00FD108D">
              <w:rPr>
                <w:rFonts w:ascii="Times New Roman" w:hAnsi="Times New Roman"/>
                <w:sz w:val="24"/>
                <w:szCs w:val="24"/>
              </w:rPr>
              <w:t xml:space="preserve">LIDo </w:t>
            </w:r>
            <w:r w:rsidRPr="00CF5F0A">
              <w:rPr>
                <w:rFonts w:ascii="Times New Roman" w:hAnsi="Times New Roman"/>
                <w:sz w:val="24"/>
                <w:szCs w:val="24"/>
              </w:rPr>
              <w:t xml:space="preserve">iCASE PhD studentship; industrial partner MilliporeSigma; </w:t>
            </w:r>
            <w:r w:rsidRPr="00CF5F0A">
              <w:rPr>
                <w:rFonts w:ascii="Times New Roman" w:hAnsi="Times New Roman"/>
                <w:sz w:val="24"/>
              </w:rPr>
              <w:t>Defining ubiquitous chromatin opening element (UCOE) molecular mechanisms of action.</w:t>
            </w:r>
            <w:r w:rsidRPr="00CF5F0A">
              <w:rPr>
                <w:rFonts w:ascii="Times New Roman" w:hAnsi="Times New Roman"/>
                <w:sz w:val="24"/>
                <w:szCs w:val="24"/>
              </w:rPr>
              <w:t xml:space="preserve"> </w:t>
            </w:r>
            <w:r w:rsidRPr="00CF5F0A">
              <w:rPr>
                <w:rFonts w:ascii="Times New Roman" w:hAnsi="Times New Roman"/>
                <w:sz w:val="24"/>
              </w:rPr>
              <w:t>£185,000</w:t>
            </w:r>
            <w:r w:rsidRPr="00CF5F0A">
              <w:rPr>
                <w:rFonts w:ascii="Times New Roman" w:hAnsi="Times New Roman"/>
                <w:sz w:val="24"/>
                <w:szCs w:val="24"/>
              </w:rPr>
              <w:t>;</w:t>
            </w:r>
            <w:r w:rsidR="00FD108D">
              <w:rPr>
                <w:rFonts w:ascii="Times New Roman" w:hAnsi="Times New Roman"/>
                <w:sz w:val="24"/>
                <w:szCs w:val="24"/>
              </w:rPr>
              <w:t xml:space="preserve"> </w:t>
            </w:r>
            <w:r w:rsidRPr="00CF5F0A">
              <w:rPr>
                <w:rFonts w:ascii="Times New Roman" w:hAnsi="Times New Roman"/>
                <w:sz w:val="24"/>
              </w:rPr>
              <w:t>2020-2024</w:t>
            </w:r>
          </w:p>
          <w:p w14:paraId="18374ED3" w14:textId="77777777" w:rsidR="00FD108D" w:rsidRPr="00CF5F0A" w:rsidRDefault="00FD108D" w:rsidP="00FD108D">
            <w:pPr>
              <w:pStyle w:val="ListParagraph"/>
              <w:tabs>
                <w:tab w:val="left" w:pos="-720"/>
              </w:tabs>
              <w:suppressAutoHyphens/>
              <w:spacing w:after="0" w:line="240" w:lineRule="auto"/>
              <w:ind w:right="-20" w:hanging="720"/>
              <w:rPr>
                <w:rFonts w:ascii="Times New Roman" w:hAnsi="Times New Roman"/>
                <w:sz w:val="24"/>
                <w:szCs w:val="24"/>
              </w:rPr>
            </w:pPr>
          </w:p>
          <w:p w14:paraId="54FB0847" w14:textId="7B4A3EDA" w:rsidR="00FD108D" w:rsidRDefault="00CF5F0A" w:rsidP="00FD108D">
            <w:pPr>
              <w:pStyle w:val="ListParagraph"/>
              <w:tabs>
                <w:tab w:val="left" w:pos="-720"/>
              </w:tabs>
              <w:suppressAutoHyphens/>
              <w:spacing w:after="0" w:line="240" w:lineRule="auto"/>
              <w:ind w:right="-20" w:hanging="720"/>
              <w:rPr>
                <w:rFonts w:ascii="Times New Roman" w:hAnsi="Times New Roman"/>
                <w:sz w:val="24"/>
              </w:rPr>
            </w:pPr>
            <w:r w:rsidRPr="00CF5F0A">
              <w:rPr>
                <w:rFonts w:ascii="Times New Roman" w:hAnsi="Times New Roman"/>
                <w:sz w:val="24"/>
                <w:szCs w:val="24"/>
              </w:rPr>
              <w:t>Sustainable Food Alliance (USA)</w:t>
            </w:r>
            <w:r w:rsidR="00FD108D">
              <w:rPr>
                <w:rFonts w:ascii="Times New Roman" w:hAnsi="Times New Roman"/>
                <w:sz w:val="24"/>
                <w:szCs w:val="24"/>
              </w:rPr>
              <w:t xml:space="preserve"> PhD studentship:</w:t>
            </w:r>
            <w:r w:rsidRPr="00CF5F0A">
              <w:rPr>
                <w:rFonts w:ascii="Times New Roman" w:hAnsi="Times New Roman"/>
                <w:sz w:val="24"/>
                <w:szCs w:val="24"/>
              </w:rPr>
              <w:t xml:space="preserve"> </w:t>
            </w:r>
            <w:r w:rsidRPr="00CF5F0A">
              <w:rPr>
                <w:rStyle w:val="normaltextrun"/>
                <w:rFonts w:ascii="Times New Roman" w:hAnsi="Times New Roman"/>
                <w:bCs/>
                <w:color w:val="000000"/>
                <w:sz w:val="24"/>
                <w:bdr w:val="none" w:sz="0" w:space="0" w:color="auto" w:frame="1"/>
              </w:rPr>
              <w:t>Identifying the effects of pesticides on intestinal permeability and gut-bacterial dysbiosis.</w:t>
            </w:r>
            <w:r w:rsidRPr="00CF5F0A">
              <w:rPr>
                <w:rStyle w:val="normaltextrun"/>
                <w:rFonts w:ascii="Times New Roman" w:hAnsi="Times New Roman"/>
                <w:sz w:val="24"/>
                <w:szCs w:val="24"/>
              </w:rPr>
              <w:t xml:space="preserve"> </w:t>
            </w:r>
            <w:r w:rsidRPr="00CF5F0A">
              <w:rPr>
                <w:rFonts w:ascii="Times New Roman" w:hAnsi="Times New Roman"/>
                <w:sz w:val="24"/>
              </w:rPr>
              <w:t>£163,775;</w:t>
            </w:r>
            <w:r w:rsidRPr="00CF5F0A">
              <w:rPr>
                <w:rFonts w:ascii="Times New Roman" w:hAnsi="Times New Roman"/>
                <w:sz w:val="24"/>
                <w:szCs w:val="24"/>
              </w:rPr>
              <w:t xml:space="preserve"> </w:t>
            </w:r>
            <w:r w:rsidRPr="00CF5F0A">
              <w:rPr>
                <w:rFonts w:ascii="Times New Roman" w:hAnsi="Times New Roman"/>
                <w:sz w:val="24"/>
              </w:rPr>
              <w:t>2020-2023.</w:t>
            </w:r>
          </w:p>
          <w:p w14:paraId="360E3892" w14:textId="77777777" w:rsidR="00FD108D" w:rsidRDefault="00CF5F0A" w:rsidP="00FD108D">
            <w:pPr>
              <w:pStyle w:val="ListParagraph"/>
              <w:tabs>
                <w:tab w:val="left" w:pos="-720"/>
              </w:tabs>
              <w:suppressAutoHyphens/>
              <w:spacing w:after="0" w:line="240" w:lineRule="auto"/>
              <w:ind w:right="-20" w:hanging="720"/>
              <w:rPr>
                <w:color w:val="000000"/>
              </w:rPr>
            </w:pPr>
            <w:r w:rsidRPr="00CF5F0A">
              <w:rPr>
                <w:color w:val="000000"/>
              </w:rPr>
              <w:t xml:space="preserve"> </w:t>
            </w:r>
          </w:p>
          <w:p w14:paraId="76834C80" w14:textId="001BAB00" w:rsidR="00CF5F0A" w:rsidRPr="00CF5F0A" w:rsidRDefault="00FD108D" w:rsidP="00FD108D">
            <w:pPr>
              <w:pStyle w:val="ListParagraph"/>
              <w:tabs>
                <w:tab w:val="left" w:pos="-720"/>
              </w:tabs>
              <w:suppressAutoHyphens/>
              <w:spacing w:after="0" w:line="240" w:lineRule="auto"/>
              <w:ind w:right="-20" w:hanging="720"/>
              <w:rPr>
                <w:color w:val="000000"/>
              </w:rPr>
            </w:pPr>
            <w:r w:rsidRPr="00CF5F0A">
              <w:rPr>
                <w:rFonts w:ascii="Times New Roman" w:hAnsi="Times New Roman"/>
                <w:sz w:val="24"/>
                <w:szCs w:val="24"/>
              </w:rPr>
              <w:t>Sustainable Food Alliance (</w:t>
            </w:r>
            <w:r w:rsidRPr="00FD108D">
              <w:rPr>
                <w:rFonts w:ascii="Times New Roman" w:hAnsi="Times New Roman" w:cs="Times New Roman"/>
                <w:sz w:val="24"/>
                <w:szCs w:val="24"/>
              </w:rPr>
              <w:t>USA) project grant: Using nanopore nucleic acid sequencing to deepen understanding of the effects of glyphosate on the gut microbiome of mammals and pollinating insects</w:t>
            </w:r>
            <w:r>
              <w:rPr>
                <w:rFonts w:ascii="Times New Roman" w:hAnsi="Times New Roman" w:cs="Times New Roman"/>
                <w:sz w:val="24"/>
                <w:szCs w:val="24"/>
              </w:rPr>
              <w:t>. $57,000; 2020-2021</w:t>
            </w:r>
          </w:p>
          <w:p w14:paraId="39CFC9BF" w14:textId="56C4B97F" w:rsidR="00CB328A" w:rsidRPr="00CF5F0A" w:rsidRDefault="00CB328A" w:rsidP="00FD108D">
            <w:pPr>
              <w:rPr>
                <w:rFonts w:ascii="Century Gothic" w:hAnsi="Century Gothic"/>
                <w:sz w:val="21"/>
                <w:szCs w:val="21"/>
              </w:rPr>
            </w:pPr>
          </w:p>
        </w:tc>
      </w:tr>
      <w:tr w:rsidR="00CB328A" w:rsidRPr="00F705DD" w14:paraId="445F9CD3" w14:textId="77777777" w:rsidTr="00CB328A">
        <w:tc>
          <w:tcPr>
            <w:tcW w:w="3445" w:type="dxa"/>
            <w:shd w:val="clear" w:color="auto" w:fill="auto"/>
          </w:tcPr>
          <w:p w14:paraId="605C0EA2"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lastRenderedPageBreak/>
              <w:t>Additional Supervisors</w:t>
            </w:r>
          </w:p>
          <w:p w14:paraId="46AA4886" w14:textId="77777777" w:rsidR="00CB328A" w:rsidRPr="00D831B1" w:rsidRDefault="00CB328A" w:rsidP="0027752B">
            <w:pPr>
              <w:rPr>
                <w:rFonts w:ascii="Century Gothic" w:hAnsi="Century Gothic"/>
                <w:i/>
                <w:sz w:val="21"/>
                <w:szCs w:val="21"/>
              </w:rPr>
            </w:pPr>
            <w:r w:rsidRPr="00D831B1">
              <w:rPr>
                <w:rFonts w:ascii="Century Gothic" w:hAnsi="Century Gothic"/>
                <w:i/>
                <w:sz w:val="20"/>
                <w:szCs w:val="21"/>
              </w:rPr>
              <w:t>(Indicate the title and funding of any additional supervisors as above.)</w:t>
            </w:r>
          </w:p>
        </w:tc>
        <w:tc>
          <w:tcPr>
            <w:tcW w:w="7311" w:type="dxa"/>
            <w:gridSpan w:val="2"/>
            <w:shd w:val="clear" w:color="auto" w:fill="auto"/>
          </w:tcPr>
          <w:p w14:paraId="0DAD1732"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fldChar w:fldCharType="begin">
                <w:ffData>
                  <w:name w:val="Text38"/>
                  <w:enabled/>
                  <w:calcOnExit w:val="0"/>
                  <w:textInput/>
                </w:ffData>
              </w:fldChar>
            </w:r>
            <w:r w:rsidRPr="00F705DD">
              <w:rPr>
                <w:rFonts w:ascii="Century Gothic" w:hAnsi="Century Gothic"/>
                <w:sz w:val="21"/>
                <w:szCs w:val="21"/>
              </w:rPr>
              <w:instrText xml:space="preserve"> FORMTEXT </w:instrText>
            </w:r>
            <w:r w:rsidRPr="00F705DD">
              <w:rPr>
                <w:rFonts w:ascii="Century Gothic" w:hAnsi="Century Gothic"/>
                <w:sz w:val="21"/>
                <w:szCs w:val="21"/>
              </w:rPr>
            </w:r>
            <w:r w:rsidRPr="00F705DD">
              <w:rPr>
                <w:rFonts w:ascii="Century Gothic" w:hAnsi="Century Gothic"/>
                <w:sz w:val="21"/>
                <w:szCs w:val="21"/>
              </w:rPr>
              <w:fldChar w:fldCharType="separate"/>
            </w:r>
            <w:r w:rsidRPr="00F705DD">
              <w:rPr>
                <w:rFonts w:ascii="Century Gothic" w:hAnsi="Century Gothic"/>
                <w:noProof/>
                <w:sz w:val="21"/>
                <w:szCs w:val="21"/>
              </w:rPr>
              <w:t> </w:t>
            </w:r>
            <w:r w:rsidRPr="00F705DD">
              <w:rPr>
                <w:rFonts w:ascii="Century Gothic" w:hAnsi="Century Gothic"/>
                <w:noProof/>
                <w:sz w:val="21"/>
                <w:szCs w:val="21"/>
              </w:rPr>
              <w:t> </w:t>
            </w:r>
            <w:r w:rsidRPr="00F705DD">
              <w:rPr>
                <w:rFonts w:ascii="Century Gothic" w:hAnsi="Century Gothic"/>
                <w:noProof/>
                <w:sz w:val="21"/>
                <w:szCs w:val="21"/>
              </w:rPr>
              <w:t> </w:t>
            </w:r>
            <w:r w:rsidRPr="00F705DD">
              <w:rPr>
                <w:rFonts w:ascii="Century Gothic" w:hAnsi="Century Gothic"/>
                <w:noProof/>
                <w:sz w:val="21"/>
                <w:szCs w:val="21"/>
              </w:rPr>
              <w:t> </w:t>
            </w:r>
            <w:r w:rsidRPr="00F705DD">
              <w:rPr>
                <w:rFonts w:ascii="Century Gothic" w:hAnsi="Century Gothic"/>
                <w:noProof/>
                <w:sz w:val="21"/>
                <w:szCs w:val="21"/>
              </w:rPr>
              <w:t> </w:t>
            </w:r>
            <w:r w:rsidRPr="00F705DD">
              <w:rPr>
                <w:rFonts w:ascii="Century Gothic" w:hAnsi="Century Gothic"/>
                <w:sz w:val="21"/>
                <w:szCs w:val="21"/>
              </w:rPr>
              <w:fldChar w:fldCharType="end"/>
            </w:r>
          </w:p>
        </w:tc>
      </w:tr>
      <w:tr w:rsidR="00CB328A" w:rsidRPr="00F705DD" w14:paraId="4221D44B" w14:textId="77777777" w:rsidTr="00CB328A">
        <w:tc>
          <w:tcPr>
            <w:tcW w:w="3445" w:type="dxa"/>
            <w:shd w:val="clear" w:color="auto" w:fill="auto"/>
          </w:tcPr>
          <w:p w14:paraId="23102551" w14:textId="77777777" w:rsidR="00CB328A" w:rsidRPr="00F705DD" w:rsidRDefault="00CB328A" w:rsidP="0027752B">
            <w:pPr>
              <w:rPr>
                <w:rFonts w:ascii="Century Gothic" w:hAnsi="Century Gothic"/>
                <w:sz w:val="21"/>
                <w:szCs w:val="21"/>
              </w:rPr>
            </w:pPr>
            <w:r w:rsidRPr="00F705DD">
              <w:rPr>
                <w:rFonts w:ascii="Century Gothic" w:hAnsi="Century Gothic"/>
                <w:sz w:val="21"/>
                <w:szCs w:val="21"/>
              </w:rPr>
              <w:t>Resources required and available for project</w:t>
            </w:r>
          </w:p>
          <w:p w14:paraId="3D746606" w14:textId="77777777" w:rsidR="00CB328A" w:rsidRPr="00D831B1" w:rsidRDefault="00CB328A" w:rsidP="0027752B">
            <w:pPr>
              <w:rPr>
                <w:rFonts w:ascii="Century Gothic" w:hAnsi="Century Gothic"/>
                <w:i/>
                <w:sz w:val="21"/>
                <w:szCs w:val="21"/>
              </w:rPr>
            </w:pPr>
            <w:r w:rsidRPr="00D831B1">
              <w:rPr>
                <w:rFonts w:ascii="Century Gothic" w:hAnsi="Century Gothic"/>
                <w:i/>
                <w:sz w:val="20"/>
                <w:szCs w:val="21"/>
              </w:rPr>
              <w:t>(Briefly describe the consumables, animals, computing and specialist equipment required for the project, including cost estimates. Explain how there will be adequate financial support and appropriate access to resources for the entire PhD project.)</w:t>
            </w:r>
          </w:p>
        </w:tc>
        <w:tc>
          <w:tcPr>
            <w:tcW w:w="7311" w:type="dxa"/>
            <w:gridSpan w:val="2"/>
            <w:shd w:val="clear" w:color="auto" w:fill="auto"/>
          </w:tcPr>
          <w:p w14:paraId="18122FFD" w14:textId="030C1E67" w:rsidR="004E3DD0" w:rsidRDefault="004E3DD0" w:rsidP="0027752B">
            <w:pPr>
              <w:rPr>
                <w:rFonts w:ascii="Century Gothic" w:hAnsi="Century Gothic"/>
                <w:sz w:val="21"/>
                <w:szCs w:val="21"/>
              </w:rPr>
            </w:pPr>
            <w:r>
              <w:rPr>
                <w:rFonts w:ascii="Century Gothic" w:hAnsi="Century Gothic"/>
                <w:sz w:val="21"/>
                <w:szCs w:val="21"/>
              </w:rPr>
              <w:t xml:space="preserve">The project costs will fall within the LIDo support budget of £5000/year. </w:t>
            </w:r>
            <w:r w:rsidR="00A86E64">
              <w:rPr>
                <w:rFonts w:ascii="Century Gothic" w:hAnsi="Century Gothic"/>
                <w:sz w:val="21"/>
                <w:szCs w:val="21"/>
              </w:rPr>
              <w:t>Equipment for ecological experiments is already available within the primary supervisor’s research group. Triple-quad access and training charges for mass spectrometry have been included within the budget. Microbiome sequencing costs are based on inclusion of 60 samples.</w:t>
            </w:r>
          </w:p>
          <w:p w14:paraId="64E8EA93" w14:textId="77777777" w:rsidR="004E3DD0" w:rsidRDefault="004E3DD0" w:rsidP="0027752B">
            <w:pPr>
              <w:rPr>
                <w:rFonts w:ascii="Century Gothic" w:hAnsi="Century Gothic"/>
                <w:sz w:val="21"/>
                <w:szCs w:val="21"/>
              </w:rPr>
            </w:pPr>
          </w:p>
          <w:p w14:paraId="589E0231" w14:textId="77777777" w:rsidR="00CB328A" w:rsidRDefault="00F347BD" w:rsidP="0027752B">
            <w:pPr>
              <w:rPr>
                <w:rFonts w:ascii="Century Gothic" w:hAnsi="Century Gothic"/>
                <w:sz w:val="21"/>
                <w:szCs w:val="21"/>
              </w:rPr>
            </w:pPr>
            <w:r>
              <w:rPr>
                <w:rFonts w:ascii="Century Gothic" w:hAnsi="Century Gothic"/>
                <w:sz w:val="21"/>
                <w:szCs w:val="21"/>
              </w:rPr>
              <w:t xml:space="preserve">Y1: </w:t>
            </w:r>
          </w:p>
          <w:p w14:paraId="1FC65E12" w14:textId="77777777" w:rsidR="00F347BD" w:rsidRDefault="00F347BD" w:rsidP="0027752B">
            <w:pPr>
              <w:rPr>
                <w:rFonts w:ascii="Century Gothic" w:hAnsi="Century Gothic"/>
                <w:sz w:val="21"/>
                <w:szCs w:val="21"/>
              </w:rPr>
            </w:pPr>
            <w:r>
              <w:rPr>
                <w:rFonts w:ascii="Century Gothic" w:hAnsi="Century Gothic"/>
                <w:sz w:val="21"/>
                <w:szCs w:val="21"/>
              </w:rPr>
              <w:t>Bumblebee colonies (60, raised from wild-caught queens): no cost</w:t>
            </w:r>
          </w:p>
          <w:p w14:paraId="446D3EE8" w14:textId="6B81E08F" w:rsidR="00F347BD" w:rsidRDefault="00272F88" w:rsidP="0027752B">
            <w:pPr>
              <w:rPr>
                <w:rFonts w:ascii="Century Gothic" w:hAnsi="Century Gothic"/>
                <w:sz w:val="21"/>
                <w:szCs w:val="21"/>
              </w:rPr>
            </w:pPr>
            <w:r>
              <w:rPr>
                <w:rFonts w:ascii="Century Gothic" w:hAnsi="Century Gothic"/>
                <w:sz w:val="21"/>
                <w:szCs w:val="21"/>
              </w:rPr>
              <w:t>Bumblee rearing c</w:t>
            </w:r>
            <w:r w:rsidR="00F347BD">
              <w:rPr>
                <w:rFonts w:ascii="Century Gothic" w:hAnsi="Century Gothic"/>
                <w:sz w:val="21"/>
                <w:szCs w:val="21"/>
              </w:rPr>
              <w:t>onsumables: £500</w:t>
            </w:r>
          </w:p>
          <w:p w14:paraId="2CF386BD" w14:textId="4176E22C" w:rsidR="00F347BD" w:rsidRDefault="00F347BD" w:rsidP="0027752B">
            <w:pPr>
              <w:rPr>
                <w:rFonts w:ascii="Century Gothic" w:hAnsi="Century Gothic"/>
                <w:sz w:val="21"/>
                <w:szCs w:val="21"/>
              </w:rPr>
            </w:pPr>
            <w:r>
              <w:rPr>
                <w:rFonts w:ascii="Century Gothic" w:hAnsi="Century Gothic"/>
                <w:sz w:val="21"/>
                <w:szCs w:val="21"/>
              </w:rPr>
              <w:t>Insecticides: £300</w:t>
            </w:r>
          </w:p>
          <w:p w14:paraId="7090C2C3" w14:textId="580EB9B4" w:rsidR="00272F88" w:rsidRDefault="00272F88" w:rsidP="0027752B">
            <w:pPr>
              <w:rPr>
                <w:rFonts w:ascii="Century Gothic" w:hAnsi="Century Gothic"/>
                <w:sz w:val="21"/>
                <w:szCs w:val="21"/>
              </w:rPr>
            </w:pPr>
            <w:r>
              <w:rPr>
                <w:rFonts w:ascii="Century Gothic" w:hAnsi="Century Gothic"/>
                <w:sz w:val="21"/>
                <w:szCs w:val="21"/>
              </w:rPr>
              <w:t>Nestboxes: £500</w:t>
            </w:r>
          </w:p>
          <w:p w14:paraId="1D2E1C58" w14:textId="6F89FCFC" w:rsidR="00F347BD" w:rsidRPr="00272F88" w:rsidRDefault="00272F88" w:rsidP="0027752B">
            <w:pPr>
              <w:rPr>
                <w:rFonts w:ascii="Century Gothic" w:hAnsi="Century Gothic"/>
                <w:b/>
                <w:sz w:val="21"/>
                <w:szCs w:val="21"/>
              </w:rPr>
            </w:pPr>
            <w:r>
              <w:rPr>
                <w:rFonts w:ascii="Century Gothic" w:hAnsi="Century Gothic"/>
                <w:b/>
                <w:sz w:val="21"/>
                <w:szCs w:val="21"/>
              </w:rPr>
              <w:t>Subtotal: £1300</w:t>
            </w:r>
          </w:p>
          <w:p w14:paraId="26367623" w14:textId="77777777" w:rsidR="00F347BD" w:rsidRDefault="00F347BD" w:rsidP="0027752B">
            <w:pPr>
              <w:rPr>
                <w:rFonts w:ascii="Century Gothic" w:hAnsi="Century Gothic"/>
                <w:sz w:val="21"/>
                <w:szCs w:val="21"/>
              </w:rPr>
            </w:pPr>
          </w:p>
          <w:p w14:paraId="5B1DB132" w14:textId="77777777" w:rsidR="00F347BD" w:rsidRDefault="00F347BD" w:rsidP="0027752B">
            <w:pPr>
              <w:rPr>
                <w:rFonts w:ascii="Century Gothic" w:hAnsi="Century Gothic"/>
                <w:sz w:val="21"/>
                <w:szCs w:val="21"/>
              </w:rPr>
            </w:pPr>
            <w:r>
              <w:rPr>
                <w:rFonts w:ascii="Century Gothic" w:hAnsi="Century Gothic"/>
                <w:sz w:val="21"/>
                <w:szCs w:val="21"/>
              </w:rPr>
              <w:t xml:space="preserve">Y2: </w:t>
            </w:r>
          </w:p>
          <w:p w14:paraId="2455D552" w14:textId="248801A7" w:rsidR="00F347BD" w:rsidRDefault="00F347BD" w:rsidP="0027752B">
            <w:pPr>
              <w:rPr>
                <w:rFonts w:ascii="Century Gothic" w:hAnsi="Century Gothic"/>
                <w:sz w:val="21"/>
                <w:szCs w:val="21"/>
              </w:rPr>
            </w:pPr>
            <w:r>
              <w:rPr>
                <w:rFonts w:ascii="Century Gothic" w:hAnsi="Century Gothic"/>
                <w:sz w:val="21"/>
                <w:szCs w:val="21"/>
              </w:rPr>
              <w:t>Ma</w:t>
            </w:r>
            <w:r w:rsidR="00272F88">
              <w:rPr>
                <w:rFonts w:ascii="Century Gothic" w:hAnsi="Century Gothic"/>
                <w:sz w:val="21"/>
                <w:szCs w:val="21"/>
              </w:rPr>
              <w:t>ss Spectrometry consumables: £39</w:t>
            </w:r>
            <w:r>
              <w:rPr>
                <w:rFonts w:ascii="Century Gothic" w:hAnsi="Century Gothic"/>
                <w:sz w:val="21"/>
                <w:szCs w:val="21"/>
              </w:rPr>
              <w:t>00</w:t>
            </w:r>
          </w:p>
          <w:p w14:paraId="08CF79C5" w14:textId="13C93AA1" w:rsidR="00F347BD" w:rsidRDefault="00272F88" w:rsidP="0027752B">
            <w:pPr>
              <w:rPr>
                <w:rFonts w:ascii="Century Gothic" w:hAnsi="Century Gothic"/>
                <w:sz w:val="21"/>
                <w:szCs w:val="21"/>
              </w:rPr>
            </w:pPr>
            <w:r>
              <w:rPr>
                <w:rFonts w:ascii="Century Gothic" w:hAnsi="Century Gothic"/>
                <w:sz w:val="21"/>
                <w:szCs w:val="21"/>
              </w:rPr>
              <w:t>QQQ</w:t>
            </w:r>
            <w:r w:rsidR="00F347BD">
              <w:rPr>
                <w:rFonts w:ascii="Century Gothic" w:hAnsi="Century Gothic"/>
                <w:sz w:val="21"/>
                <w:szCs w:val="21"/>
              </w:rPr>
              <w:t xml:space="preserve"> access charges: </w:t>
            </w:r>
            <w:r>
              <w:rPr>
                <w:rFonts w:ascii="Century Gothic" w:hAnsi="Century Gothic"/>
                <w:sz w:val="21"/>
                <w:szCs w:val="21"/>
              </w:rPr>
              <w:t>£1250/month for 2 months = £2500</w:t>
            </w:r>
          </w:p>
          <w:p w14:paraId="29DAF840" w14:textId="75A1DF7C" w:rsidR="00F347BD" w:rsidRPr="00272F88" w:rsidRDefault="00272F88" w:rsidP="0027752B">
            <w:pPr>
              <w:rPr>
                <w:rFonts w:ascii="Century Gothic" w:hAnsi="Century Gothic"/>
                <w:b/>
                <w:sz w:val="21"/>
                <w:szCs w:val="21"/>
              </w:rPr>
            </w:pPr>
            <w:r>
              <w:rPr>
                <w:rFonts w:ascii="Century Gothic" w:hAnsi="Century Gothic"/>
                <w:b/>
                <w:sz w:val="21"/>
                <w:szCs w:val="21"/>
              </w:rPr>
              <w:t>Subt</w:t>
            </w:r>
            <w:r w:rsidRPr="00272F88">
              <w:rPr>
                <w:rFonts w:ascii="Century Gothic" w:hAnsi="Century Gothic"/>
                <w:b/>
                <w:sz w:val="21"/>
                <w:szCs w:val="21"/>
              </w:rPr>
              <w:t>otal: £6400</w:t>
            </w:r>
          </w:p>
          <w:p w14:paraId="4FE06421" w14:textId="77777777" w:rsidR="00272F88" w:rsidRDefault="00272F88" w:rsidP="0027752B">
            <w:pPr>
              <w:rPr>
                <w:rFonts w:ascii="Century Gothic" w:hAnsi="Century Gothic"/>
                <w:sz w:val="21"/>
                <w:szCs w:val="21"/>
              </w:rPr>
            </w:pPr>
          </w:p>
          <w:p w14:paraId="6E6E22E6" w14:textId="77777777" w:rsidR="00272F88" w:rsidRDefault="00272F88" w:rsidP="0027752B">
            <w:pPr>
              <w:rPr>
                <w:rFonts w:ascii="Century Gothic" w:hAnsi="Century Gothic"/>
                <w:sz w:val="21"/>
                <w:szCs w:val="21"/>
              </w:rPr>
            </w:pPr>
            <w:r>
              <w:rPr>
                <w:rFonts w:ascii="Century Gothic" w:hAnsi="Century Gothic"/>
                <w:sz w:val="21"/>
                <w:szCs w:val="21"/>
              </w:rPr>
              <w:t xml:space="preserve">Y3: </w:t>
            </w:r>
          </w:p>
          <w:p w14:paraId="74B31EE5" w14:textId="77777777" w:rsidR="00272F88" w:rsidRDefault="00272F88" w:rsidP="0027752B">
            <w:pPr>
              <w:rPr>
                <w:rFonts w:ascii="Century Gothic" w:hAnsi="Century Gothic"/>
                <w:sz w:val="21"/>
                <w:szCs w:val="21"/>
              </w:rPr>
            </w:pPr>
            <w:r>
              <w:rPr>
                <w:rFonts w:ascii="Century Gothic" w:hAnsi="Century Gothic"/>
                <w:sz w:val="21"/>
                <w:szCs w:val="21"/>
              </w:rPr>
              <w:t>Illumina Amplicon Sequencing of Gut Microbiome samples (60 samples): £5000</w:t>
            </w:r>
          </w:p>
          <w:p w14:paraId="1BBB4423" w14:textId="7A31BE77" w:rsidR="00272F88" w:rsidRDefault="00272F88" w:rsidP="0027752B">
            <w:pPr>
              <w:rPr>
                <w:rFonts w:ascii="Century Gothic" w:hAnsi="Century Gothic"/>
                <w:sz w:val="21"/>
                <w:szCs w:val="21"/>
              </w:rPr>
            </w:pPr>
            <w:r>
              <w:rPr>
                <w:rFonts w:ascii="Century Gothic" w:hAnsi="Century Gothic"/>
                <w:sz w:val="21"/>
                <w:szCs w:val="21"/>
              </w:rPr>
              <w:t>Sampling consumables: £1000</w:t>
            </w:r>
          </w:p>
          <w:p w14:paraId="429DC3CE" w14:textId="77777777" w:rsidR="00272F88" w:rsidRDefault="00272F88" w:rsidP="0027752B">
            <w:pPr>
              <w:rPr>
                <w:rFonts w:ascii="Century Gothic" w:hAnsi="Century Gothic"/>
                <w:sz w:val="21"/>
                <w:szCs w:val="21"/>
              </w:rPr>
            </w:pPr>
            <w:r>
              <w:rPr>
                <w:rFonts w:ascii="Century Gothic" w:hAnsi="Century Gothic"/>
                <w:sz w:val="21"/>
                <w:szCs w:val="21"/>
              </w:rPr>
              <w:t>Commercial bumblebee colonies @£60/ colony: £300</w:t>
            </w:r>
          </w:p>
          <w:p w14:paraId="472878BE" w14:textId="732F3B12" w:rsidR="00272F88" w:rsidRPr="00272F88" w:rsidRDefault="00272F88" w:rsidP="0027752B">
            <w:pPr>
              <w:rPr>
                <w:rFonts w:ascii="Century Gothic" w:hAnsi="Century Gothic"/>
                <w:b/>
                <w:sz w:val="21"/>
                <w:szCs w:val="21"/>
              </w:rPr>
            </w:pPr>
            <w:r>
              <w:rPr>
                <w:rFonts w:ascii="Century Gothic" w:hAnsi="Century Gothic"/>
                <w:b/>
                <w:sz w:val="21"/>
                <w:szCs w:val="21"/>
              </w:rPr>
              <w:t>Subtotal: £6</w:t>
            </w:r>
            <w:r w:rsidRPr="00272F88">
              <w:rPr>
                <w:rFonts w:ascii="Century Gothic" w:hAnsi="Century Gothic"/>
                <w:b/>
                <w:sz w:val="21"/>
                <w:szCs w:val="21"/>
              </w:rPr>
              <w:t>300</w:t>
            </w:r>
          </w:p>
          <w:p w14:paraId="637009CF" w14:textId="77777777" w:rsidR="00272F88" w:rsidRDefault="00272F88" w:rsidP="0027752B">
            <w:pPr>
              <w:rPr>
                <w:rFonts w:ascii="Century Gothic" w:hAnsi="Century Gothic"/>
                <w:sz w:val="21"/>
                <w:szCs w:val="21"/>
              </w:rPr>
            </w:pPr>
          </w:p>
          <w:p w14:paraId="357AC69A" w14:textId="13781B31" w:rsidR="00272F88" w:rsidRPr="00272F88" w:rsidRDefault="00272F88" w:rsidP="0027752B">
            <w:pPr>
              <w:rPr>
                <w:rFonts w:ascii="Century Gothic" w:hAnsi="Century Gothic"/>
                <w:b/>
                <w:sz w:val="21"/>
                <w:szCs w:val="21"/>
              </w:rPr>
            </w:pPr>
            <w:r w:rsidRPr="00272F88">
              <w:rPr>
                <w:rFonts w:ascii="Century Gothic" w:hAnsi="Century Gothic"/>
                <w:b/>
                <w:sz w:val="21"/>
                <w:szCs w:val="21"/>
              </w:rPr>
              <w:t>Total: £14000</w:t>
            </w:r>
          </w:p>
        </w:tc>
      </w:tr>
    </w:tbl>
    <w:p w14:paraId="26DA0CA0" w14:textId="76ACEF94" w:rsidR="00D831B1" w:rsidRDefault="00D831B1">
      <w:pPr>
        <w:rPr>
          <w:rFonts w:ascii="Century Gothic" w:hAnsi="Century Gothic"/>
          <w:sz w:val="21"/>
          <w:szCs w:val="21"/>
          <w:lang w:val="en-GB"/>
        </w:rPr>
      </w:pPr>
    </w:p>
    <w:p w14:paraId="65B1E116" w14:textId="77777777" w:rsidR="00E8019A" w:rsidRDefault="00E8019A">
      <w:pPr>
        <w:rPr>
          <w:rFonts w:ascii="Century Gothic" w:hAnsi="Century Gothic"/>
          <w:b/>
          <w:color w:val="7F7F7F" w:themeColor="text1" w:themeTint="80"/>
          <w:sz w:val="21"/>
          <w:szCs w:val="21"/>
          <w:lang w:val="en-GB"/>
        </w:rPr>
      </w:pPr>
    </w:p>
    <w:p w14:paraId="7414E959" w14:textId="77777777" w:rsidR="00E8019A" w:rsidRDefault="00E8019A">
      <w:pPr>
        <w:rPr>
          <w:rFonts w:ascii="Century Gothic" w:hAnsi="Century Gothic"/>
          <w:b/>
          <w:color w:val="7F7F7F" w:themeColor="text1" w:themeTint="80"/>
          <w:sz w:val="21"/>
          <w:szCs w:val="21"/>
          <w:lang w:val="en-GB"/>
        </w:rPr>
      </w:pPr>
    </w:p>
    <w:p w14:paraId="7DF569C7" w14:textId="77777777" w:rsidR="00E8019A" w:rsidRDefault="00E8019A">
      <w:pPr>
        <w:rPr>
          <w:rFonts w:ascii="Century Gothic" w:hAnsi="Century Gothic"/>
          <w:b/>
          <w:color w:val="7F7F7F" w:themeColor="text1" w:themeTint="80"/>
          <w:sz w:val="21"/>
          <w:szCs w:val="21"/>
          <w:lang w:val="en-GB"/>
        </w:rPr>
      </w:pPr>
      <w:r w:rsidRPr="00E8019A">
        <w:rPr>
          <w:rFonts w:ascii="Century Gothic" w:hAnsi="Century Gothic"/>
          <w:b/>
          <w:color w:val="7F7F7F" w:themeColor="text1" w:themeTint="80"/>
          <w:sz w:val="21"/>
          <w:szCs w:val="21"/>
          <w:lang w:val="en-GB"/>
        </w:rPr>
        <w:t>Current and Previous PhD Students (visible to the LIDo Management and Research Committees only)</w:t>
      </w:r>
    </w:p>
    <w:p w14:paraId="3D8D91A6" w14:textId="77777777" w:rsidR="00E8019A" w:rsidRDefault="00E8019A">
      <w:pPr>
        <w:rPr>
          <w:rFonts w:ascii="Century Gothic" w:hAnsi="Century Gothic"/>
          <w:b/>
          <w:color w:val="7F7F7F" w:themeColor="text1" w:themeTint="80"/>
          <w:sz w:val="21"/>
          <w:szCs w:val="21"/>
          <w:lang w:val="en-GB"/>
        </w:rPr>
      </w:pPr>
    </w:p>
    <w:tbl>
      <w:tblPr>
        <w:tblStyle w:val="TableGrid"/>
        <w:tblW w:w="0" w:type="auto"/>
        <w:tblLook w:val="04A0" w:firstRow="1" w:lastRow="0" w:firstColumn="1" w:lastColumn="0" w:noHBand="0" w:noVBand="1"/>
      </w:tblPr>
      <w:tblGrid>
        <w:gridCol w:w="3585"/>
        <w:gridCol w:w="3585"/>
        <w:gridCol w:w="3644"/>
      </w:tblGrid>
      <w:tr w:rsidR="00E8019A" w14:paraId="7C9F1DB1" w14:textId="77777777" w:rsidTr="0027752B">
        <w:tc>
          <w:tcPr>
            <w:tcW w:w="3585" w:type="dxa"/>
          </w:tcPr>
          <w:p w14:paraId="761DF14F" w14:textId="77777777" w:rsidR="00E8019A" w:rsidRDefault="00E8019A">
            <w:pPr>
              <w:rPr>
                <w:rFonts w:ascii="Century Gothic" w:hAnsi="Century Gothic"/>
                <w:sz w:val="21"/>
                <w:szCs w:val="21"/>
                <w:lang w:val="en-GB"/>
              </w:rPr>
            </w:pPr>
          </w:p>
        </w:tc>
        <w:tc>
          <w:tcPr>
            <w:tcW w:w="3585" w:type="dxa"/>
            <w:vAlign w:val="center"/>
          </w:tcPr>
          <w:p w14:paraId="75BF6B17" w14:textId="346BDEC3" w:rsidR="00E8019A" w:rsidRDefault="00E8019A">
            <w:pPr>
              <w:rPr>
                <w:rFonts w:ascii="Century Gothic" w:hAnsi="Century Gothic"/>
                <w:sz w:val="21"/>
                <w:szCs w:val="21"/>
                <w:lang w:val="en-GB"/>
              </w:rPr>
            </w:pPr>
            <w:r w:rsidRPr="00F705DD">
              <w:rPr>
                <w:rFonts w:ascii="Century Gothic" w:hAnsi="Century Gothic" w:cs="Arial"/>
                <w:b/>
                <w:sz w:val="21"/>
                <w:szCs w:val="21"/>
              </w:rPr>
              <w:t>Primary Supervisor</w:t>
            </w:r>
          </w:p>
        </w:tc>
        <w:tc>
          <w:tcPr>
            <w:tcW w:w="3586" w:type="dxa"/>
            <w:vAlign w:val="center"/>
          </w:tcPr>
          <w:p w14:paraId="4B7C5A40" w14:textId="294DB04A" w:rsidR="00E8019A" w:rsidRDefault="00E8019A">
            <w:pPr>
              <w:rPr>
                <w:rFonts w:ascii="Century Gothic" w:hAnsi="Century Gothic"/>
                <w:sz w:val="21"/>
                <w:szCs w:val="21"/>
                <w:lang w:val="en-GB"/>
              </w:rPr>
            </w:pPr>
            <w:r w:rsidRPr="00F705DD">
              <w:rPr>
                <w:rFonts w:ascii="Century Gothic" w:hAnsi="Century Gothic" w:cs="Arial"/>
                <w:b/>
                <w:sz w:val="21"/>
                <w:szCs w:val="21"/>
              </w:rPr>
              <w:t>Secondary Supervisor</w:t>
            </w:r>
          </w:p>
        </w:tc>
      </w:tr>
      <w:tr w:rsidR="00E8019A" w14:paraId="7B11568E" w14:textId="77777777" w:rsidTr="00E8019A">
        <w:tc>
          <w:tcPr>
            <w:tcW w:w="3585" w:type="dxa"/>
          </w:tcPr>
          <w:p w14:paraId="7F430456" w14:textId="04B51815" w:rsidR="00E8019A" w:rsidRPr="00E8019A" w:rsidRDefault="00E8019A">
            <w:pPr>
              <w:rPr>
                <w:rFonts w:ascii="Century Gothic" w:hAnsi="Century Gothic"/>
                <w:sz w:val="21"/>
                <w:szCs w:val="21"/>
              </w:rPr>
            </w:pPr>
            <w:r w:rsidRPr="00E8019A">
              <w:rPr>
                <w:rFonts w:ascii="Century Gothic" w:hAnsi="Century Gothic"/>
                <w:sz w:val="21"/>
                <w:szCs w:val="21"/>
              </w:rPr>
              <w:t xml:space="preserve">Please provide details of all PhD or PhD candidate students supervised </w:t>
            </w:r>
            <w:r w:rsidRPr="00E8019A">
              <w:rPr>
                <w:rFonts w:ascii="Century Gothic" w:hAnsi="Century Gothic"/>
                <w:b/>
                <w:sz w:val="21"/>
                <w:szCs w:val="21"/>
              </w:rPr>
              <w:t>as primary supervisor</w:t>
            </w:r>
            <w:r w:rsidRPr="00E8019A">
              <w:rPr>
                <w:rFonts w:ascii="Century Gothic" w:hAnsi="Century Gothic"/>
                <w:sz w:val="21"/>
                <w:szCs w:val="21"/>
              </w:rPr>
              <w:t xml:space="preserve"> during the last 6 years </w:t>
            </w:r>
            <w:r w:rsidRPr="00E8019A">
              <w:rPr>
                <w:rFonts w:ascii="Century Gothic" w:hAnsi="Century Gothic"/>
                <w:i/>
                <w:sz w:val="20"/>
                <w:szCs w:val="21"/>
              </w:rPr>
              <w:t>(inc. dates of submission and completion).</w:t>
            </w:r>
          </w:p>
        </w:tc>
        <w:tc>
          <w:tcPr>
            <w:tcW w:w="3585" w:type="dxa"/>
          </w:tcPr>
          <w:p w14:paraId="4D8CCCA5" w14:textId="692CBB80" w:rsidR="00DC45A5" w:rsidRPr="00DC45A5" w:rsidRDefault="00DC45A5" w:rsidP="00DC45A5">
            <w:pPr>
              <w:autoSpaceDE w:val="0"/>
              <w:autoSpaceDN w:val="0"/>
              <w:adjustRightInd w:val="0"/>
            </w:pPr>
            <w:r>
              <w:t>Sept 2019</w:t>
            </w:r>
            <w:r w:rsidRPr="00DC45A5">
              <w:t xml:space="preserve">- ongoing: Cecylia Watrobska, RHUL (Main supervisor; BBSRC </w:t>
            </w:r>
            <w:r>
              <w:t xml:space="preserve">IC-RHUL </w:t>
            </w:r>
            <w:r w:rsidRPr="00DC45A5">
              <w:t>DTP)</w:t>
            </w:r>
          </w:p>
          <w:p w14:paraId="73F41A41" w14:textId="77777777" w:rsidR="00DC45A5" w:rsidRDefault="00DC45A5" w:rsidP="00DC45A5">
            <w:pPr>
              <w:autoSpaceDE w:val="0"/>
              <w:autoSpaceDN w:val="0"/>
              <w:adjustRightInd w:val="0"/>
            </w:pPr>
          </w:p>
          <w:p w14:paraId="5D51FD3E" w14:textId="77777777" w:rsidR="00DC45A5" w:rsidRPr="00DC45A5" w:rsidRDefault="00DC45A5" w:rsidP="00DC45A5">
            <w:pPr>
              <w:autoSpaceDE w:val="0"/>
              <w:autoSpaceDN w:val="0"/>
              <w:adjustRightInd w:val="0"/>
            </w:pPr>
            <w:r w:rsidRPr="00DC45A5">
              <w:t>Sept 2017- ongoing: Romain Willemet, RHUL (Sole supervisor; Joan Warrington Studentship)</w:t>
            </w:r>
          </w:p>
          <w:p w14:paraId="043BF87C" w14:textId="77777777" w:rsidR="00DC45A5" w:rsidRDefault="00DC45A5" w:rsidP="00DC45A5">
            <w:pPr>
              <w:autoSpaceDE w:val="0"/>
              <w:autoSpaceDN w:val="0"/>
              <w:adjustRightInd w:val="0"/>
            </w:pPr>
          </w:p>
          <w:p w14:paraId="2D6D0A11" w14:textId="77777777" w:rsidR="00DC45A5" w:rsidRPr="00DC45A5" w:rsidRDefault="00DC45A5" w:rsidP="00DC45A5">
            <w:pPr>
              <w:autoSpaceDE w:val="0"/>
              <w:autoSpaceDN w:val="0"/>
              <w:adjustRightInd w:val="0"/>
            </w:pPr>
            <w:r w:rsidRPr="00DC45A5">
              <w:t>Aug 2017- ongoing: Gregoire Pasquier, RHUL (Sole supervisor; Leverhulme Trust)</w:t>
            </w:r>
          </w:p>
          <w:p w14:paraId="6C351ED7" w14:textId="77777777" w:rsidR="00DC45A5" w:rsidRDefault="00DC45A5" w:rsidP="00DC45A5">
            <w:pPr>
              <w:autoSpaceDE w:val="0"/>
              <w:autoSpaceDN w:val="0"/>
              <w:adjustRightInd w:val="0"/>
            </w:pPr>
          </w:p>
          <w:p w14:paraId="4B280026" w14:textId="4D696457" w:rsidR="00DC45A5" w:rsidRPr="00DC45A5" w:rsidRDefault="00DC45A5" w:rsidP="00DC45A5">
            <w:pPr>
              <w:autoSpaceDE w:val="0"/>
              <w:autoSpaceDN w:val="0"/>
              <w:adjustRightInd w:val="0"/>
            </w:pPr>
            <w:r w:rsidRPr="00DC45A5">
              <w:t>Sept 2016- Aug 2019 (</w:t>
            </w:r>
            <w:r>
              <w:t>submitted August 2019; completion Oct 2019</w:t>
            </w:r>
            <w:r w:rsidRPr="00DC45A5">
              <w:t>): Harry Siviter, RHUL (Main supervisor; Reid Scholarship)</w:t>
            </w:r>
          </w:p>
          <w:p w14:paraId="1FF06895" w14:textId="77777777" w:rsidR="00DC45A5" w:rsidRDefault="00DC45A5" w:rsidP="00DC45A5">
            <w:pPr>
              <w:autoSpaceDE w:val="0"/>
              <w:autoSpaceDN w:val="0"/>
              <w:adjustRightInd w:val="0"/>
            </w:pPr>
          </w:p>
          <w:p w14:paraId="589A80B4" w14:textId="7DEAA42A" w:rsidR="00DC45A5" w:rsidRPr="00DC45A5" w:rsidRDefault="00DC45A5" w:rsidP="00DC45A5">
            <w:pPr>
              <w:autoSpaceDE w:val="0"/>
              <w:autoSpaceDN w:val="0"/>
              <w:adjustRightInd w:val="0"/>
            </w:pPr>
            <w:r w:rsidRPr="00DC45A5">
              <w:t>Sept 2014- June 2019 (</w:t>
            </w:r>
            <w:r w:rsidR="0021588C">
              <w:t>submitted March 2019, completed August 2019</w:t>
            </w:r>
            <w:r w:rsidRPr="00DC45A5">
              <w:t>): Ash Samuelson, RHUL (Main supervisor; BBSRC DTP)</w:t>
            </w:r>
          </w:p>
          <w:p w14:paraId="03F20947" w14:textId="77777777" w:rsidR="00DC45A5" w:rsidRDefault="00DC45A5" w:rsidP="00DC45A5">
            <w:pPr>
              <w:autoSpaceDE w:val="0"/>
              <w:autoSpaceDN w:val="0"/>
              <w:adjustRightInd w:val="0"/>
            </w:pPr>
          </w:p>
          <w:p w14:paraId="490A4CF4" w14:textId="77777777" w:rsidR="00E8019A" w:rsidRPr="00E8019A" w:rsidRDefault="00E8019A" w:rsidP="00DC45A5">
            <w:pPr>
              <w:autoSpaceDE w:val="0"/>
              <w:autoSpaceDN w:val="0"/>
              <w:adjustRightInd w:val="0"/>
              <w:rPr>
                <w:rFonts w:ascii="Century Gothic" w:hAnsi="Century Gothic"/>
                <w:sz w:val="21"/>
                <w:szCs w:val="21"/>
              </w:rPr>
            </w:pPr>
          </w:p>
        </w:tc>
        <w:tc>
          <w:tcPr>
            <w:tcW w:w="3586" w:type="dxa"/>
          </w:tcPr>
          <w:p w14:paraId="50361A17" w14:textId="77777777" w:rsidR="00CB71E5" w:rsidRDefault="00CB71E5" w:rsidP="00CB71E5">
            <w:pPr>
              <w:pStyle w:val="paragraph"/>
              <w:spacing w:before="0" w:beforeAutospacing="0" w:after="0" w:afterAutospacing="0"/>
              <w:textAlignment w:val="baseline"/>
              <w:rPr>
                <w:rStyle w:val="normaltextrun"/>
                <w:rFonts w:ascii="Calibri" w:hAnsi="Calibri" w:cs="Calibri"/>
                <w:color w:val="000000"/>
                <w:shd w:val="clear" w:color="auto" w:fill="FFFFFF"/>
              </w:rPr>
            </w:pPr>
            <w:r>
              <w:rPr>
                <w:rStyle w:val="normaltextrun"/>
                <w:rFonts w:ascii="Calibri" w:hAnsi="Calibri" w:cs="Calibri"/>
                <w:lang w:val="en-US"/>
              </w:rPr>
              <w:t>Saba Hussa</w:t>
            </w:r>
            <w:r w:rsidRPr="00CB71E5">
              <w:rPr>
                <w:rStyle w:val="normaltextrun"/>
                <w:rFonts w:ascii="Calibri" w:hAnsi="Calibri" w:cs="Calibri"/>
                <w:lang w:val="en-US"/>
              </w:rPr>
              <w:t xml:space="preserve">in; </w:t>
            </w:r>
            <w:r w:rsidRPr="00CB71E5">
              <w:rPr>
                <w:rStyle w:val="normaltextrun"/>
                <w:rFonts w:ascii="Calibri" w:hAnsi="Calibri" w:cs="Calibri"/>
                <w:color w:val="000000"/>
                <w:shd w:val="clear" w:color="auto" w:fill="FFFFFF"/>
              </w:rPr>
              <w:t>Defining ubiquitous chromatin opening element (UCOE®) molecular mechanisms of action to expedite their biotechnological applications</w:t>
            </w:r>
            <w:r>
              <w:rPr>
                <w:rStyle w:val="normaltextrun"/>
                <w:rFonts w:ascii="Calibri" w:hAnsi="Calibri" w:cs="Calibri"/>
                <w:color w:val="000000"/>
                <w:shd w:val="clear" w:color="auto" w:fill="FFFFFF"/>
              </w:rPr>
              <w:t xml:space="preserve">. </w:t>
            </w:r>
            <w:r w:rsidRPr="00CB71E5">
              <w:rPr>
                <w:rStyle w:val="normaltextrun"/>
                <w:rFonts w:ascii="Calibri" w:hAnsi="Calibri" w:cs="Calibri"/>
              </w:rPr>
              <w:t>BBSRC </w:t>
            </w:r>
            <w:r>
              <w:rPr>
                <w:rStyle w:val="normaltextrun"/>
                <w:rFonts w:ascii="Calibri" w:hAnsi="Calibri" w:cs="Calibri"/>
              </w:rPr>
              <w:t xml:space="preserve">LIDo </w:t>
            </w:r>
            <w:r w:rsidRPr="00CB71E5">
              <w:rPr>
                <w:rStyle w:val="spellingerror"/>
                <w:rFonts w:ascii="Calibri" w:hAnsi="Calibri" w:cs="Calibri"/>
              </w:rPr>
              <w:t>iCASE</w:t>
            </w:r>
            <w:r w:rsidRPr="00CB71E5">
              <w:rPr>
                <w:rStyle w:val="normaltextrun"/>
                <w:rFonts w:ascii="Calibri" w:hAnsi="Calibri" w:cs="Calibri"/>
              </w:rPr>
              <w:t> Studentship (</w:t>
            </w:r>
            <w:r w:rsidRPr="00CB71E5">
              <w:rPr>
                <w:rStyle w:val="spellingerror"/>
                <w:rFonts w:ascii="Calibri" w:hAnsi="Calibri" w:cs="Calibri"/>
              </w:rPr>
              <w:t>MilliporeSigma</w:t>
            </w:r>
            <w:r w:rsidRPr="00CB71E5">
              <w:rPr>
                <w:rStyle w:val="normaltextrun"/>
                <w:rFonts w:ascii="Calibri" w:hAnsi="Calibri" w:cs="Calibri"/>
              </w:rPr>
              <w:t> as industrial partner);</w:t>
            </w:r>
            <w:r>
              <w:rPr>
                <w:rStyle w:val="normaltextrun"/>
                <w:rFonts w:ascii="Calibri" w:hAnsi="Calibri" w:cs="Calibri"/>
                <w:color w:val="000000"/>
                <w:shd w:val="clear" w:color="auto" w:fill="FFFFFF"/>
              </w:rPr>
              <w:t xml:space="preserve"> starts Oct 2020</w:t>
            </w:r>
          </w:p>
          <w:p w14:paraId="2DDA4B7E" w14:textId="77777777" w:rsidR="00CB71E5" w:rsidRPr="00CB71E5" w:rsidRDefault="00CB71E5" w:rsidP="00CB71E5">
            <w:pPr>
              <w:pStyle w:val="paragraph"/>
              <w:spacing w:before="0" w:beforeAutospacing="0" w:after="0" w:afterAutospacing="0"/>
              <w:textAlignment w:val="baseline"/>
              <w:rPr>
                <w:rStyle w:val="normaltextrun"/>
                <w:rFonts w:ascii="Calibri" w:hAnsi="Calibri" w:cs="Calibri"/>
                <w:color w:val="000000"/>
                <w:shd w:val="clear" w:color="auto" w:fill="FFFFFF"/>
              </w:rPr>
            </w:pPr>
          </w:p>
          <w:p w14:paraId="47D4355C" w14:textId="78AD8F12" w:rsidR="00CB71E5" w:rsidRDefault="00CB71E5" w:rsidP="00CB71E5">
            <w:pPr>
              <w:pStyle w:val="paragraph"/>
              <w:spacing w:before="0" w:beforeAutospacing="0" w:after="0" w:afterAutospacing="0"/>
              <w:textAlignment w:val="baseline"/>
              <w:rPr>
                <w:rStyle w:val="normaltextrun"/>
                <w:rFonts w:ascii="Calibri" w:hAnsi="Calibri" w:cs="Calibri"/>
                <w:lang w:val="en-US"/>
              </w:rPr>
            </w:pPr>
            <w:r w:rsidRPr="00CB71E5">
              <w:rPr>
                <w:rStyle w:val="normaltextrun"/>
                <w:rFonts w:ascii="Calibri" w:hAnsi="Calibri" w:cs="Calibri"/>
                <w:color w:val="000000"/>
                <w:shd w:val="clear" w:color="auto" w:fill="FFFFFF"/>
              </w:rPr>
              <w:t xml:space="preserve">Scarlett Ferguson; </w:t>
            </w:r>
            <w:r w:rsidRPr="00CB71E5">
              <w:rPr>
                <w:rStyle w:val="normaltextrun"/>
                <w:rFonts w:ascii="Calibri" w:hAnsi="Calibri" w:cs="Calibri"/>
                <w:bCs/>
                <w:color w:val="000000"/>
                <w:bdr w:val="none" w:sz="0" w:space="0" w:color="auto" w:frame="1"/>
              </w:rPr>
              <w:t>Identifying the effects of pesticides on intestinal permeability and gut-bacterial dysbiosis.</w:t>
            </w:r>
            <w:r>
              <w:rPr>
                <w:rStyle w:val="normaltextrun"/>
                <w:rFonts w:ascii="Calibri" w:hAnsi="Calibri" w:cs="Calibri"/>
                <w:bCs/>
                <w:color w:val="000000"/>
                <w:bdr w:val="none" w:sz="0" w:space="0" w:color="auto" w:frame="1"/>
              </w:rPr>
              <w:t xml:space="preserve"> </w:t>
            </w:r>
            <w:r w:rsidRPr="00CF5F0A">
              <w:t>Sustainable Food Alliance (USA)</w:t>
            </w:r>
            <w:r>
              <w:t xml:space="preserve"> PhD studentship; starts Oct 2020</w:t>
            </w:r>
            <w:r>
              <w:rPr>
                <w:rStyle w:val="normaltextrun"/>
                <w:rFonts w:ascii="Calibri" w:hAnsi="Calibri" w:cs="Calibri"/>
                <w:bCs/>
                <w:color w:val="000000"/>
                <w:bdr w:val="none" w:sz="0" w:space="0" w:color="auto" w:frame="1"/>
              </w:rPr>
              <w:t xml:space="preserve"> </w:t>
            </w:r>
            <w:r>
              <w:rPr>
                <w:rStyle w:val="normaltextrun"/>
                <w:rFonts w:ascii="Calibri" w:hAnsi="Calibri" w:cs="Calibri"/>
                <w:color w:val="000000"/>
                <w:shd w:val="clear" w:color="auto" w:fill="FFFFFF"/>
              </w:rPr>
              <w:t xml:space="preserve"> </w:t>
            </w:r>
            <w:r w:rsidRPr="00CB71E5">
              <w:rPr>
                <w:rStyle w:val="normaltextrun"/>
                <w:rFonts w:ascii="Calibri" w:hAnsi="Calibri" w:cs="Calibri"/>
                <w:color w:val="000000"/>
                <w:shd w:val="clear" w:color="auto" w:fill="FFFFFF"/>
              </w:rPr>
              <w:t>   </w:t>
            </w:r>
            <w:r w:rsidRPr="00CB71E5">
              <w:rPr>
                <w:rStyle w:val="eop"/>
                <w:rFonts w:ascii="Calibri" w:hAnsi="Calibri" w:cs="Calibri"/>
                <w:color w:val="000000"/>
                <w:shd w:val="clear" w:color="auto" w:fill="FFFFFF"/>
              </w:rPr>
              <w:t> </w:t>
            </w:r>
          </w:p>
          <w:p w14:paraId="77EB7537" w14:textId="77777777" w:rsidR="00CB71E5" w:rsidRDefault="00CB71E5" w:rsidP="00CB71E5">
            <w:pPr>
              <w:pStyle w:val="paragraph"/>
              <w:spacing w:before="0" w:beforeAutospacing="0" w:after="0" w:afterAutospacing="0"/>
              <w:textAlignment w:val="baseline"/>
              <w:rPr>
                <w:rStyle w:val="normaltextrun"/>
                <w:rFonts w:ascii="Calibri" w:hAnsi="Calibri" w:cs="Calibri"/>
                <w:lang w:val="en-US"/>
              </w:rPr>
            </w:pPr>
          </w:p>
          <w:p w14:paraId="39DE432E" w14:textId="2DA25644" w:rsidR="00CB71E5" w:rsidRPr="00CB71E5" w:rsidRDefault="00CB71E5" w:rsidP="00CB71E5">
            <w:pPr>
              <w:pStyle w:val="paragraph"/>
              <w:spacing w:before="0" w:beforeAutospacing="0" w:after="0" w:afterAutospacing="0"/>
              <w:textAlignment w:val="baseline"/>
              <w:rPr>
                <w:rFonts w:ascii="Calibri" w:hAnsi="Calibri" w:cs="Calibri"/>
              </w:rPr>
            </w:pPr>
            <w:r>
              <w:rPr>
                <w:rStyle w:val="normaltextrun"/>
                <w:rFonts w:ascii="Calibri" w:hAnsi="Calibri" w:cs="Calibri"/>
                <w:lang w:val="en-US"/>
              </w:rPr>
              <w:t xml:space="preserve">Bethany McCloskey; </w:t>
            </w:r>
            <w:r w:rsidRPr="00CB71E5">
              <w:rPr>
                <w:rStyle w:val="normaltextrun"/>
                <w:rFonts w:ascii="Calibri" w:hAnsi="Calibri" w:cs="Calibri"/>
                <w:lang w:val="en-US"/>
              </w:rPr>
              <w:t>Advancing the UCOE® gene expression</w:t>
            </w:r>
            <w:r>
              <w:rPr>
                <w:rStyle w:val="normaltextrun"/>
                <w:rFonts w:ascii="Calibri" w:hAnsi="Calibri" w:cs="Calibri"/>
                <w:lang w:val="en-US"/>
              </w:rPr>
              <w:t xml:space="preserve"> </w:t>
            </w:r>
            <w:r w:rsidRPr="00CB71E5">
              <w:rPr>
                <w:rStyle w:val="normaltextrun"/>
                <w:rFonts w:ascii="Calibri" w:hAnsi="Calibri" w:cs="Calibri"/>
                <w:lang w:val="en-US"/>
              </w:rPr>
              <w:t>platform; </w:t>
            </w:r>
            <w:r w:rsidRPr="00CB71E5">
              <w:rPr>
                <w:rStyle w:val="normaltextrun"/>
                <w:rFonts w:ascii="Calibri" w:hAnsi="Calibri" w:cs="Calibri"/>
              </w:rPr>
              <w:t>BBSRC </w:t>
            </w:r>
            <w:r w:rsidRPr="00CB71E5">
              <w:rPr>
                <w:rStyle w:val="spellingerror"/>
                <w:rFonts w:ascii="Calibri" w:hAnsi="Calibri" w:cs="Calibri"/>
              </w:rPr>
              <w:t>iCASE</w:t>
            </w:r>
            <w:r w:rsidRPr="00CB71E5">
              <w:rPr>
                <w:rStyle w:val="normaltextrun"/>
                <w:rFonts w:ascii="Calibri" w:hAnsi="Calibri" w:cs="Calibri"/>
              </w:rPr>
              <w:t> Studentship (</w:t>
            </w:r>
            <w:r w:rsidRPr="00CB71E5">
              <w:rPr>
                <w:rStyle w:val="spellingerror"/>
                <w:rFonts w:ascii="Calibri" w:hAnsi="Calibri" w:cs="Calibri"/>
              </w:rPr>
              <w:t>MilliporeSigma</w:t>
            </w:r>
            <w:r w:rsidRPr="00CB71E5">
              <w:rPr>
                <w:rStyle w:val="normaltextrun"/>
                <w:rFonts w:ascii="Calibri" w:hAnsi="Calibri" w:cs="Calibri"/>
              </w:rPr>
              <w:t> as industrial partner); </w:t>
            </w:r>
            <w:r>
              <w:rPr>
                <w:rStyle w:val="normaltextrun"/>
                <w:rFonts w:ascii="Calibri" w:hAnsi="Calibri" w:cs="Calibri"/>
              </w:rPr>
              <w:t>submitted Sept 2019, completed June 2020</w:t>
            </w:r>
            <w:r w:rsidRPr="00CB71E5">
              <w:rPr>
                <w:rStyle w:val="normaltextrun"/>
                <w:rFonts w:ascii="Calibri" w:hAnsi="Calibri" w:cs="Calibri"/>
              </w:rPr>
              <w:t>.</w:t>
            </w:r>
            <w:r w:rsidRPr="00CB71E5">
              <w:rPr>
                <w:rStyle w:val="eop"/>
                <w:rFonts w:ascii="Calibri" w:hAnsi="Calibri" w:cs="Calibri"/>
              </w:rPr>
              <w:t> </w:t>
            </w:r>
          </w:p>
          <w:p w14:paraId="1EC40B36" w14:textId="77777777" w:rsidR="00CB71E5" w:rsidRPr="00CB71E5" w:rsidRDefault="00CB71E5" w:rsidP="00CB71E5">
            <w:pPr>
              <w:pStyle w:val="paragraph"/>
              <w:spacing w:before="0" w:beforeAutospacing="0" w:after="0" w:afterAutospacing="0"/>
              <w:textAlignment w:val="baseline"/>
              <w:rPr>
                <w:rFonts w:ascii="Calibri" w:hAnsi="Calibri" w:cs="Calibri"/>
              </w:rPr>
            </w:pPr>
            <w:r w:rsidRPr="00CB71E5">
              <w:rPr>
                <w:rStyle w:val="eop"/>
                <w:rFonts w:ascii="Calibri" w:hAnsi="Calibri" w:cs="Calibri"/>
              </w:rPr>
              <w:t> </w:t>
            </w:r>
          </w:p>
          <w:p w14:paraId="61EEE5BD" w14:textId="2F320CCB" w:rsidR="00CB71E5" w:rsidRDefault="00CB71E5" w:rsidP="00CB71E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color w:val="000000"/>
                <w:lang w:val="en-US"/>
              </w:rPr>
              <w:t xml:space="preserve">Christina Flouri; </w:t>
            </w:r>
            <w:r w:rsidRPr="00CB71E5">
              <w:rPr>
                <w:rStyle w:val="normaltextrun"/>
                <w:rFonts w:ascii="Calibri" w:hAnsi="Calibri" w:cs="Calibri"/>
                <w:color w:val="000000"/>
                <w:lang w:val="en-US"/>
              </w:rPr>
              <w:t>Gene therapy for Haemoglobinopathies: Enhancing Lentiviral Vector Therapeutic Efficacy; BRC studentship; submitted Sept 2018, completed Mar 2019</w:t>
            </w:r>
            <w:r w:rsidRPr="00CB71E5">
              <w:rPr>
                <w:rStyle w:val="eop"/>
                <w:rFonts w:ascii="Calibri" w:hAnsi="Calibri" w:cs="Calibri"/>
              </w:rPr>
              <w:t> </w:t>
            </w:r>
          </w:p>
          <w:p w14:paraId="745E2B94" w14:textId="77777777" w:rsidR="00CB71E5" w:rsidRPr="00CB71E5" w:rsidRDefault="00CB71E5" w:rsidP="00CB71E5">
            <w:pPr>
              <w:pStyle w:val="paragraph"/>
              <w:spacing w:before="0" w:beforeAutospacing="0" w:after="0" w:afterAutospacing="0"/>
              <w:textAlignment w:val="baseline"/>
              <w:rPr>
                <w:rFonts w:ascii="Calibri" w:hAnsi="Calibri" w:cs="Calibri"/>
              </w:rPr>
            </w:pPr>
          </w:p>
          <w:p w14:paraId="24F07CAC" w14:textId="30D13A84" w:rsidR="00CB71E5" w:rsidRPr="00CB71E5" w:rsidRDefault="00CB71E5" w:rsidP="00CB71E5">
            <w:pPr>
              <w:pStyle w:val="paragraph"/>
              <w:spacing w:before="0" w:beforeAutospacing="0" w:after="0" w:afterAutospacing="0"/>
              <w:textAlignment w:val="baseline"/>
              <w:rPr>
                <w:rFonts w:ascii="Calibri" w:hAnsi="Calibri" w:cs="Calibri"/>
              </w:rPr>
            </w:pPr>
            <w:r>
              <w:rPr>
                <w:rStyle w:val="normaltextrun"/>
                <w:rFonts w:ascii="Calibri" w:hAnsi="Calibri" w:cs="Calibri"/>
                <w:lang w:val="en-US"/>
              </w:rPr>
              <w:t xml:space="preserve">Petros Patsali; </w:t>
            </w:r>
            <w:r w:rsidRPr="00CB71E5">
              <w:rPr>
                <w:rStyle w:val="normaltextrun"/>
                <w:rFonts w:ascii="Calibri" w:hAnsi="Calibri" w:cs="Calibri"/>
                <w:lang w:val="en-US"/>
              </w:rPr>
              <w:t>Advanced personalized gene therapy of β-thalassaemia</w:t>
            </w:r>
            <w:r w:rsidRPr="00CB71E5">
              <w:rPr>
                <w:rStyle w:val="normaltextrun"/>
                <w:rFonts w:ascii="Calibri" w:hAnsi="Calibri" w:cs="Calibri"/>
                <w:color w:val="000000"/>
                <w:lang w:val="en-US"/>
              </w:rPr>
              <w:t>; Cypriot government funded; submitted Sept 2016, completed Dec 2016</w:t>
            </w:r>
            <w:r w:rsidRPr="00CB71E5">
              <w:rPr>
                <w:rStyle w:val="eop"/>
                <w:rFonts w:ascii="Calibri" w:hAnsi="Calibri" w:cs="Calibri"/>
              </w:rPr>
              <w:t> </w:t>
            </w:r>
          </w:p>
          <w:p w14:paraId="38EB935F" w14:textId="77777777" w:rsidR="00CB71E5" w:rsidRPr="00CB71E5" w:rsidRDefault="00CB71E5" w:rsidP="00CB71E5">
            <w:pPr>
              <w:pStyle w:val="paragraph"/>
              <w:spacing w:before="0" w:beforeAutospacing="0" w:after="0" w:afterAutospacing="0"/>
              <w:textAlignment w:val="baseline"/>
              <w:rPr>
                <w:rFonts w:ascii="Calibri" w:hAnsi="Calibri" w:cs="Calibri"/>
              </w:rPr>
            </w:pPr>
            <w:r w:rsidRPr="00CB71E5">
              <w:rPr>
                <w:rStyle w:val="eop"/>
                <w:rFonts w:ascii="Calibri" w:hAnsi="Calibri" w:cs="Calibri"/>
              </w:rPr>
              <w:lastRenderedPageBreak/>
              <w:t> </w:t>
            </w:r>
          </w:p>
          <w:p w14:paraId="408188E4" w14:textId="273A89EC" w:rsidR="00CB71E5" w:rsidRPr="00CB71E5" w:rsidRDefault="00CB71E5" w:rsidP="00CB71E5">
            <w:pPr>
              <w:pStyle w:val="paragraph"/>
              <w:spacing w:before="0" w:beforeAutospacing="0" w:after="0" w:afterAutospacing="0"/>
              <w:textAlignment w:val="baseline"/>
              <w:rPr>
                <w:rFonts w:ascii="Calibri" w:hAnsi="Calibri" w:cs="Calibri"/>
              </w:rPr>
            </w:pPr>
            <w:r>
              <w:rPr>
                <w:rStyle w:val="normaltextrun"/>
                <w:rFonts w:ascii="Calibri" w:hAnsi="Calibri" w:cs="Calibri"/>
                <w:lang w:val="en-US"/>
              </w:rPr>
              <w:t xml:space="preserve">Coralea Stephanou; </w:t>
            </w:r>
            <w:r w:rsidRPr="00CB71E5">
              <w:rPr>
                <w:rStyle w:val="normaltextrun"/>
                <w:rFonts w:ascii="Calibri" w:hAnsi="Calibri" w:cs="Calibri"/>
                <w:lang w:val="en-US"/>
              </w:rPr>
              <w:t>Advancing lentiviral gene therapy vectors for β-thalassaemia</w:t>
            </w:r>
            <w:r w:rsidRPr="00CB71E5">
              <w:rPr>
                <w:rStyle w:val="normaltextrun"/>
                <w:rFonts w:ascii="Calibri" w:hAnsi="Calibri" w:cs="Calibri"/>
                <w:color w:val="000000"/>
                <w:lang w:val="en-US"/>
              </w:rPr>
              <w:t>; Cypriot government funded; submitted May 2015, completed Nov 2015</w:t>
            </w:r>
            <w:r w:rsidRPr="00CB71E5">
              <w:rPr>
                <w:rStyle w:val="eop"/>
                <w:rFonts w:ascii="Calibri" w:hAnsi="Calibri" w:cs="Calibri"/>
              </w:rPr>
              <w:t> </w:t>
            </w:r>
          </w:p>
          <w:p w14:paraId="446D6373" w14:textId="77777777" w:rsidR="00CB71E5" w:rsidRPr="00CB71E5" w:rsidRDefault="00CB71E5" w:rsidP="00CB71E5">
            <w:pPr>
              <w:pStyle w:val="paragraph"/>
              <w:spacing w:before="0" w:beforeAutospacing="0" w:after="0" w:afterAutospacing="0"/>
              <w:textAlignment w:val="baseline"/>
              <w:rPr>
                <w:rFonts w:ascii="Calibri" w:hAnsi="Calibri" w:cs="Calibri"/>
              </w:rPr>
            </w:pPr>
            <w:r w:rsidRPr="00CB71E5">
              <w:rPr>
                <w:rStyle w:val="eop"/>
                <w:rFonts w:ascii="Calibri" w:hAnsi="Calibri" w:cs="Calibri"/>
              </w:rPr>
              <w:t> </w:t>
            </w:r>
          </w:p>
          <w:p w14:paraId="338D1DB3" w14:textId="5731D417" w:rsidR="00CB71E5" w:rsidRPr="00CB71E5" w:rsidRDefault="00CB71E5" w:rsidP="00CB71E5">
            <w:pPr>
              <w:pStyle w:val="paragraph"/>
              <w:spacing w:before="0" w:beforeAutospacing="0" w:after="0" w:afterAutospacing="0"/>
              <w:textAlignment w:val="baseline"/>
              <w:rPr>
                <w:rFonts w:ascii="Calibri" w:hAnsi="Calibri" w:cs="Calibri"/>
              </w:rPr>
            </w:pPr>
            <w:r>
              <w:rPr>
                <w:rStyle w:val="normaltextrun"/>
                <w:rFonts w:ascii="Calibri" w:hAnsi="Calibri" w:cs="Calibri"/>
                <w:lang w:val="en-US"/>
              </w:rPr>
              <w:t xml:space="preserve">Omar Anakok; </w:t>
            </w:r>
            <w:r w:rsidRPr="00CB71E5">
              <w:rPr>
                <w:rStyle w:val="normaltextrun"/>
                <w:rFonts w:ascii="Calibri" w:hAnsi="Calibri" w:cs="Calibri"/>
                <w:lang w:val="en-US"/>
              </w:rPr>
              <w:t>Functional dissection of the </w:t>
            </w:r>
            <w:r w:rsidRPr="00CB71E5">
              <w:rPr>
                <w:rStyle w:val="normaltextrun"/>
                <w:rFonts w:ascii="Calibri" w:hAnsi="Calibri" w:cs="Calibri"/>
                <w:i/>
                <w:iCs/>
                <w:lang w:val="en-US"/>
              </w:rPr>
              <w:t>HNRPA2B1</w:t>
            </w:r>
            <w:r w:rsidRPr="00CB71E5">
              <w:rPr>
                <w:rStyle w:val="normaltextrun"/>
                <w:rFonts w:ascii="Calibri" w:hAnsi="Calibri" w:cs="Calibri"/>
                <w:lang w:val="en-US"/>
              </w:rPr>
              <w:t>-</w:t>
            </w:r>
            <w:r w:rsidRPr="00CB71E5">
              <w:rPr>
                <w:rStyle w:val="normaltextrun"/>
                <w:rFonts w:ascii="Calibri" w:hAnsi="Calibri" w:cs="Calibri"/>
                <w:i/>
                <w:iCs/>
                <w:lang w:val="en-US"/>
              </w:rPr>
              <w:t>CBX3</w:t>
            </w:r>
            <w:r w:rsidRPr="00CB71E5">
              <w:rPr>
                <w:rStyle w:val="normaltextrun"/>
                <w:rFonts w:ascii="Calibri" w:hAnsi="Calibri" w:cs="Calibri"/>
                <w:lang w:val="en-US"/>
              </w:rPr>
              <w:t> ubiquitous chromatin opening element (A2UCOE); Turkish government funded; submitted Jun 2015, completed Dec 2015</w:t>
            </w:r>
            <w:r w:rsidRPr="00CB71E5">
              <w:rPr>
                <w:rStyle w:val="eop"/>
                <w:rFonts w:ascii="Calibri" w:hAnsi="Calibri" w:cs="Calibri"/>
              </w:rPr>
              <w:t> </w:t>
            </w:r>
          </w:p>
          <w:p w14:paraId="2B371445" w14:textId="77777777" w:rsidR="00E8019A" w:rsidRPr="00E8019A" w:rsidRDefault="00E8019A">
            <w:pPr>
              <w:rPr>
                <w:rFonts w:ascii="Century Gothic" w:hAnsi="Century Gothic"/>
                <w:sz w:val="21"/>
                <w:szCs w:val="21"/>
              </w:rPr>
            </w:pPr>
          </w:p>
        </w:tc>
      </w:tr>
      <w:tr w:rsidR="00E8019A" w14:paraId="626FC98D" w14:textId="77777777" w:rsidTr="00E8019A">
        <w:tc>
          <w:tcPr>
            <w:tcW w:w="3585" w:type="dxa"/>
          </w:tcPr>
          <w:p w14:paraId="63328E54" w14:textId="3269A33D" w:rsidR="00E8019A" w:rsidRPr="00E8019A" w:rsidRDefault="00E8019A">
            <w:pPr>
              <w:rPr>
                <w:rFonts w:ascii="Century Gothic" w:hAnsi="Century Gothic"/>
                <w:sz w:val="21"/>
                <w:szCs w:val="21"/>
              </w:rPr>
            </w:pPr>
            <w:r w:rsidRPr="00E8019A">
              <w:rPr>
                <w:rFonts w:ascii="Century Gothic" w:hAnsi="Century Gothic"/>
                <w:sz w:val="21"/>
                <w:szCs w:val="21"/>
              </w:rPr>
              <w:lastRenderedPageBreak/>
              <w:t>Please explain if any of the above students did not submit their PhD within 4 years of starting, or if any of the students were not awarded a PhD.</w:t>
            </w:r>
          </w:p>
        </w:tc>
        <w:tc>
          <w:tcPr>
            <w:tcW w:w="3585" w:type="dxa"/>
          </w:tcPr>
          <w:p w14:paraId="258B1963" w14:textId="2DA8CE27" w:rsidR="00E8019A" w:rsidRPr="00E8019A" w:rsidRDefault="0021588C">
            <w:pPr>
              <w:rPr>
                <w:rFonts w:ascii="Century Gothic" w:hAnsi="Century Gothic"/>
                <w:sz w:val="21"/>
                <w:szCs w:val="21"/>
              </w:rPr>
            </w:pPr>
            <w:r>
              <w:rPr>
                <w:rFonts w:ascii="Century Gothic" w:hAnsi="Century Gothic"/>
                <w:sz w:val="21"/>
                <w:szCs w:val="21"/>
              </w:rPr>
              <w:t>N/A</w:t>
            </w:r>
          </w:p>
        </w:tc>
        <w:tc>
          <w:tcPr>
            <w:tcW w:w="3586" w:type="dxa"/>
          </w:tcPr>
          <w:p w14:paraId="6459C1E1" w14:textId="33B5D6AC" w:rsidR="00E8019A" w:rsidRPr="00E8019A" w:rsidRDefault="008077EA">
            <w:pPr>
              <w:rPr>
                <w:rFonts w:ascii="Century Gothic" w:hAnsi="Century Gothic"/>
                <w:sz w:val="21"/>
                <w:szCs w:val="21"/>
              </w:rPr>
            </w:pPr>
            <w:r>
              <w:rPr>
                <w:rFonts w:ascii="Century Gothic" w:hAnsi="Century Gothic"/>
                <w:sz w:val="21"/>
                <w:szCs w:val="21"/>
              </w:rPr>
              <w:t>N/A</w:t>
            </w:r>
          </w:p>
        </w:tc>
      </w:tr>
      <w:tr w:rsidR="00E8019A" w14:paraId="3B711E3C" w14:textId="77777777" w:rsidTr="00E8019A">
        <w:tc>
          <w:tcPr>
            <w:tcW w:w="3585" w:type="dxa"/>
          </w:tcPr>
          <w:p w14:paraId="19A82B30" w14:textId="77777777" w:rsidR="00E8019A" w:rsidRPr="00E8019A" w:rsidRDefault="00E8019A" w:rsidP="0027752B">
            <w:pPr>
              <w:rPr>
                <w:rFonts w:ascii="Century Gothic" w:hAnsi="Century Gothic"/>
                <w:sz w:val="21"/>
                <w:szCs w:val="21"/>
              </w:rPr>
            </w:pPr>
            <w:r w:rsidRPr="00E8019A">
              <w:rPr>
                <w:rFonts w:ascii="Century Gothic" w:hAnsi="Century Gothic"/>
                <w:sz w:val="21"/>
                <w:szCs w:val="21"/>
              </w:rPr>
              <w:t>Training and Mentoring</w:t>
            </w:r>
          </w:p>
          <w:p w14:paraId="759406E1" w14:textId="638D839D" w:rsidR="00E8019A" w:rsidRPr="00E8019A" w:rsidRDefault="00E8019A">
            <w:pPr>
              <w:rPr>
                <w:rFonts w:ascii="Century Gothic" w:hAnsi="Century Gothic"/>
                <w:i/>
                <w:sz w:val="21"/>
                <w:szCs w:val="21"/>
              </w:rPr>
            </w:pPr>
            <w:r w:rsidRPr="00E8019A">
              <w:rPr>
                <w:rFonts w:ascii="Century Gothic" w:hAnsi="Century Gothic"/>
                <w:i/>
                <w:sz w:val="20"/>
                <w:szCs w:val="21"/>
              </w:rPr>
              <w:t>(Indicate any supervision training courses attended. New PIs yet to supervise a PhD student to completion should indicate additional sources of mentoring and support here.)</w:t>
            </w:r>
          </w:p>
        </w:tc>
        <w:tc>
          <w:tcPr>
            <w:tcW w:w="3585" w:type="dxa"/>
          </w:tcPr>
          <w:p w14:paraId="12FDD3B0" w14:textId="77777777" w:rsidR="00E8019A" w:rsidRPr="009D4DB9" w:rsidRDefault="0021588C">
            <w:pPr>
              <w:rPr>
                <w:rFonts w:ascii="Century Gothic" w:hAnsi="Century Gothic"/>
                <w:sz w:val="22"/>
                <w:szCs w:val="22"/>
              </w:rPr>
            </w:pPr>
            <w:r w:rsidRPr="009D4DB9">
              <w:rPr>
                <w:rFonts w:ascii="Century Gothic" w:hAnsi="Century Gothic"/>
                <w:sz w:val="22"/>
                <w:szCs w:val="22"/>
              </w:rPr>
              <w:t>RHUL Mentoring Skills Workshop March 2014</w:t>
            </w:r>
          </w:p>
          <w:p w14:paraId="7E22E19A" w14:textId="77777777" w:rsidR="0021588C" w:rsidRPr="009D4DB9" w:rsidRDefault="0021588C">
            <w:pPr>
              <w:rPr>
                <w:rFonts w:ascii="Century Gothic" w:hAnsi="Century Gothic"/>
                <w:sz w:val="22"/>
                <w:szCs w:val="22"/>
              </w:rPr>
            </w:pPr>
          </w:p>
          <w:p w14:paraId="1B35C324" w14:textId="788BF432" w:rsidR="0021588C" w:rsidRPr="009D4DB9" w:rsidRDefault="0021588C">
            <w:pPr>
              <w:rPr>
                <w:rFonts w:ascii="Century Gothic" w:hAnsi="Century Gothic"/>
                <w:sz w:val="22"/>
                <w:szCs w:val="22"/>
              </w:rPr>
            </w:pPr>
            <w:r w:rsidRPr="009D4DB9">
              <w:rPr>
                <w:rFonts w:ascii="Century Gothic" w:hAnsi="Century Gothic"/>
                <w:sz w:val="22"/>
                <w:szCs w:val="22"/>
              </w:rPr>
              <w:t>RHUL PhD Supervision Workshop</w:t>
            </w:r>
          </w:p>
          <w:p w14:paraId="014639C5" w14:textId="77777777" w:rsidR="0021588C" w:rsidRPr="009D4DB9" w:rsidRDefault="0021588C">
            <w:pPr>
              <w:rPr>
                <w:rFonts w:ascii="Century Gothic" w:hAnsi="Century Gothic"/>
                <w:sz w:val="22"/>
                <w:szCs w:val="22"/>
              </w:rPr>
            </w:pPr>
          </w:p>
          <w:p w14:paraId="4AD8CBB7" w14:textId="77777777" w:rsidR="0021588C" w:rsidRPr="009D4DB9" w:rsidRDefault="0021588C">
            <w:pPr>
              <w:rPr>
                <w:rFonts w:ascii="Century Gothic" w:hAnsi="Century Gothic"/>
                <w:sz w:val="22"/>
                <w:szCs w:val="22"/>
              </w:rPr>
            </w:pPr>
          </w:p>
        </w:tc>
        <w:tc>
          <w:tcPr>
            <w:tcW w:w="3586" w:type="dxa"/>
          </w:tcPr>
          <w:p w14:paraId="161C45D3" w14:textId="4A1F8997" w:rsidR="00E8019A" w:rsidRPr="009D4DB9" w:rsidRDefault="009D4DB9">
            <w:pPr>
              <w:rPr>
                <w:rFonts w:ascii="Century Gothic" w:hAnsi="Century Gothic"/>
                <w:sz w:val="22"/>
                <w:szCs w:val="22"/>
              </w:rPr>
            </w:pPr>
            <w:r w:rsidRPr="009D4DB9">
              <w:rPr>
                <w:rFonts w:ascii="Century Gothic" w:hAnsi="Century Gothic"/>
                <w:sz w:val="22"/>
                <w:szCs w:val="22"/>
              </w:rPr>
              <w:t>KCL</w:t>
            </w:r>
            <w:r w:rsidRPr="009D4DB9">
              <w:rPr>
                <w:rFonts w:ascii="Century Gothic" w:eastAsia="KingsBureauGrot FiveOne" w:hAnsi="Century Gothic" w:cs="Calibri"/>
                <w:sz w:val="22"/>
                <w:szCs w:val="22"/>
              </w:rPr>
              <w:t xml:space="preserve"> </w:t>
            </w:r>
            <w:r w:rsidRPr="009D4DB9">
              <w:rPr>
                <w:rFonts w:ascii="Century Gothic" w:hAnsi="Century Gothic" w:cs="Calibri"/>
                <w:color w:val="000000"/>
                <w:sz w:val="22"/>
                <w:szCs w:val="22"/>
              </w:rPr>
              <w:t>Research Degree Supervision – Refresher Training Workshop (Webinar)</w:t>
            </w:r>
            <w:r w:rsidRPr="009D4DB9">
              <w:rPr>
                <w:rFonts w:ascii="Century Gothic" w:hAnsi="Century Gothic"/>
                <w:sz w:val="22"/>
                <w:szCs w:val="22"/>
              </w:rPr>
              <w:t xml:space="preserve"> </w:t>
            </w:r>
          </w:p>
          <w:p w14:paraId="7A0C0D8F" w14:textId="1B2FF23D" w:rsidR="009D4DB9" w:rsidRPr="009D4DB9" w:rsidRDefault="009D4DB9">
            <w:pPr>
              <w:rPr>
                <w:rFonts w:ascii="Century Gothic" w:hAnsi="Century Gothic"/>
                <w:sz w:val="22"/>
                <w:szCs w:val="22"/>
              </w:rPr>
            </w:pPr>
            <w:r w:rsidRPr="009D4DB9">
              <w:rPr>
                <w:rFonts w:ascii="Century Gothic" w:hAnsi="Century Gothic"/>
                <w:sz w:val="22"/>
                <w:szCs w:val="22"/>
              </w:rPr>
              <w:t>May 2020</w:t>
            </w:r>
          </w:p>
        </w:tc>
      </w:tr>
    </w:tbl>
    <w:p w14:paraId="162325A0" w14:textId="2EAEC19C" w:rsidR="00D831B1" w:rsidRDefault="00D831B1">
      <w:pPr>
        <w:rPr>
          <w:rFonts w:ascii="Century Gothic" w:hAnsi="Century Gothic"/>
          <w:sz w:val="21"/>
          <w:szCs w:val="21"/>
          <w:lang w:val="en-GB"/>
        </w:rPr>
      </w:pPr>
      <w:r>
        <w:rPr>
          <w:rFonts w:ascii="Century Gothic" w:hAnsi="Century Gothic"/>
          <w:sz w:val="21"/>
          <w:szCs w:val="21"/>
          <w:lang w:val="en-GB"/>
        </w:rPr>
        <w:br w:type="page"/>
      </w:r>
    </w:p>
    <w:p w14:paraId="5D673A3F" w14:textId="77777777" w:rsidR="00CB328A" w:rsidRPr="00F705DD" w:rsidRDefault="00CB328A" w:rsidP="00CB328A">
      <w:pPr>
        <w:rPr>
          <w:rFonts w:ascii="Century Gothic" w:hAnsi="Century Gothic"/>
          <w:b/>
          <w:color w:val="7F7F7F" w:themeColor="text1" w:themeTint="80"/>
          <w:sz w:val="21"/>
          <w:szCs w:val="21"/>
          <w:lang w:val="en-GB"/>
        </w:rPr>
      </w:pPr>
      <w:r w:rsidRPr="00F705DD">
        <w:rPr>
          <w:rFonts w:ascii="Century Gothic" w:hAnsi="Century Gothic"/>
          <w:b/>
          <w:color w:val="7F7F7F" w:themeColor="text1" w:themeTint="80"/>
          <w:sz w:val="21"/>
          <w:szCs w:val="21"/>
          <w:lang w:val="en-GB"/>
        </w:rPr>
        <w:lastRenderedPageBreak/>
        <w:t>Information for projects website (published on public website)</w:t>
      </w:r>
    </w:p>
    <w:p w14:paraId="5C327BE5" w14:textId="77777777" w:rsidR="00CB328A" w:rsidRPr="00F705DD" w:rsidRDefault="00CB328A" w:rsidP="00CB328A">
      <w:pPr>
        <w:rPr>
          <w:rFonts w:ascii="Century Gothic" w:hAnsi="Century Gothic"/>
          <w:sz w:val="21"/>
          <w:szCs w:val="21"/>
          <w:lang w:val="en-GB"/>
        </w:rPr>
      </w:pPr>
    </w:p>
    <w:tbl>
      <w:tblPr>
        <w:tblStyle w:val="TableGrid"/>
        <w:tblW w:w="0" w:type="auto"/>
        <w:tblLook w:val="04A0" w:firstRow="1" w:lastRow="0" w:firstColumn="1" w:lastColumn="0" w:noHBand="0" w:noVBand="1"/>
      </w:tblPr>
      <w:tblGrid>
        <w:gridCol w:w="10756"/>
      </w:tblGrid>
      <w:tr w:rsidR="00CB328A" w:rsidRPr="00F705DD" w14:paraId="6B06BF6D" w14:textId="77777777" w:rsidTr="00CB328A">
        <w:tc>
          <w:tcPr>
            <w:tcW w:w="10756" w:type="dxa"/>
          </w:tcPr>
          <w:p w14:paraId="17C7E772" w14:textId="77777777" w:rsidR="00CB328A" w:rsidRPr="00F705DD" w:rsidRDefault="00CB328A" w:rsidP="00CB328A">
            <w:pPr>
              <w:rPr>
                <w:rFonts w:ascii="Century Gothic" w:hAnsi="Century Gothic"/>
                <w:b/>
                <w:sz w:val="21"/>
                <w:szCs w:val="21"/>
                <w:lang w:val="en-GB"/>
              </w:rPr>
            </w:pPr>
            <w:r w:rsidRPr="00F705DD">
              <w:rPr>
                <w:rFonts w:ascii="Century Gothic" w:hAnsi="Century Gothic"/>
                <w:b/>
                <w:sz w:val="21"/>
                <w:szCs w:val="21"/>
                <w:lang w:val="en-GB"/>
              </w:rPr>
              <w:t>Title (limit 20 words)</w:t>
            </w:r>
          </w:p>
        </w:tc>
      </w:tr>
      <w:tr w:rsidR="00CB328A" w:rsidRPr="00F705DD" w14:paraId="525ED20D" w14:textId="77777777" w:rsidTr="00CB328A">
        <w:trPr>
          <w:trHeight w:val="275"/>
        </w:trPr>
        <w:tc>
          <w:tcPr>
            <w:tcW w:w="10756" w:type="dxa"/>
          </w:tcPr>
          <w:p w14:paraId="7CEAAF95" w14:textId="3C0C102E" w:rsidR="00CB328A" w:rsidRPr="00F705DD" w:rsidRDefault="001404B7" w:rsidP="00800939">
            <w:pPr>
              <w:rPr>
                <w:rFonts w:ascii="Century Gothic" w:hAnsi="Century Gothic"/>
                <w:sz w:val="21"/>
                <w:szCs w:val="21"/>
                <w:lang w:val="en-GB"/>
              </w:rPr>
            </w:pPr>
            <w:r>
              <w:rPr>
                <w:rFonts w:ascii="Century Gothic" w:hAnsi="Century Gothic"/>
                <w:sz w:val="21"/>
                <w:szCs w:val="21"/>
                <w:lang w:val="en-GB"/>
              </w:rPr>
              <w:t xml:space="preserve">Bee conservation: </w:t>
            </w:r>
            <w:r w:rsidR="00800939">
              <w:rPr>
                <w:rFonts w:ascii="Century Gothic" w:hAnsi="Century Gothic"/>
                <w:sz w:val="21"/>
                <w:szCs w:val="21"/>
                <w:lang w:val="en-GB"/>
              </w:rPr>
              <w:t>Evaluating “in</w:t>
            </w:r>
            <w:r>
              <w:rPr>
                <w:rFonts w:ascii="Century Gothic" w:hAnsi="Century Gothic"/>
                <w:sz w:val="21"/>
                <w:szCs w:val="21"/>
                <w:lang w:val="en-GB"/>
              </w:rPr>
              <w:t xml:space="preserve">active” co-formulants </w:t>
            </w:r>
            <w:r w:rsidR="00800939">
              <w:rPr>
                <w:rFonts w:ascii="Century Gothic" w:hAnsi="Century Gothic"/>
                <w:sz w:val="21"/>
                <w:szCs w:val="21"/>
                <w:lang w:val="en-GB"/>
              </w:rPr>
              <w:t>as potentially critical amplifiers of threats posed by agricultural insecticides</w:t>
            </w:r>
          </w:p>
        </w:tc>
      </w:tr>
    </w:tbl>
    <w:p w14:paraId="1AAD1E5B" w14:textId="77777777" w:rsidR="00CB328A" w:rsidRPr="00F705DD" w:rsidRDefault="00CB328A" w:rsidP="00CB328A">
      <w:pPr>
        <w:rPr>
          <w:rFonts w:ascii="Century Gothic" w:hAnsi="Century Gothic"/>
          <w:sz w:val="21"/>
          <w:szCs w:val="21"/>
          <w:lang w:val="en-GB"/>
        </w:rPr>
      </w:pPr>
    </w:p>
    <w:tbl>
      <w:tblPr>
        <w:tblStyle w:val="TableGrid"/>
        <w:tblW w:w="0" w:type="auto"/>
        <w:tblLook w:val="04A0" w:firstRow="1" w:lastRow="0" w:firstColumn="1" w:lastColumn="0" w:noHBand="0" w:noVBand="1"/>
      </w:tblPr>
      <w:tblGrid>
        <w:gridCol w:w="10756"/>
      </w:tblGrid>
      <w:tr w:rsidR="00CB328A" w:rsidRPr="00F705DD" w14:paraId="036E9892" w14:textId="77777777" w:rsidTr="00CB328A">
        <w:tc>
          <w:tcPr>
            <w:tcW w:w="10756" w:type="dxa"/>
          </w:tcPr>
          <w:p w14:paraId="7E725688" w14:textId="77777777" w:rsidR="00CB328A" w:rsidRPr="00F705DD" w:rsidRDefault="00CB328A" w:rsidP="00CB328A">
            <w:pPr>
              <w:rPr>
                <w:rFonts w:ascii="Century Gothic" w:hAnsi="Century Gothic"/>
                <w:b/>
                <w:sz w:val="21"/>
                <w:szCs w:val="21"/>
                <w:lang w:val="en-GB"/>
              </w:rPr>
            </w:pPr>
            <w:r w:rsidRPr="00F705DD">
              <w:rPr>
                <w:rFonts w:ascii="Century Gothic" w:hAnsi="Century Gothic"/>
                <w:b/>
                <w:sz w:val="21"/>
                <w:szCs w:val="21"/>
                <w:lang w:val="en-GB"/>
              </w:rPr>
              <w:t>Abstract (limit 100 Words):</w:t>
            </w:r>
          </w:p>
        </w:tc>
      </w:tr>
      <w:tr w:rsidR="00CB328A" w:rsidRPr="00F705DD" w14:paraId="57120881" w14:textId="77777777" w:rsidTr="00CB328A">
        <w:tc>
          <w:tcPr>
            <w:tcW w:w="10756" w:type="dxa"/>
          </w:tcPr>
          <w:p w14:paraId="44DFC193" w14:textId="2AE42DFD" w:rsidR="00CB328A" w:rsidRPr="00F705DD" w:rsidRDefault="00733E61" w:rsidP="001404B7">
            <w:pPr>
              <w:rPr>
                <w:rFonts w:ascii="Century Gothic" w:hAnsi="Century Gothic"/>
                <w:sz w:val="21"/>
                <w:szCs w:val="21"/>
                <w:lang w:val="en-GB"/>
              </w:rPr>
            </w:pPr>
            <w:r w:rsidRPr="00733E61">
              <w:rPr>
                <w:rFonts w:ascii="Century Gothic" w:hAnsi="Century Gothic"/>
                <w:sz w:val="21"/>
                <w:szCs w:val="21"/>
                <w:lang w:val="en-GB"/>
              </w:rPr>
              <w:t xml:space="preserve">A wealth of evidence now shows that agricultural insecticides can severely impact social bees at the individual, colony and population levels. Yet we suggest that this research may have underestimated the true impacts of insecticides in the field, because both licensing procedures and academic research focus disproportionately upon active ingredients, almost ignoring the co-formulants that are specifically designed to amplify product efficacy. In this project, we will test the hypothesis that commercial insecticide formulations may present a significantly greater, and yet unrecognized, risk to wild social bees than the isolated AIs upon which ecological risk-assessments are typically based.  </w:t>
            </w:r>
          </w:p>
        </w:tc>
      </w:tr>
    </w:tbl>
    <w:p w14:paraId="69DD307A"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 </w:t>
      </w:r>
    </w:p>
    <w:p w14:paraId="65999C93" w14:textId="77777777" w:rsidR="00CB328A" w:rsidRPr="00F705DD" w:rsidRDefault="00CB328A" w:rsidP="00CB328A">
      <w:pPr>
        <w:rPr>
          <w:rFonts w:ascii="Century Gothic" w:hAnsi="Century Gothic"/>
          <w:b/>
          <w:color w:val="7F7F7F" w:themeColor="text1" w:themeTint="80"/>
          <w:sz w:val="21"/>
          <w:szCs w:val="21"/>
          <w:lang w:val="en-GB"/>
        </w:rPr>
      </w:pPr>
      <w:r w:rsidRPr="00F705DD">
        <w:rPr>
          <w:rFonts w:ascii="Century Gothic" w:hAnsi="Century Gothic"/>
          <w:b/>
          <w:color w:val="7F7F7F" w:themeColor="text1" w:themeTint="80"/>
          <w:sz w:val="21"/>
          <w:szCs w:val="21"/>
          <w:lang w:val="en-GB"/>
        </w:rPr>
        <w:t>Information for students (published in password protected area of website)</w:t>
      </w:r>
    </w:p>
    <w:p w14:paraId="51188E97" w14:textId="77777777" w:rsidR="00CB328A" w:rsidRPr="00F705DD" w:rsidRDefault="00CB328A" w:rsidP="00CB328A">
      <w:pPr>
        <w:rPr>
          <w:rFonts w:ascii="Century Gothic" w:hAnsi="Century Gothic"/>
          <w:sz w:val="21"/>
          <w:szCs w:val="21"/>
          <w:lang w:val="en-GB"/>
        </w:rPr>
      </w:pPr>
    </w:p>
    <w:tbl>
      <w:tblPr>
        <w:tblStyle w:val="TableGrid"/>
        <w:tblW w:w="0" w:type="auto"/>
        <w:tblLook w:val="04A0" w:firstRow="1" w:lastRow="0" w:firstColumn="1" w:lastColumn="0" w:noHBand="0" w:noVBand="1"/>
      </w:tblPr>
      <w:tblGrid>
        <w:gridCol w:w="10756"/>
      </w:tblGrid>
      <w:tr w:rsidR="00CB328A" w:rsidRPr="00F705DD" w14:paraId="7A97AA95" w14:textId="77777777" w:rsidTr="00CB328A">
        <w:tc>
          <w:tcPr>
            <w:tcW w:w="10756" w:type="dxa"/>
          </w:tcPr>
          <w:p w14:paraId="362312DE" w14:textId="77777777" w:rsidR="00CB328A" w:rsidRPr="00F705DD" w:rsidRDefault="00CB328A" w:rsidP="00CB328A">
            <w:pPr>
              <w:rPr>
                <w:rFonts w:ascii="Century Gothic" w:hAnsi="Century Gothic"/>
                <w:b/>
                <w:sz w:val="21"/>
                <w:szCs w:val="21"/>
                <w:lang w:val="en-GB"/>
              </w:rPr>
            </w:pPr>
            <w:r w:rsidRPr="00F705DD">
              <w:rPr>
                <w:rFonts w:ascii="Century Gothic" w:hAnsi="Century Gothic"/>
                <w:b/>
                <w:sz w:val="21"/>
                <w:szCs w:val="21"/>
                <w:lang w:val="en-GB"/>
              </w:rPr>
              <w:t>PhD project: aims and description (limit 300 words)</w:t>
            </w:r>
          </w:p>
        </w:tc>
      </w:tr>
      <w:tr w:rsidR="00CB328A" w:rsidRPr="00F705DD" w14:paraId="4E2AB376" w14:textId="77777777" w:rsidTr="00CB328A">
        <w:tc>
          <w:tcPr>
            <w:tcW w:w="10756" w:type="dxa"/>
          </w:tcPr>
          <w:p w14:paraId="27781176" w14:textId="77777777" w:rsidR="00CB328A" w:rsidRDefault="00CB328A" w:rsidP="00CB328A">
            <w:pPr>
              <w:rPr>
                <w:rFonts w:ascii="Century Gothic" w:hAnsi="Century Gothic"/>
                <w:i/>
                <w:sz w:val="20"/>
                <w:szCs w:val="21"/>
                <w:lang w:val="en-GB"/>
              </w:rPr>
            </w:pPr>
            <w:r w:rsidRPr="00F705DD">
              <w:rPr>
                <w:rFonts w:ascii="Century Gothic" w:hAnsi="Century Gothic"/>
                <w:i/>
                <w:sz w:val="20"/>
                <w:szCs w:val="21"/>
                <w:lang w:val="en-GB"/>
              </w:rPr>
              <w:t>Describe the background and overall goals of the PhD project. Indicate the roles of the primary and secondary supervisors. It must be feasible for students to complete this project and write a thesis in years 2-4 of the LIDo programme.</w:t>
            </w:r>
          </w:p>
          <w:p w14:paraId="1C99376B" w14:textId="77777777" w:rsidR="008C5EA4" w:rsidRPr="00F705DD" w:rsidRDefault="008C5EA4" w:rsidP="00CB328A">
            <w:pPr>
              <w:rPr>
                <w:rFonts w:ascii="Century Gothic" w:hAnsi="Century Gothic"/>
                <w:i/>
                <w:sz w:val="20"/>
                <w:szCs w:val="21"/>
                <w:lang w:val="en-GB"/>
              </w:rPr>
            </w:pPr>
          </w:p>
          <w:p w14:paraId="10B2531B" w14:textId="0C9DD034" w:rsidR="00295365" w:rsidRDefault="00295365" w:rsidP="00295365">
            <w:r>
              <w:t xml:space="preserve">In recent decades it has become clear that the insecticides upon which intensive agriculture currently relies can have devastating impacts on non-target insects, and particularly social bees. Abundant evidence now documents a mismatch between the predicted ecological consequences of agrochemical use based on pre-licensing testing, and real-world impacts at the landscape scale. We propose that one source of this disparity is a major knowledge gap regarding the effects of co-formulants in commercial agrochemicals. </w:t>
            </w:r>
            <w:r w:rsidR="00E9676B">
              <w:t xml:space="preserve">Co-formulants can be </w:t>
            </w:r>
            <w:r>
              <w:t xml:space="preserve">more toxic than the </w:t>
            </w:r>
            <w:r w:rsidR="008077EA">
              <w:t>active ingredient (</w:t>
            </w:r>
            <w:r>
              <w:t>AI</w:t>
            </w:r>
            <w:r w:rsidR="00510A56">
              <w:t xml:space="preserve">; </w:t>
            </w:r>
            <w:r w:rsidR="009D3AB8">
              <w:t>Mesnage</w:t>
            </w:r>
            <w:r w:rsidR="00E9676B">
              <w:t>, Benbrook, Antoniou</w:t>
            </w:r>
            <w:r w:rsidR="009D3AB8">
              <w:t xml:space="preserve">, </w:t>
            </w:r>
            <w:r w:rsidR="00E9676B">
              <w:t xml:space="preserve">2019) and </w:t>
            </w:r>
            <w:r w:rsidR="00F740A0">
              <w:t xml:space="preserve">are </w:t>
            </w:r>
            <w:r>
              <w:t>specifically designed to render the product more effective (e.g. by penetration of the i</w:t>
            </w:r>
            <w:r w:rsidR="004109F4">
              <w:t>nsect cuticle or increasing</w:t>
            </w:r>
            <w:r>
              <w:t xml:space="preserve"> stability of the AI). In this project, we will test the hypothesis that commercial insecticide formulations may present a significantly greater, and yet unrecognized, risk to wild social bees than the isolated AIs upon which ecological risk-assessments are typically based.  </w:t>
            </w:r>
          </w:p>
          <w:p w14:paraId="242AE324" w14:textId="77777777" w:rsidR="00295365" w:rsidRDefault="00295365" w:rsidP="00295365"/>
          <w:p w14:paraId="1C5895A0" w14:textId="1D49108B" w:rsidR="00295365" w:rsidRPr="00654538" w:rsidRDefault="00295365" w:rsidP="00295365">
            <w:r>
              <w:t xml:space="preserve">The supervisory team combines the expertise of Elli Leadbeater (RHUL; social insect </w:t>
            </w:r>
            <w:r w:rsidR="00A2313F">
              <w:t>behavior,</w:t>
            </w:r>
            <w:r>
              <w:t xml:space="preserve"> ecology), and co-supervisor Michael Antoniou (KCL; </w:t>
            </w:r>
            <w:r w:rsidR="008C5EA4">
              <w:t xml:space="preserve">molecular biology; </w:t>
            </w:r>
            <w:r w:rsidR="009D3AB8">
              <w:t>molecular &amp; cellular toxicology; gut microbiome</w:t>
            </w:r>
            <w:r>
              <w:t xml:space="preserve">), </w:t>
            </w:r>
            <w:r w:rsidR="00E9676B">
              <w:t>with</w:t>
            </w:r>
            <w:r>
              <w:t xml:space="preserve"> the student spend</w:t>
            </w:r>
            <w:r w:rsidR="00E9676B">
              <w:t>ing</w:t>
            </w:r>
            <w:r>
              <w:t xml:space="preserve"> time in both research groups. </w:t>
            </w:r>
            <w:r w:rsidR="00C61E38">
              <w:t>At RHUL, w</w:t>
            </w:r>
            <w:r>
              <w:t xml:space="preserve">e will </w:t>
            </w:r>
            <w:r w:rsidR="0031336F">
              <w:t>use a large-scale field protocol (Siviter</w:t>
            </w:r>
            <w:r w:rsidR="009F39C5">
              <w:t>,</w:t>
            </w:r>
            <w:r w:rsidR="0031336F">
              <w:t xml:space="preserve"> </w:t>
            </w:r>
            <w:r w:rsidR="0031336F">
              <w:rPr>
                <w:i/>
              </w:rPr>
              <w:t>et al</w:t>
            </w:r>
            <w:r w:rsidR="009F39C5">
              <w:rPr>
                <w:i/>
              </w:rPr>
              <w:t>,</w:t>
            </w:r>
            <w:r w:rsidR="0031336F">
              <w:rPr>
                <w:i/>
              </w:rPr>
              <w:t xml:space="preserve"> </w:t>
            </w:r>
            <w:r w:rsidR="009F39C5">
              <w:t xml:space="preserve">Leadbeater </w:t>
            </w:r>
            <w:r w:rsidR="0031336F">
              <w:t>2019 Nature) to quantify</w:t>
            </w:r>
            <w:r w:rsidR="00C61E38">
              <w:t xml:space="preserve"> the </w:t>
            </w:r>
            <w:r w:rsidR="0031336F">
              <w:t xml:space="preserve">real-world </w:t>
            </w:r>
            <w:r w:rsidR="00C61E38">
              <w:t xml:space="preserve">effects of </w:t>
            </w:r>
            <w:r w:rsidR="0031336F">
              <w:t>insecticide formulations relative to</w:t>
            </w:r>
            <w:r w:rsidR="0031336F">
              <w:rPr>
                <w:i/>
              </w:rPr>
              <w:t xml:space="preserve"> </w:t>
            </w:r>
            <w:r w:rsidR="0031336F">
              <w:t>AI</w:t>
            </w:r>
            <w:r>
              <w:t xml:space="preserve"> </w:t>
            </w:r>
            <w:r w:rsidR="0031336F">
              <w:t xml:space="preserve">alone (Y1). </w:t>
            </w:r>
            <w:r w:rsidR="00A2313F">
              <w:t>M</w:t>
            </w:r>
            <w:r w:rsidR="008C5EA4">
              <w:t xml:space="preserve">ass spectrometry (GCMS; LCMS) </w:t>
            </w:r>
            <w:r w:rsidR="00A2313F">
              <w:t xml:space="preserve">will be used </w:t>
            </w:r>
            <w:r w:rsidR="008C5EA4">
              <w:t>to compare AI residue</w:t>
            </w:r>
            <w:r w:rsidR="00510A56">
              <w:t>s</w:t>
            </w:r>
            <w:r w:rsidR="008C5EA4">
              <w:t xml:space="preserve"> in bees that have experienced contact exposure </w:t>
            </w:r>
            <w:r w:rsidR="004109F4">
              <w:t xml:space="preserve">to formulations </w:t>
            </w:r>
            <w:r w:rsidR="004109F4" w:rsidRPr="004109F4">
              <w:rPr>
                <w:i/>
              </w:rPr>
              <w:t>vs</w:t>
            </w:r>
            <w:r w:rsidR="004109F4">
              <w:t xml:space="preserve"> AI</w:t>
            </w:r>
            <w:r w:rsidR="008C5EA4">
              <w:t xml:space="preserve"> (Y2).</w:t>
            </w:r>
            <w:r w:rsidR="0060558D">
              <w:t xml:space="preserve"> A potential mechanism by which “inert” co</w:t>
            </w:r>
            <w:r w:rsidR="008077EA">
              <w:t>-</w:t>
            </w:r>
            <w:r w:rsidR="0060558D">
              <w:t>formulants elicit mortality is through unexpect</w:t>
            </w:r>
            <w:r w:rsidR="009F39C5">
              <w:t xml:space="preserve">ed effects on the gut microbiome that render individuals vulnerable to infection </w:t>
            </w:r>
            <w:r w:rsidR="008C5EA4">
              <w:t xml:space="preserve">(Motta </w:t>
            </w:r>
            <w:r w:rsidR="008C5EA4">
              <w:rPr>
                <w:i/>
              </w:rPr>
              <w:t xml:space="preserve">et al </w:t>
            </w:r>
            <w:r w:rsidR="0060558D">
              <w:t>2018 PNAS)</w:t>
            </w:r>
            <w:r w:rsidR="00A2313F">
              <w:t>.</w:t>
            </w:r>
            <w:r w:rsidR="0060558D">
              <w:t xml:space="preserve"> </w:t>
            </w:r>
            <w:r w:rsidR="00A2313F">
              <w:t>Thus,</w:t>
            </w:r>
            <w:r w:rsidR="0060558D">
              <w:t xml:space="preserve"> in Y3 we will perform </w:t>
            </w:r>
            <w:r w:rsidR="00E9676B">
              <w:t xml:space="preserve">metagenomics </w:t>
            </w:r>
            <w:r w:rsidR="0060558D">
              <w:t xml:space="preserve">of the gut microbiota of exposed and control bees. Together, </w:t>
            </w:r>
            <w:r w:rsidR="004109F4">
              <w:t xml:space="preserve">we envisage that </w:t>
            </w:r>
            <w:r w:rsidR="0060558D">
              <w:t>these a</w:t>
            </w:r>
            <w:r w:rsidR="004109F4">
              <w:t xml:space="preserve">pproaches will create a </w:t>
            </w:r>
            <w:r w:rsidR="0060558D">
              <w:t>potentially high-impact project that</w:t>
            </w:r>
            <w:r w:rsidR="004109F4">
              <w:t xml:space="preserve"> explores</w:t>
            </w:r>
            <w:r w:rsidR="0060558D">
              <w:t xml:space="preserve"> a major gap in </w:t>
            </w:r>
            <w:r w:rsidR="004109F4">
              <w:t>our understanding of pollinator declines.</w:t>
            </w:r>
          </w:p>
          <w:p w14:paraId="4442B51B" w14:textId="77777777" w:rsidR="00CB328A" w:rsidRPr="00F705DD" w:rsidRDefault="00CB328A" w:rsidP="00CB328A">
            <w:pPr>
              <w:rPr>
                <w:rFonts w:ascii="Century Gothic" w:hAnsi="Century Gothic"/>
                <w:sz w:val="21"/>
                <w:szCs w:val="21"/>
                <w:lang w:val="en-GB"/>
              </w:rPr>
            </w:pPr>
          </w:p>
        </w:tc>
      </w:tr>
      <w:tr w:rsidR="00CB328A" w:rsidRPr="00F705DD" w14:paraId="6F3CAE83" w14:textId="77777777" w:rsidTr="00CB328A">
        <w:tc>
          <w:tcPr>
            <w:tcW w:w="10756" w:type="dxa"/>
          </w:tcPr>
          <w:p w14:paraId="573389DC"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77"/>
                  <w:enabled/>
                  <w:calcOnExit w:val="0"/>
                  <w:textInput/>
                </w:ffData>
              </w:fldChar>
            </w:r>
            <w:bookmarkStart w:id="2" w:name="Text77"/>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2"/>
          </w:p>
        </w:tc>
      </w:tr>
    </w:tbl>
    <w:p w14:paraId="05FFBF85" w14:textId="77777777" w:rsidR="00CB328A" w:rsidRPr="00F705DD" w:rsidRDefault="00CB328A" w:rsidP="00CB328A">
      <w:pPr>
        <w:rPr>
          <w:rFonts w:ascii="Century Gothic" w:hAnsi="Century Gothic"/>
          <w:sz w:val="21"/>
          <w:szCs w:val="21"/>
          <w:lang w:val="en-GB"/>
        </w:rPr>
      </w:pPr>
    </w:p>
    <w:tbl>
      <w:tblPr>
        <w:tblStyle w:val="TableGrid"/>
        <w:tblW w:w="0" w:type="auto"/>
        <w:tblLook w:val="04A0" w:firstRow="1" w:lastRow="0" w:firstColumn="1" w:lastColumn="0" w:noHBand="0" w:noVBand="1"/>
      </w:tblPr>
      <w:tblGrid>
        <w:gridCol w:w="10756"/>
      </w:tblGrid>
      <w:tr w:rsidR="00CB328A" w:rsidRPr="00F705DD" w14:paraId="545FB58E" w14:textId="77777777" w:rsidTr="00CB328A">
        <w:tc>
          <w:tcPr>
            <w:tcW w:w="10756" w:type="dxa"/>
          </w:tcPr>
          <w:p w14:paraId="3F630265" w14:textId="77777777" w:rsidR="00CB328A" w:rsidRPr="00F705DD" w:rsidRDefault="00CB328A" w:rsidP="00CB328A">
            <w:pPr>
              <w:rPr>
                <w:rFonts w:ascii="Century Gothic" w:hAnsi="Century Gothic"/>
                <w:b/>
                <w:sz w:val="21"/>
                <w:szCs w:val="21"/>
                <w:lang w:val="en-GB"/>
              </w:rPr>
            </w:pPr>
            <w:r w:rsidRPr="00F705DD">
              <w:rPr>
                <w:rFonts w:ascii="Century Gothic" w:hAnsi="Century Gothic"/>
                <w:b/>
                <w:sz w:val="21"/>
                <w:szCs w:val="21"/>
                <w:lang w:val="en-GB"/>
              </w:rPr>
              <w:t>Rotation project: brief description (limit 250 words)</w:t>
            </w:r>
          </w:p>
        </w:tc>
      </w:tr>
      <w:tr w:rsidR="00CB328A" w:rsidRPr="00832EE2" w14:paraId="69DDF99E" w14:textId="77777777" w:rsidTr="00CB328A">
        <w:tc>
          <w:tcPr>
            <w:tcW w:w="10756" w:type="dxa"/>
          </w:tcPr>
          <w:p w14:paraId="76C4F2C2" w14:textId="77777777" w:rsidR="00CB328A" w:rsidRPr="00832EE2" w:rsidRDefault="00CB328A" w:rsidP="00CB328A">
            <w:pPr>
              <w:rPr>
                <w:i/>
                <w:color w:val="000000" w:themeColor="text1"/>
                <w:lang w:val="en-GB"/>
              </w:rPr>
            </w:pPr>
            <w:r w:rsidRPr="00832EE2">
              <w:rPr>
                <w:i/>
                <w:color w:val="000000" w:themeColor="text1"/>
                <w:lang w:val="en-GB"/>
              </w:rPr>
              <w:t>The rotation should be a self-contained research project that normally forms a part of the bigger PhD project above. Students that continue their PhD in the rotation lab can therefore normally include results from the rotation in their PhD thesis. Include a timeline indicating how this project will be completed in 3 months.</w:t>
            </w:r>
          </w:p>
          <w:p w14:paraId="7CA1E513" w14:textId="77777777" w:rsidR="00CB328A" w:rsidRPr="00832EE2" w:rsidRDefault="00CB328A" w:rsidP="00CB328A">
            <w:pPr>
              <w:rPr>
                <w:color w:val="000000" w:themeColor="text1"/>
                <w:lang w:val="en-GB"/>
              </w:rPr>
            </w:pPr>
          </w:p>
        </w:tc>
      </w:tr>
      <w:tr w:rsidR="00CB328A" w:rsidRPr="00832EE2" w14:paraId="2F454B00" w14:textId="77777777" w:rsidTr="0034648C">
        <w:trPr>
          <w:trHeight w:val="1259"/>
        </w:trPr>
        <w:tc>
          <w:tcPr>
            <w:tcW w:w="10756" w:type="dxa"/>
          </w:tcPr>
          <w:p w14:paraId="2CFFC8FE" w14:textId="170C5A13" w:rsidR="00AF60FA" w:rsidRDefault="00C87688" w:rsidP="00AF60FA">
            <w:pPr>
              <w:rPr>
                <w:color w:val="000000" w:themeColor="text1"/>
                <w:lang w:val="en-GB"/>
              </w:rPr>
            </w:pPr>
            <w:r>
              <w:rPr>
                <w:color w:val="000000" w:themeColor="text1"/>
                <w:lang w:val="en-GB"/>
              </w:rPr>
              <w:t xml:space="preserve">In March 2018, the EU banned the use of </w:t>
            </w:r>
            <w:r w:rsidR="00C56E6C">
              <w:rPr>
                <w:color w:val="000000" w:themeColor="text1"/>
                <w:lang w:val="en-GB"/>
              </w:rPr>
              <w:t xml:space="preserve">most </w:t>
            </w:r>
            <w:r>
              <w:rPr>
                <w:color w:val="000000" w:themeColor="text1"/>
                <w:lang w:val="en-GB"/>
              </w:rPr>
              <w:t xml:space="preserve">neonicotinoid insecticides for outdoor </w:t>
            </w:r>
            <w:r w:rsidR="00C56E6C">
              <w:rPr>
                <w:color w:val="000000" w:themeColor="text1"/>
                <w:lang w:val="en-GB"/>
              </w:rPr>
              <w:t xml:space="preserve">agricultural </w:t>
            </w:r>
            <w:r>
              <w:rPr>
                <w:color w:val="000000" w:themeColor="text1"/>
                <w:lang w:val="en-GB"/>
              </w:rPr>
              <w:t>use, based on a large body of evidence concerning threats to pollinators. Sulf</w:t>
            </w:r>
            <w:r w:rsidR="00C56E6C">
              <w:rPr>
                <w:color w:val="000000" w:themeColor="text1"/>
                <w:lang w:val="en-GB"/>
              </w:rPr>
              <w:t>oximine-based insecticides are</w:t>
            </w:r>
            <w:r>
              <w:rPr>
                <w:color w:val="000000" w:themeColor="text1"/>
                <w:lang w:val="en-GB"/>
              </w:rPr>
              <w:t xml:space="preserve"> </w:t>
            </w:r>
            <w:r w:rsidR="00AF60FA">
              <w:rPr>
                <w:color w:val="000000" w:themeColor="text1"/>
                <w:lang w:val="en-GB"/>
              </w:rPr>
              <w:t xml:space="preserve">rapidly emerging as </w:t>
            </w:r>
            <w:r w:rsidR="002416B6">
              <w:rPr>
                <w:color w:val="000000" w:themeColor="text1"/>
                <w:lang w:val="en-GB"/>
              </w:rPr>
              <w:t>successors, and</w:t>
            </w:r>
            <w:r>
              <w:rPr>
                <w:color w:val="000000" w:themeColor="text1"/>
                <w:lang w:val="en-GB"/>
              </w:rPr>
              <w:t xml:space="preserve"> are </w:t>
            </w:r>
            <w:r w:rsidR="00AF60FA">
              <w:rPr>
                <w:color w:val="000000" w:themeColor="text1"/>
                <w:lang w:val="en-GB"/>
              </w:rPr>
              <w:t xml:space="preserve">now </w:t>
            </w:r>
            <w:r>
              <w:rPr>
                <w:color w:val="000000" w:themeColor="text1"/>
                <w:lang w:val="en-GB"/>
              </w:rPr>
              <w:t>licensed in over 80 countries globally.</w:t>
            </w:r>
            <w:r w:rsidR="00C56E6C">
              <w:rPr>
                <w:color w:val="000000" w:themeColor="text1"/>
                <w:lang w:val="en-GB"/>
              </w:rPr>
              <w:t xml:space="preserve"> We have recently shown that exposure to Sulfoxaflor- the only currently marketed sulfoximine- </w:t>
            </w:r>
            <w:r w:rsidR="00351D49">
              <w:rPr>
                <w:color w:val="000000" w:themeColor="text1"/>
                <w:lang w:val="en-GB"/>
              </w:rPr>
              <w:t>negatively impacts</w:t>
            </w:r>
            <w:r w:rsidR="00C56E6C">
              <w:rPr>
                <w:color w:val="000000" w:themeColor="text1"/>
                <w:lang w:val="en-GB"/>
              </w:rPr>
              <w:t xml:space="preserve"> the reproductive success of bumblebee </w:t>
            </w:r>
            <w:r w:rsidR="00AF60FA">
              <w:rPr>
                <w:color w:val="000000" w:themeColor="text1"/>
                <w:lang w:val="en-GB"/>
              </w:rPr>
              <w:t>(</w:t>
            </w:r>
            <w:r w:rsidR="00AF60FA">
              <w:rPr>
                <w:i/>
                <w:color w:val="000000" w:themeColor="text1"/>
                <w:lang w:val="en-GB"/>
              </w:rPr>
              <w:t>Bombus</w:t>
            </w:r>
            <w:r w:rsidR="00AF60FA" w:rsidRPr="00AF60FA">
              <w:rPr>
                <w:i/>
                <w:color w:val="000000" w:themeColor="text1"/>
                <w:lang w:val="en-GB"/>
              </w:rPr>
              <w:t xml:space="preserve"> terrestris</w:t>
            </w:r>
            <w:r w:rsidR="00AF60FA">
              <w:rPr>
                <w:color w:val="000000" w:themeColor="text1"/>
                <w:lang w:val="en-GB"/>
              </w:rPr>
              <w:t xml:space="preserve">) </w:t>
            </w:r>
            <w:r w:rsidR="00C56E6C" w:rsidRPr="00AF60FA">
              <w:rPr>
                <w:color w:val="000000" w:themeColor="text1"/>
                <w:lang w:val="en-GB"/>
              </w:rPr>
              <w:t>colonies</w:t>
            </w:r>
            <w:r w:rsidR="00C56E6C">
              <w:rPr>
                <w:color w:val="000000" w:themeColor="text1"/>
                <w:lang w:val="en-GB"/>
              </w:rPr>
              <w:t xml:space="preserve">, </w:t>
            </w:r>
            <w:r w:rsidR="00351D49">
              <w:rPr>
                <w:color w:val="000000" w:themeColor="text1"/>
                <w:lang w:val="en-GB"/>
              </w:rPr>
              <w:t>using the active ingredient alone</w:t>
            </w:r>
            <w:r w:rsidR="00C56E6C">
              <w:rPr>
                <w:color w:val="000000" w:themeColor="text1"/>
                <w:lang w:val="en-GB"/>
              </w:rPr>
              <w:t xml:space="preserve">. However, in the real </w:t>
            </w:r>
            <w:r w:rsidR="00C56E6C">
              <w:rPr>
                <w:color w:val="000000" w:themeColor="text1"/>
                <w:lang w:val="en-GB"/>
              </w:rPr>
              <w:lastRenderedPageBreak/>
              <w:t xml:space="preserve">world, Sulfoxaflor is delivered in </w:t>
            </w:r>
            <w:r w:rsidR="005D60C0">
              <w:rPr>
                <w:color w:val="000000" w:themeColor="text1"/>
                <w:lang w:val="en-GB"/>
              </w:rPr>
              <w:t>several</w:t>
            </w:r>
            <w:r w:rsidR="00C56E6C">
              <w:rPr>
                <w:color w:val="000000" w:themeColor="text1"/>
                <w:lang w:val="en-GB"/>
              </w:rPr>
              <w:t xml:space="preserve"> commercial formulations, including for horticultural use in the UK. Given that these </w:t>
            </w:r>
            <w:r w:rsidR="005D60C0">
              <w:rPr>
                <w:color w:val="000000" w:themeColor="text1"/>
                <w:lang w:val="en-GB"/>
              </w:rPr>
              <w:t>formulations</w:t>
            </w:r>
            <w:r w:rsidR="00C56E6C">
              <w:rPr>
                <w:color w:val="000000" w:themeColor="text1"/>
                <w:lang w:val="en-GB"/>
              </w:rPr>
              <w:t xml:space="preserve"> are designed to increase the effectiveness of the active ingredient (see PhD description), we expect that </w:t>
            </w:r>
            <w:r w:rsidR="00AF60FA">
              <w:rPr>
                <w:color w:val="000000" w:themeColor="text1"/>
                <w:lang w:val="en-GB"/>
              </w:rPr>
              <w:t xml:space="preserve">current research may be severely underestimating </w:t>
            </w:r>
            <w:r w:rsidR="005D60C0">
              <w:rPr>
                <w:color w:val="000000" w:themeColor="text1"/>
                <w:lang w:val="en-GB"/>
              </w:rPr>
              <w:t>the risk posed by sulfoximines</w:t>
            </w:r>
            <w:r w:rsidR="00AF60FA">
              <w:rPr>
                <w:color w:val="000000" w:themeColor="text1"/>
                <w:lang w:val="en-GB"/>
              </w:rPr>
              <w:t xml:space="preserve">. Accurate assessment of this risk is nonetheless critical because the EU is currently reviewing the registration status of Sulfoxaflor (as will the UK, upon leaving the EU).  </w:t>
            </w:r>
          </w:p>
          <w:p w14:paraId="6E0D5C9C" w14:textId="77777777" w:rsidR="00AF60FA" w:rsidRDefault="00AF60FA" w:rsidP="00AF60FA">
            <w:pPr>
              <w:rPr>
                <w:color w:val="000000" w:themeColor="text1"/>
                <w:lang w:val="en-GB"/>
              </w:rPr>
            </w:pPr>
          </w:p>
          <w:p w14:paraId="03BE1C03" w14:textId="3056C467" w:rsidR="00CB328A" w:rsidRPr="00832EE2" w:rsidRDefault="00AF60FA" w:rsidP="005D60C0">
            <w:pPr>
              <w:rPr>
                <w:color w:val="000000" w:themeColor="text1"/>
                <w:lang w:val="en-GB"/>
              </w:rPr>
            </w:pPr>
            <w:r>
              <w:rPr>
                <w:color w:val="000000" w:themeColor="text1"/>
                <w:lang w:val="en-GB"/>
              </w:rPr>
              <w:t xml:space="preserve">In this rotation project, we will perform an initial assessment of the toxicity of commercial formulations of Sulfoxaflor for bumblebees, using an LD50 assay. LD50 protocols, which estimate the minimum lethal dose of a toxin, are a staple of ecotoxicological testing and thus we are confident that the project can be completed with a very strong sample size within 3 months (1 month pilots; 1 month testing; 1 month analysis). The project will form a stand-alone study </w:t>
            </w:r>
            <w:r w:rsidR="002416B6">
              <w:rPr>
                <w:color w:val="000000" w:themeColor="text1"/>
                <w:lang w:val="en-GB"/>
              </w:rPr>
              <w:t>with conservation implications that will be of very wide interest, and</w:t>
            </w:r>
            <w:r>
              <w:rPr>
                <w:color w:val="000000" w:themeColor="text1"/>
                <w:lang w:val="en-GB"/>
              </w:rPr>
              <w:t xml:space="preserve"> will provide essential guidance on insecticide choice for the subsequent PhD.</w:t>
            </w:r>
          </w:p>
        </w:tc>
      </w:tr>
    </w:tbl>
    <w:p w14:paraId="105B036A" w14:textId="77777777" w:rsidR="00CB328A" w:rsidRPr="00832EE2" w:rsidRDefault="00CB328A" w:rsidP="00CB328A">
      <w:pPr>
        <w:rPr>
          <w:color w:val="000000" w:themeColor="text1"/>
          <w:lang w:val="en-GB"/>
        </w:rPr>
      </w:pPr>
    </w:p>
    <w:tbl>
      <w:tblPr>
        <w:tblStyle w:val="TableGrid"/>
        <w:tblW w:w="0" w:type="auto"/>
        <w:tblLook w:val="04A0" w:firstRow="1" w:lastRow="0" w:firstColumn="1" w:lastColumn="0" w:noHBand="0" w:noVBand="1"/>
      </w:tblPr>
      <w:tblGrid>
        <w:gridCol w:w="426"/>
        <w:gridCol w:w="10330"/>
      </w:tblGrid>
      <w:tr w:rsidR="00CB328A" w:rsidRPr="00832EE2" w14:paraId="77707BF3" w14:textId="77777777" w:rsidTr="0027752B">
        <w:tc>
          <w:tcPr>
            <w:tcW w:w="10756" w:type="dxa"/>
            <w:gridSpan w:val="2"/>
          </w:tcPr>
          <w:p w14:paraId="0E9EA6C5" w14:textId="77777777" w:rsidR="00CB328A" w:rsidRPr="00832EE2" w:rsidRDefault="00CB328A" w:rsidP="00CB328A">
            <w:pPr>
              <w:rPr>
                <w:color w:val="000000" w:themeColor="text1"/>
                <w:lang w:val="en-GB"/>
              </w:rPr>
            </w:pPr>
            <w:r w:rsidRPr="00832EE2">
              <w:rPr>
                <w:color w:val="000000" w:themeColor="text1"/>
                <w:lang w:val="en-GB"/>
              </w:rPr>
              <w:t>References related to the project (limit 5):</w:t>
            </w:r>
          </w:p>
        </w:tc>
      </w:tr>
      <w:tr w:rsidR="00CB328A" w:rsidRPr="00832EE2" w14:paraId="7ED8D88B" w14:textId="77777777" w:rsidTr="00CB328A">
        <w:tc>
          <w:tcPr>
            <w:tcW w:w="426" w:type="dxa"/>
          </w:tcPr>
          <w:p w14:paraId="315015CF" w14:textId="77777777" w:rsidR="00CB328A" w:rsidRPr="00832EE2" w:rsidRDefault="00CB328A" w:rsidP="00CB328A">
            <w:pPr>
              <w:rPr>
                <w:color w:val="000000" w:themeColor="text1"/>
                <w:lang w:val="en-GB"/>
              </w:rPr>
            </w:pPr>
            <w:r w:rsidRPr="00832EE2">
              <w:rPr>
                <w:color w:val="000000" w:themeColor="text1"/>
                <w:lang w:val="en-GB"/>
              </w:rPr>
              <w:t>1</w:t>
            </w:r>
          </w:p>
        </w:tc>
        <w:tc>
          <w:tcPr>
            <w:tcW w:w="10330" w:type="dxa"/>
          </w:tcPr>
          <w:p w14:paraId="68617BD7" w14:textId="0FAD9042" w:rsidR="00CB328A" w:rsidRPr="00C61E38" w:rsidRDefault="003E0807" w:rsidP="00832EE2">
            <w:pPr>
              <w:pStyle w:val="Heading6"/>
              <w:rPr>
                <w:rFonts w:asciiTheme="minorHAnsi" w:eastAsia="Times New Roman" w:hAnsiTheme="minorHAnsi"/>
                <w:b w:val="0"/>
                <w:color w:val="000000" w:themeColor="text1"/>
                <w:sz w:val="24"/>
                <w:szCs w:val="24"/>
              </w:rPr>
            </w:pPr>
            <w:r w:rsidRPr="00C61E38">
              <w:rPr>
                <w:rStyle w:val="color11"/>
                <w:rFonts w:asciiTheme="minorHAnsi" w:hAnsiTheme="minorHAnsi"/>
                <w:b w:val="0"/>
                <w:color w:val="000000" w:themeColor="text1"/>
                <w:sz w:val="24"/>
                <w:szCs w:val="24"/>
              </w:rPr>
              <w:t>Siviter H, Brown MJF and Leadbeater E (2018) Sulfoxaflor exposure reduces bumblebee reproductive success. Nature 561:109-112, doi:</w:t>
            </w:r>
            <w:r w:rsidRPr="00C61E38">
              <w:rPr>
                <w:rFonts w:asciiTheme="minorHAnsi" w:hAnsiTheme="minorHAnsi"/>
                <w:b w:val="0"/>
                <w:color w:val="000000" w:themeColor="text1"/>
                <w:sz w:val="24"/>
                <w:szCs w:val="24"/>
              </w:rPr>
              <w:t>10.1038/s41586-018-0430-6</w:t>
            </w:r>
          </w:p>
        </w:tc>
      </w:tr>
      <w:tr w:rsidR="00CB328A" w:rsidRPr="00832EE2" w14:paraId="1585A012" w14:textId="77777777" w:rsidTr="00CB328A">
        <w:tc>
          <w:tcPr>
            <w:tcW w:w="426" w:type="dxa"/>
          </w:tcPr>
          <w:p w14:paraId="5FF84CD9" w14:textId="77777777" w:rsidR="00CB328A" w:rsidRPr="00832EE2" w:rsidRDefault="00CB328A" w:rsidP="00CB328A">
            <w:pPr>
              <w:rPr>
                <w:color w:val="000000" w:themeColor="text1"/>
                <w:lang w:val="en-GB"/>
              </w:rPr>
            </w:pPr>
            <w:r w:rsidRPr="00832EE2">
              <w:rPr>
                <w:color w:val="000000" w:themeColor="text1"/>
                <w:lang w:val="en-GB"/>
              </w:rPr>
              <w:t>2</w:t>
            </w:r>
          </w:p>
        </w:tc>
        <w:tc>
          <w:tcPr>
            <w:tcW w:w="10330" w:type="dxa"/>
          </w:tcPr>
          <w:p w14:paraId="53A90084" w14:textId="36EC56B3" w:rsidR="00CB328A" w:rsidRPr="00C61E38" w:rsidRDefault="00832EE2" w:rsidP="00832EE2">
            <w:pPr>
              <w:pStyle w:val="Heading2"/>
              <w:rPr>
                <w:rFonts w:asciiTheme="minorHAnsi" w:eastAsia="Times New Roman" w:hAnsiTheme="minorHAnsi"/>
                <w:b w:val="0"/>
                <w:color w:val="000000" w:themeColor="text1"/>
                <w:sz w:val="24"/>
                <w:szCs w:val="24"/>
              </w:rPr>
            </w:pPr>
            <w:r w:rsidRPr="00C61E38">
              <w:rPr>
                <w:rFonts w:asciiTheme="minorHAnsi" w:eastAsia="Times New Roman" w:hAnsiTheme="minorHAnsi"/>
                <w:b w:val="0"/>
                <w:color w:val="000000" w:themeColor="text1"/>
                <w:sz w:val="24"/>
                <w:szCs w:val="24"/>
              </w:rPr>
              <w:t xml:space="preserve">Mesnage R, Benbrook C and Antoniou MN (2019) Insight into the confusion over surfactant co-formulants in glyphosate-based herbicides. </w:t>
            </w:r>
            <w:r w:rsidRPr="00C61E38">
              <w:rPr>
                <w:rStyle w:val="journal"/>
                <w:rFonts w:asciiTheme="minorHAnsi" w:eastAsia="Times New Roman" w:hAnsiTheme="minorHAnsi"/>
                <w:b w:val="0"/>
                <w:color w:val="000000" w:themeColor="text1"/>
                <w:sz w:val="24"/>
                <w:szCs w:val="24"/>
              </w:rPr>
              <w:t>Food and Chemical Toxicology</w:t>
            </w:r>
            <w:r w:rsidRPr="00C61E38">
              <w:rPr>
                <w:rFonts w:asciiTheme="minorHAnsi" w:eastAsia="Times New Roman" w:hAnsiTheme="minorHAnsi"/>
                <w:b w:val="0"/>
                <w:color w:val="000000" w:themeColor="text1"/>
                <w:sz w:val="24"/>
                <w:szCs w:val="24"/>
              </w:rPr>
              <w:t xml:space="preserve"> </w:t>
            </w:r>
            <w:r w:rsidRPr="00C61E38">
              <w:rPr>
                <w:rStyle w:val="volume"/>
                <w:rFonts w:asciiTheme="minorHAnsi" w:eastAsia="Times New Roman" w:hAnsiTheme="minorHAnsi"/>
                <w:b w:val="0"/>
                <w:color w:val="000000" w:themeColor="text1"/>
                <w:sz w:val="24"/>
                <w:szCs w:val="24"/>
              </w:rPr>
              <w:t>128</w:t>
            </w:r>
            <w:r w:rsidRPr="00C61E38">
              <w:rPr>
                <w:rFonts w:asciiTheme="minorHAnsi" w:eastAsia="Times New Roman" w:hAnsiTheme="minorHAnsi"/>
                <w:b w:val="0"/>
                <w:color w:val="000000" w:themeColor="text1"/>
                <w:sz w:val="24"/>
                <w:szCs w:val="24"/>
              </w:rPr>
              <w:t xml:space="preserve">: </w:t>
            </w:r>
            <w:r w:rsidRPr="00C61E38">
              <w:rPr>
                <w:rStyle w:val="pages"/>
                <w:rFonts w:asciiTheme="minorHAnsi" w:eastAsia="Times New Roman" w:hAnsiTheme="minorHAnsi"/>
                <w:b w:val="0"/>
                <w:color w:val="000000" w:themeColor="text1"/>
                <w:sz w:val="24"/>
                <w:szCs w:val="24"/>
              </w:rPr>
              <w:t>37-145</w:t>
            </w:r>
          </w:p>
        </w:tc>
      </w:tr>
      <w:tr w:rsidR="00CB328A" w:rsidRPr="00F705DD" w14:paraId="3AA5C7E7" w14:textId="77777777" w:rsidTr="00CB328A">
        <w:tc>
          <w:tcPr>
            <w:tcW w:w="426" w:type="dxa"/>
          </w:tcPr>
          <w:p w14:paraId="425A9D65"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3</w:t>
            </w:r>
          </w:p>
        </w:tc>
        <w:tc>
          <w:tcPr>
            <w:tcW w:w="10330" w:type="dxa"/>
          </w:tcPr>
          <w:p w14:paraId="2954F0C7" w14:textId="1788AD2A" w:rsidR="00CB328A" w:rsidRPr="00C61E38" w:rsidRDefault="00832EE2" w:rsidP="00CB328A">
            <w:pPr>
              <w:rPr>
                <w:color w:val="000000" w:themeColor="text1"/>
                <w:lang w:val="en-GB"/>
              </w:rPr>
            </w:pPr>
            <w:r w:rsidRPr="00C61E38">
              <w:rPr>
                <w:rFonts w:cs="Times New Roman"/>
                <w:color w:val="000000" w:themeColor="text1"/>
              </w:rPr>
              <w:t>Mullin CA, Chen J, Fine JD, Frazier MT and Frazier JL (2015) The formulation makes the honey bee poison. Pesticide Biochemistry and Physiology 120 (2015) 27–35</w:t>
            </w:r>
          </w:p>
        </w:tc>
      </w:tr>
      <w:tr w:rsidR="00CB328A" w:rsidRPr="00F705DD" w14:paraId="1CEE8185" w14:textId="77777777" w:rsidTr="00CB328A">
        <w:tc>
          <w:tcPr>
            <w:tcW w:w="426" w:type="dxa"/>
          </w:tcPr>
          <w:p w14:paraId="04F2B8F2"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4</w:t>
            </w:r>
          </w:p>
        </w:tc>
        <w:tc>
          <w:tcPr>
            <w:tcW w:w="10330" w:type="dxa"/>
          </w:tcPr>
          <w:p w14:paraId="6EADCF16" w14:textId="059FDB0A" w:rsidR="00CB328A" w:rsidRPr="00C61E38" w:rsidRDefault="00C61E38" w:rsidP="00C61E38">
            <w:pPr>
              <w:pStyle w:val="Heading6"/>
              <w:rPr>
                <w:rFonts w:asciiTheme="minorHAnsi" w:eastAsia="Times New Roman" w:hAnsiTheme="minorHAnsi"/>
                <w:b w:val="0"/>
                <w:sz w:val="24"/>
                <w:szCs w:val="24"/>
              </w:rPr>
            </w:pPr>
            <w:r w:rsidRPr="00C61E38">
              <w:rPr>
                <w:rStyle w:val="color11"/>
                <w:rFonts w:asciiTheme="minorHAnsi" w:eastAsia="Times New Roman" w:hAnsiTheme="minorHAnsi"/>
                <w:b w:val="0"/>
                <w:sz w:val="24"/>
                <w:szCs w:val="24"/>
              </w:rPr>
              <w:t>Siviter H, Horner J, Brown MJF and Leadbeater E (2019) Sulfoxaflor exposure reduces egg-laying in bumblebees (</w:t>
            </w:r>
            <w:r w:rsidRPr="00C61E38">
              <w:rPr>
                <w:rStyle w:val="color11"/>
                <w:rFonts w:asciiTheme="minorHAnsi" w:eastAsia="Times New Roman" w:hAnsiTheme="minorHAnsi"/>
                <w:b w:val="0"/>
                <w:i/>
                <w:iCs/>
                <w:sz w:val="24"/>
                <w:szCs w:val="24"/>
              </w:rPr>
              <w:t>Bombus terrestris</w:t>
            </w:r>
            <w:r w:rsidRPr="00C61E38">
              <w:rPr>
                <w:rStyle w:val="color11"/>
                <w:rFonts w:asciiTheme="minorHAnsi" w:eastAsia="Times New Roman" w:hAnsiTheme="minorHAnsi"/>
                <w:b w:val="0"/>
                <w:sz w:val="24"/>
                <w:szCs w:val="24"/>
              </w:rPr>
              <w:t>). Journal of Applied Ecology,</w:t>
            </w:r>
            <w:r w:rsidRPr="00C61E38">
              <w:rPr>
                <w:rFonts w:asciiTheme="minorHAnsi" w:eastAsia="Times New Roman" w:hAnsiTheme="minorHAnsi"/>
                <w:b w:val="0"/>
                <w:sz w:val="24"/>
                <w:szCs w:val="24"/>
              </w:rPr>
              <w:t xml:space="preserve"> 00:1–10. https ://doi.org/10.1111/1365</w:t>
            </w:r>
            <w:r w:rsidRPr="00C61E38">
              <w:rPr>
                <w:rFonts w:asciiTheme="minorHAnsi" w:eastAsia="Times New Roman" w:hAnsiTheme="minorHAnsi" w:cs="American Typewriter"/>
                <w:b w:val="0"/>
                <w:sz w:val="24"/>
                <w:szCs w:val="24"/>
              </w:rPr>
              <w:t>‐</w:t>
            </w:r>
            <w:r w:rsidRPr="00C61E38">
              <w:rPr>
                <w:rFonts w:asciiTheme="minorHAnsi" w:eastAsia="Times New Roman" w:hAnsiTheme="minorHAnsi"/>
                <w:b w:val="0"/>
                <w:sz w:val="24"/>
                <w:szCs w:val="24"/>
              </w:rPr>
              <w:t>2664.13519</w:t>
            </w:r>
          </w:p>
        </w:tc>
      </w:tr>
      <w:tr w:rsidR="00CB328A" w:rsidRPr="00F705DD" w14:paraId="2B3551A5" w14:textId="77777777" w:rsidTr="00CB328A">
        <w:tc>
          <w:tcPr>
            <w:tcW w:w="426" w:type="dxa"/>
          </w:tcPr>
          <w:p w14:paraId="04EB8EFB"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5</w:t>
            </w:r>
          </w:p>
        </w:tc>
        <w:tc>
          <w:tcPr>
            <w:tcW w:w="10330" w:type="dxa"/>
          </w:tcPr>
          <w:p w14:paraId="5BD8E77B" w14:textId="77777777" w:rsidR="00CB328A" w:rsidRPr="00C61E38" w:rsidRDefault="00CB328A" w:rsidP="00CB328A">
            <w:pPr>
              <w:rPr>
                <w:lang w:val="en-GB"/>
              </w:rPr>
            </w:pPr>
            <w:r w:rsidRPr="00C61E38">
              <w:rPr>
                <w:lang w:val="en-GB"/>
              </w:rPr>
              <w:fldChar w:fldCharType="begin">
                <w:ffData>
                  <w:name w:val="Text83"/>
                  <w:enabled/>
                  <w:calcOnExit w:val="0"/>
                  <w:textInput/>
                </w:ffData>
              </w:fldChar>
            </w:r>
            <w:bookmarkStart w:id="3" w:name="Text83"/>
            <w:r w:rsidRPr="00C61E38">
              <w:rPr>
                <w:lang w:val="en-GB"/>
              </w:rPr>
              <w:instrText xml:space="preserve"> FORMTEXT </w:instrText>
            </w:r>
            <w:r w:rsidRPr="00C61E38">
              <w:rPr>
                <w:lang w:val="en-GB"/>
              </w:rPr>
            </w:r>
            <w:r w:rsidRPr="00C61E38">
              <w:rPr>
                <w:lang w:val="en-GB"/>
              </w:rPr>
              <w:fldChar w:fldCharType="separate"/>
            </w:r>
            <w:r w:rsidRPr="00C61E38">
              <w:rPr>
                <w:noProof/>
                <w:lang w:val="en-GB"/>
              </w:rPr>
              <w:t> </w:t>
            </w:r>
            <w:r w:rsidRPr="00C61E38">
              <w:rPr>
                <w:noProof/>
                <w:lang w:val="en-GB"/>
              </w:rPr>
              <w:t> </w:t>
            </w:r>
            <w:r w:rsidRPr="00C61E38">
              <w:rPr>
                <w:noProof/>
                <w:lang w:val="en-GB"/>
              </w:rPr>
              <w:t> </w:t>
            </w:r>
            <w:r w:rsidRPr="00C61E38">
              <w:rPr>
                <w:noProof/>
                <w:lang w:val="en-GB"/>
              </w:rPr>
              <w:t> </w:t>
            </w:r>
            <w:r w:rsidRPr="00C61E38">
              <w:rPr>
                <w:noProof/>
                <w:lang w:val="en-GB"/>
              </w:rPr>
              <w:t> </w:t>
            </w:r>
            <w:r w:rsidRPr="00C61E38">
              <w:rPr>
                <w:lang w:val="en-GB"/>
              </w:rPr>
              <w:fldChar w:fldCharType="end"/>
            </w:r>
            <w:bookmarkEnd w:id="3"/>
          </w:p>
        </w:tc>
      </w:tr>
    </w:tbl>
    <w:p w14:paraId="3789F95D" w14:textId="77777777" w:rsidR="00CB328A" w:rsidRPr="00F705DD" w:rsidRDefault="00CB328A" w:rsidP="00CB328A">
      <w:pPr>
        <w:rPr>
          <w:rFonts w:ascii="Century Gothic" w:hAnsi="Century Gothic"/>
          <w:sz w:val="21"/>
          <w:szCs w:val="21"/>
          <w:lang w:val="en-GB"/>
        </w:rPr>
      </w:pPr>
    </w:p>
    <w:tbl>
      <w:tblPr>
        <w:tblStyle w:val="TableGrid"/>
        <w:tblW w:w="0" w:type="auto"/>
        <w:tblLook w:val="04A0" w:firstRow="1" w:lastRow="0" w:firstColumn="1" w:lastColumn="0" w:noHBand="0" w:noVBand="1"/>
      </w:tblPr>
      <w:tblGrid>
        <w:gridCol w:w="3395"/>
        <w:gridCol w:w="7361"/>
      </w:tblGrid>
      <w:tr w:rsidR="00CB328A" w:rsidRPr="00F705DD" w14:paraId="7AD07B6E" w14:textId="77777777" w:rsidTr="0027752B">
        <w:tc>
          <w:tcPr>
            <w:tcW w:w="10756" w:type="dxa"/>
            <w:gridSpan w:val="2"/>
          </w:tcPr>
          <w:p w14:paraId="43303722" w14:textId="77777777" w:rsidR="00CB328A" w:rsidRPr="00F705DD" w:rsidRDefault="00CB328A" w:rsidP="00CB328A">
            <w:pPr>
              <w:rPr>
                <w:rFonts w:ascii="Century Gothic" w:hAnsi="Century Gothic"/>
                <w:b/>
                <w:sz w:val="21"/>
                <w:szCs w:val="21"/>
                <w:lang w:val="en-GB"/>
              </w:rPr>
            </w:pPr>
            <w:r w:rsidRPr="00F705DD">
              <w:rPr>
                <w:rFonts w:ascii="Century Gothic" w:hAnsi="Century Gothic"/>
                <w:b/>
                <w:sz w:val="21"/>
                <w:szCs w:val="21"/>
                <w:lang w:val="en-GB"/>
              </w:rPr>
              <w:t>Techniques / Approaches:</w:t>
            </w:r>
          </w:p>
          <w:p w14:paraId="2BBFDEBB" w14:textId="77777777" w:rsidR="00CB328A" w:rsidRPr="00F705DD" w:rsidRDefault="00CB328A" w:rsidP="00CB328A">
            <w:pPr>
              <w:rPr>
                <w:rFonts w:ascii="Century Gothic" w:hAnsi="Century Gothic"/>
                <w:sz w:val="21"/>
                <w:szCs w:val="21"/>
                <w:lang w:val="en-GB"/>
              </w:rPr>
            </w:pPr>
            <w:r w:rsidRPr="00F705DD">
              <w:rPr>
                <w:rFonts w:ascii="Century Gothic" w:hAnsi="Century Gothic"/>
                <w:b/>
                <w:sz w:val="21"/>
                <w:szCs w:val="21"/>
                <w:lang w:val="en-GB"/>
              </w:rPr>
              <w:t>Describe the specifics next to the area(s), which are appropriate. (limit 50 words per box)</w:t>
            </w:r>
          </w:p>
        </w:tc>
      </w:tr>
      <w:tr w:rsidR="00F705DD" w:rsidRPr="00F705DD" w14:paraId="67D14C7C" w14:textId="77777777" w:rsidTr="00F705DD">
        <w:tc>
          <w:tcPr>
            <w:tcW w:w="3395" w:type="dxa"/>
            <w:shd w:val="clear" w:color="auto" w:fill="auto"/>
            <w:vAlign w:val="center"/>
          </w:tcPr>
          <w:p w14:paraId="2B1C2073"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Molecular Biology</w:t>
            </w:r>
          </w:p>
        </w:tc>
        <w:tc>
          <w:tcPr>
            <w:tcW w:w="7361" w:type="dxa"/>
          </w:tcPr>
          <w:p w14:paraId="7115AE6C" w14:textId="55476501" w:rsidR="00CB328A" w:rsidRPr="00F705DD" w:rsidRDefault="004B420D" w:rsidP="00510A56">
            <w:pPr>
              <w:rPr>
                <w:rFonts w:ascii="Century Gothic" w:hAnsi="Century Gothic"/>
                <w:sz w:val="21"/>
                <w:szCs w:val="21"/>
                <w:lang w:val="en-GB"/>
              </w:rPr>
            </w:pPr>
            <w:r>
              <w:rPr>
                <w:rFonts w:ascii="Century Gothic" w:hAnsi="Century Gothic"/>
                <w:sz w:val="21"/>
                <w:szCs w:val="21"/>
                <w:lang w:val="en-GB"/>
              </w:rPr>
              <w:t xml:space="preserve">16S rRNA sequencing </w:t>
            </w:r>
            <w:r w:rsidR="00D15DEB">
              <w:rPr>
                <w:rFonts w:ascii="Century Gothic" w:hAnsi="Century Gothic"/>
                <w:sz w:val="21"/>
                <w:szCs w:val="21"/>
                <w:lang w:val="en-GB"/>
              </w:rPr>
              <w:t>of gut microbiome</w:t>
            </w:r>
            <w:r>
              <w:rPr>
                <w:rFonts w:ascii="Century Gothic" w:hAnsi="Century Gothic"/>
                <w:sz w:val="21"/>
                <w:szCs w:val="21"/>
                <w:lang w:val="en-GB"/>
              </w:rPr>
              <w:t xml:space="preserve">. The student will analyse </w:t>
            </w:r>
            <w:r w:rsidR="00510A56">
              <w:rPr>
                <w:rFonts w:ascii="Century Gothic" w:hAnsi="Century Gothic"/>
                <w:sz w:val="21"/>
                <w:szCs w:val="21"/>
                <w:lang w:val="en-GB"/>
              </w:rPr>
              <w:t xml:space="preserve">faecal </w:t>
            </w:r>
            <w:r>
              <w:rPr>
                <w:rFonts w:ascii="Century Gothic" w:hAnsi="Century Gothic"/>
                <w:sz w:val="21"/>
                <w:szCs w:val="21"/>
                <w:lang w:val="en-GB"/>
              </w:rPr>
              <w:t xml:space="preserve">bacterial composition by amplifying hypervariable regions of 16S rRNA. </w:t>
            </w:r>
            <w:r w:rsidR="00510A56">
              <w:rPr>
                <w:rFonts w:ascii="Century Gothic" w:hAnsi="Century Gothic"/>
                <w:sz w:val="21"/>
                <w:szCs w:val="21"/>
                <w:lang w:val="en-GB"/>
              </w:rPr>
              <w:t>We (KCL) currently use</w:t>
            </w:r>
            <w:r>
              <w:rPr>
                <w:rFonts w:ascii="Century Gothic" w:hAnsi="Century Gothic"/>
                <w:sz w:val="21"/>
                <w:szCs w:val="21"/>
                <w:lang w:val="en-GB"/>
              </w:rPr>
              <w:t xml:space="preserve"> the MiSeq platform (illumina sequencing), but </w:t>
            </w:r>
            <w:r w:rsidR="00510A56">
              <w:rPr>
                <w:rFonts w:ascii="Century Gothic" w:hAnsi="Century Gothic"/>
                <w:sz w:val="21"/>
                <w:szCs w:val="21"/>
                <w:lang w:val="en-GB"/>
              </w:rPr>
              <w:t>may</w:t>
            </w:r>
            <w:r>
              <w:rPr>
                <w:rFonts w:ascii="Century Gothic" w:hAnsi="Century Gothic"/>
                <w:sz w:val="21"/>
                <w:szCs w:val="21"/>
                <w:lang w:val="en-GB"/>
              </w:rPr>
              <w:t xml:space="preserve"> transition to nanopore-based sequencing</w:t>
            </w:r>
            <w:r w:rsidR="00510A56">
              <w:rPr>
                <w:rFonts w:ascii="Century Gothic" w:hAnsi="Century Gothic"/>
                <w:sz w:val="21"/>
                <w:szCs w:val="21"/>
                <w:lang w:val="en-GB"/>
              </w:rPr>
              <w:t>. T</w:t>
            </w:r>
            <w:r>
              <w:rPr>
                <w:rFonts w:ascii="Century Gothic" w:hAnsi="Century Gothic"/>
                <w:sz w:val="21"/>
                <w:szCs w:val="21"/>
                <w:lang w:val="en-GB"/>
              </w:rPr>
              <w:t>he most cost-effective approach will be used</w:t>
            </w:r>
            <w:r w:rsidR="00510A56">
              <w:rPr>
                <w:rFonts w:ascii="Century Gothic" w:hAnsi="Century Gothic"/>
                <w:sz w:val="21"/>
                <w:szCs w:val="21"/>
                <w:lang w:val="en-GB"/>
              </w:rPr>
              <w:t xml:space="preserve"> (sequencing in </w:t>
            </w:r>
            <w:r w:rsidR="003E2B2F">
              <w:rPr>
                <w:rFonts w:ascii="Century Gothic" w:hAnsi="Century Gothic"/>
                <w:sz w:val="21"/>
                <w:szCs w:val="21"/>
                <w:lang w:val="en-GB"/>
              </w:rPr>
              <w:t xml:space="preserve"> collaboration </w:t>
            </w:r>
            <w:r w:rsidR="00510A56">
              <w:rPr>
                <w:rFonts w:ascii="Century Gothic" w:hAnsi="Century Gothic"/>
                <w:sz w:val="21"/>
                <w:szCs w:val="21"/>
                <w:lang w:val="en-GB"/>
              </w:rPr>
              <w:t>with</w:t>
            </w:r>
            <w:r w:rsidR="003E2B2F">
              <w:rPr>
                <w:rFonts w:ascii="Century Gothic" w:hAnsi="Century Gothic"/>
                <w:sz w:val="21"/>
                <w:szCs w:val="21"/>
                <w:lang w:val="en-GB"/>
              </w:rPr>
              <w:t xml:space="preserve"> Charles A Mein</w:t>
            </w:r>
            <w:r w:rsidR="00510A56">
              <w:rPr>
                <w:rFonts w:ascii="Century Gothic" w:hAnsi="Century Gothic"/>
                <w:sz w:val="21"/>
                <w:szCs w:val="21"/>
                <w:lang w:val="en-GB"/>
              </w:rPr>
              <w:t>;</w:t>
            </w:r>
            <w:r w:rsidR="003E2B2F">
              <w:rPr>
                <w:rFonts w:ascii="Century Gothic" w:hAnsi="Century Gothic"/>
                <w:sz w:val="21"/>
                <w:szCs w:val="21"/>
                <w:lang w:val="en-GB"/>
              </w:rPr>
              <w:t xml:space="preserve"> QMUL</w:t>
            </w:r>
            <w:r w:rsidR="00510A56">
              <w:rPr>
                <w:rFonts w:ascii="Century Gothic" w:hAnsi="Century Gothic"/>
                <w:sz w:val="21"/>
                <w:szCs w:val="21"/>
                <w:lang w:val="en-GB"/>
              </w:rPr>
              <w:t>)</w:t>
            </w:r>
            <w:r w:rsidR="003E2B2F">
              <w:rPr>
                <w:rFonts w:ascii="Century Gothic" w:hAnsi="Century Gothic"/>
                <w:sz w:val="21"/>
                <w:szCs w:val="21"/>
                <w:lang w:val="en-GB"/>
              </w:rPr>
              <w:t>.</w:t>
            </w:r>
          </w:p>
        </w:tc>
      </w:tr>
      <w:tr w:rsidR="00F705DD" w:rsidRPr="00F705DD" w14:paraId="621C370C" w14:textId="77777777" w:rsidTr="00F705DD">
        <w:tc>
          <w:tcPr>
            <w:tcW w:w="3395" w:type="dxa"/>
            <w:shd w:val="clear" w:color="auto" w:fill="auto"/>
            <w:vAlign w:val="center"/>
          </w:tcPr>
          <w:p w14:paraId="63701693"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Genetics</w:t>
            </w:r>
          </w:p>
        </w:tc>
        <w:tc>
          <w:tcPr>
            <w:tcW w:w="7361" w:type="dxa"/>
          </w:tcPr>
          <w:p w14:paraId="5E1EE3F6"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85"/>
                  <w:enabled/>
                  <w:calcOnExit w:val="0"/>
                  <w:textInput/>
                </w:ffData>
              </w:fldChar>
            </w:r>
            <w:bookmarkStart w:id="4" w:name="Text85"/>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4"/>
          </w:p>
        </w:tc>
      </w:tr>
      <w:tr w:rsidR="00F705DD" w:rsidRPr="00F705DD" w14:paraId="5BAF82A3" w14:textId="77777777" w:rsidTr="00F705DD">
        <w:tc>
          <w:tcPr>
            <w:tcW w:w="3395" w:type="dxa"/>
            <w:shd w:val="clear" w:color="auto" w:fill="auto"/>
            <w:vAlign w:val="center"/>
          </w:tcPr>
          <w:p w14:paraId="6F78A9AA"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Biochemistry / Biophysics</w:t>
            </w:r>
          </w:p>
        </w:tc>
        <w:tc>
          <w:tcPr>
            <w:tcW w:w="7361" w:type="dxa"/>
          </w:tcPr>
          <w:p w14:paraId="0311C497" w14:textId="79FD917E" w:rsidR="00CB328A" w:rsidRPr="00F705DD" w:rsidRDefault="00C81443" w:rsidP="00C81443">
            <w:pPr>
              <w:rPr>
                <w:rFonts w:ascii="Century Gothic" w:hAnsi="Century Gothic"/>
                <w:sz w:val="21"/>
                <w:szCs w:val="21"/>
                <w:lang w:val="en-GB"/>
              </w:rPr>
            </w:pPr>
            <w:r>
              <w:rPr>
                <w:rFonts w:ascii="Century Gothic" w:hAnsi="Century Gothic"/>
                <w:sz w:val="21"/>
                <w:szCs w:val="21"/>
                <w:lang w:val="en-GB"/>
              </w:rPr>
              <w:t>Mass spectrometry is required to identify insecticide residues. The student will develop</w:t>
            </w:r>
            <w:r w:rsidR="00F347BD">
              <w:rPr>
                <w:rFonts w:ascii="Century Gothic" w:hAnsi="Century Gothic"/>
                <w:sz w:val="21"/>
                <w:szCs w:val="21"/>
                <w:lang w:val="en-GB"/>
              </w:rPr>
              <w:t xml:space="preserve"> a QuECheRs method to identify residues in whole bees that have been exposed to various insecticide formulations and will receive training in the analysis of MS-QQQ data from RHUL’s MS technical support (Francesca Mealor)</w:t>
            </w:r>
          </w:p>
        </w:tc>
      </w:tr>
      <w:tr w:rsidR="00F705DD" w:rsidRPr="00F705DD" w14:paraId="25F6F626" w14:textId="77777777" w:rsidTr="00F705DD">
        <w:tc>
          <w:tcPr>
            <w:tcW w:w="3395" w:type="dxa"/>
            <w:shd w:val="clear" w:color="auto" w:fill="auto"/>
            <w:vAlign w:val="center"/>
          </w:tcPr>
          <w:p w14:paraId="77338061"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Chemistry</w:t>
            </w:r>
          </w:p>
        </w:tc>
        <w:tc>
          <w:tcPr>
            <w:tcW w:w="7361" w:type="dxa"/>
          </w:tcPr>
          <w:p w14:paraId="0DD0FFEE"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87"/>
                  <w:enabled/>
                  <w:calcOnExit w:val="0"/>
                  <w:textInput/>
                </w:ffData>
              </w:fldChar>
            </w:r>
            <w:bookmarkStart w:id="5" w:name="Text87"/>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5"/>
          </w:p>
        </w:tc>
      </w:tr>
      <w:tr w:rsidR="00F705DD" w:rsidRPr="00F705DD" w14:paraId="379EA317" w14:textId="77777777" w:rsidTr="00F705DD">
        <w:tc>
          <w:tcPr>
            <w:tcW w:w="3395" w:type="dxa"/>
            <w:shd w:val="clear" w:color="auto" w:fill="auto"/>
            <w:vAlign w:val="center"/>
          </w:tcPr>
          <w:p w14:paraId="0E4DDB7C"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Microscopy / Electrophysiology</w:t>
            </w:r>
          </w:p>
        </w:tc>
        <w:tc>
          <w:tcPr>
            <w:tcW w:w="7361" w:type="dxa"/>
          </w:tcPr>
          <w:p w14:paraId="5BE9E90E"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88"/>
                  <w:enabled/>
                  <w:calcOnExit w:val="0"/>
                  <w:textInput/>
                </w:ffData>
              </w:fldChar>
            </w:r>
            <w:bookmarkStart w:id="6" w:name="Text88"/>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6"/>
          </w:p>
        </w:tc>
      </w:tr>
      <w:tr w:rsidR="00F705DD" w:rsidRPr="00F705DD" w14:paraId="12B90972" w14:textId="77777777" w:rsidTr="00F705DD">
        <w:tc>
          <w:tcPr>
            <w:tcW w:w="3395" w:type="dxa"/>
            <w:shd w:val="clear" w:color="auto" w:fill="auto"/>
            <w:vAlign w:val="center"/>
          </w:tcPr>
          <w:p w14:paraId="5BE37D80"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Image Processing</w:t>
            </w:r>
          </w:p>
        </w:tc>
        <w:tc>
          <w:tcPr>
            <w:tcW w:w="7361" w:type="dxa"/>
          </w:tcPr>
          <w:p w14:paraId="415270AA"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89"/>
                  <w:enabled/>
                  <w:calcOnExit w:val="0"/>
                  <w:textInput/>
                </w:ffData>
              </w:fldChar>
            </w:r>
            <w:bookmarkStart w:id="7" w:name="Text89"/>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7"/>
          </w:p>
        </w:tc>
      </w:tr>
      <w:tr w:rsidR="00F705DD" w:rsidRPr="00F705DD" w14:paraId="62F54567" w14:textId="77777777" w:rsidTr="00F705DD">
        <w:tc>
          <w:tcPr>
            <w:tcW w:w="3395" w:type="dxa"/>
            <w:shd w:val="clear" w:color="auto" w:fill="auto"/>
            <w:vAlign w:val="center"/>
          </w:tcPr>
          <w:p w14:paraId="5FAC0C2A"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Simulation / Modelling</w:t>
            </w:r>
          </w:p>
        </w:tc>
        <w:tc>
          <w:tcPr>
            <w:tcW w:w="7361" w:type="dxa"/>
          </w:tcPr>
          <w:p w14:paraId="665B9879"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90"/>
                  <w:enabled/>
                  <w:calcOnExit w:val="0"/>
                  <w:textInput/>
                </w:ffData>
              </w:fldChar>
            </w:r>
            <w:bookmarkStart w:id="8" w:name="Text90"/>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8"/>
          </w:p>
        </w:tc>
      </w:tr>
      <w:tr w:rsidR="00F705DD" w:rsidRPr="00F705DD" w14:paraId="1DA03E3D" w14:textId="77777777" w:rsidTr="00F705DD">
        <w:tc>
          <w:tcPr>
            <w:tcW w:w="3395" w:type="dxa"/>
            <w:shd w:val="clear" w:color="auto" w:fill="auto"/>
            <w:vAlign w:val="center"/>
          </w:tcPr>
          <w:p w14:paraId="76746C63"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Bioinformatics</w:t>
            </w:r>
          </w:p>
        </w:tc>
        <w:tc>
          <w:tcPr>
            <w:tcW w:w="7361" w:type="dxa"/>
          </w:tcPr>
          <w:p w14:paraId="6B6F0859" w14:textId="2EFAA7B0" w:rsidR="00CB328A" w:rsidRPr="00F705DD" w:rsidRDefault="004B420D" w:rsidP="00CB328A">
            <w:pPr>
              <w:rPr>
                <w:rFonts w:ascii="Century Gothic" w:hAnsi="Century Gothic"/>
                <w:sz w:val="21"/>
                <w:szCs w:val="21"/>
                <w:lang w:val="en-GB"/>
              </w:rPr>
            </w:pPr>
            <w:r>
              <w:rPr>
                <w:rFonts w:ascii="Century Gothic" w:hAnsi="Century Gothic"/>
                <w:sz w:val="21"/>
                <w:szCs w:val="21"/>
                <w:lang w:val="en-GB"/>
              </w:rPr>
              <w:t>C</w:t>
            </w:r>
            <w:r w:rsidRPr="004B420D">
              <w:rPr>
                <w:rFonts w:ascii="Century Gothic" w:hAnsi="Century Gothic"/>
                <w:sz w:val="21"/>
                <w:szCs w:val="21"/>
                <w:lang w:val="en-GB"/>
              </w:rPr>
              <w:t>ompositional data analys</w:t>
            </w:r>
            <w:r>
              <w:rPr>
                <w:rFonts w:ascii="Century Gothic" w:hAnsi="Century Gothic"/>
                <w:sz w:val="21"/>
                <w:szCs w:val="21"/>
                <w:lang w:val="en-GB"/>
              </w:rPr>
              <w:t xml:space="preserve">es of gut microbiome samples will be </w:t>
            </w:r>
            <w:r w:rsidR="00074F5A">
              <w:rPr>
                <w:rFonts w:ascii="Century Gothic" w:hAnsi="Century Gothic"/>
                <w:sz w:val="21"/>
                <w:szCs w:val="21"/>
                <w:lang w:val="en-GB"/>
              </w:rPr>
              <w:t>undertaken by the student at KCL. For this purpose, the student will be trained in using the statistical programming language R, the general purpose programming language Python, and the Bash command language.</w:t>
            </w:r>
          </w:p>
        </w:tc>
      </w:tr>
      <w:tr w:rsidR="00F705DD" w:rsidRPr="00F705DD" w14:paraId="7329A55A" w14:textId="77777777" w:rsidTr="00F705DD">
        <w:tc>
          <w:tcPr>
            <w:tcW w:w="3395" w:type="dxa"/>
            <w:shd w:val="clear" w:color="auto" w:fill="auto"/>
            <w:vAlign w:val="center"/>
          </w:tcPr>
          <w:p w14:paraId="27806009"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Mathematics / Statistics</w:t>
            </w:r>
          </w:p>
        </w:tc>
        <w:tc>
          <w:tcPr>
            <w:tcW w:w="7361" w:type="dxa"/>
          </w:tcPr>
          <w:p w14:paraId="02F103C1" w14:textId="60FFD9FC" w:rsidR="00CB328A" w:rsidRPr="00F705DD" w:rsidRDefault="00C61E38" w:rsidP="00510A56">
            <w:pPr>
              <w:rPr>
                <w:rFonts w:ascii="Century Gothic" w:hAnsi="Century Gothic"/>
                <w:sz w:val="21"/>
                <w:szCs w:val="21"/>
                <w:lang w:val="en-GB"/>
              </w:rPr>
            </w:pPr>
            <w:r>
              <w:rPr>
                <w:rFonts w:ascii="Century Gothic" w:hAnsi="Century Gothic"/>
                <w:sz w:val="21"/>
                <w:szCs w:val="21"/>
                <w:lang w:val="en-GB"/>
              </w:rPr>
              <w:t>Generalised linear modelling and Generalized additive modelling approaches to ecological data</w:t>
            </w:r>
            <w:r w:rsidR="00510A56">
              <w:rPr>
                <w:rFonts w:ascii="Century Gothic" w:hAnsi="Century Gothic"/>
                <w:sz w:val="21"/>
                <w:szCs w:val="21"/>
                <w:lang w:val="en-GB"/>
              </w:rPr>
              <w:t xml:space="preserve"> using the R programming language</w:t>
            </w:r>
            <w:r w:rsidR="00F347BD">
              <w:rPr>
                <w:rFonts w:ascii="Century Gothic" w:hAnsi="Century Gothic"/>
                <w:sz w:val="21"/>
                <w:szCs w:val="21"/>
                <w:lang w:val="en-GB"/>
              </w:rPr>
              <w:t xml:space="preserve">; training provided </w:t>
            </w:r>
            <w:r w:rsidR="00510A56">
              <w:rPr>
                <w:rFonts w:ascii="Century Gothic" w:hAnsi="Century Gothic"/>
                <w:sz w:val="21"/>
                <w:szCs w:val="21"/>
                <w:lang w:val="en-GB"/>
              </w:rPr>
              <w:t>at RHUL.</w:t>
            </w:r>
          </w:p>
        </w:tc>
      </w:tr>
      <w:tr w:rsidR="00F705DD" w:rsidRPr="00F705DD" w14:paraId="4BFE0E15" w14:textId="77777777" w:rsidTr="00F705DD">
        <w:tc>
          <w:tcPr>
            <w:tcW w:w="3395" w:type="dxa"/>
            <w:shd w:val="clear" w:color="auto" w:fill="auto"/>
            <w:vAlign w:val="center"/>
          </w:tcPr>
          <w:p w14:paraId="1FB96E47" w14:textId="77777777" w:rsidR="00CB328A" w:rsidRPr="00F705DD" w:rsidRDefault="00CB328A" w:rsidP="00CB328A">
            <w:pPr>
              <w:rPr>
                <w:rFonts w:ascii="Century Gothic" w:hAnsi="Century Gothic"/>
                <w:sz w:val="21"/>
                <w:szCs w:val="21"/>
              </w:rPr>
            </w:pPr>
            <w:r w:rsidRPr="00F705DD">
              <w:rPr>
                <w:rFonts w:ascii="Century Gothic" w:hAnsi="Century Gothic"/>
                <w:sz w:val="21"/>
                <w:szCs w:val="21"/>
              </w:rPr>
              <w:t>Engineering</w:t>
            </w:r>
          </w:p>
        </w:tc>
        <w:tc>
          <w:tcPr>
            <w:tcW w:w="7361" w:type="dxa"/>
          </w:tcPr>
          <w:p w14:paraId="27C858A9"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fldChar w:fldCharType="begin">
                <w:ffData>
                  <w:name w:val="Text93"/>
                  <w:enabled/>
                  <w:calcOnExit w:val="0"/>
                  <w:textInput/>
                </w:ffData>
              </w:fldChar>
            </w:r>
            <w:bookmarkStart w:id="9" w:name="Text93"/>
            <w:r w:rsidRPr="00F705DD">
              <w:rPr>
                <w:rFonts w:ascii="Century Gothic" w:hAnsi="Century Gothic"/>
                <w:sz w:val="21"/>
                <w:szCs w:val="21"/>
                <w:lang w:val="en-GB"/>
              </w:rPr>
              <w:instrText xml:space="preserve"> FORMTEXT </w:instrText>
            </w:r>
            <w:r w:rsidRPr="00F705DD">
              <w:rPr>
                <w:rFonts w:ascii="Century Gothic" w:hAnsi="Century Gothic"/>
                <w:sz w:val="21"/>
                <w:szCs w:val="21"/>
                <w:lang w:val="en-GB"/>
              </w:rPr>
            </w:r>
            <w:r w:rsidRPr="00F705DD">
              <w:rPr>
                <w:rFonts w:ascii="Century Gothic" w:hAnsi="Century Gothic"/>
                <w:sz w:val="21"/>
                <w:szCs w:val="21"/>
                <w:lang w:val="en-GB"/>
              </w:rPr>
              <w:fldChar w:fldCharType="separate"/>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noProof/>
                <w:sz w:val="21"/>
                <w:szCs w:val="21"/>
                <w:lang w:val="en-GB"/>
              </w:rPr>
              <w:t> </w:t>
            </w:r>
            <w:r w:rsidRPr="00F705DD">
              <w:rPr>
                <w:rFonts w:ascii="Century Gothic" w:hAnsi="Century Gothic"/>
                <w:sz w:val="21"/>
                <w:szCs w:val="21"/>
                <w:lang w:val="en-GB"/>
              </w:rPr>
              <w:fldChar w:fldCharType="end"/>
            </w:r>
            <w:bookmarkEnd w:id="9"/>
          </w:p>
        </w:tc>
      </w:tr>
    </w:tbl>
    <w:p w14:paraId="6C6F086E" w14:textId="77777777" w:rsidR="00CB328A" w:rsidRPr="00F705DD" w:rsidRDefault="00CB328A" w:rsidP="00CB328A">
      <w:pPr>
        <w:rPr>
          <w:rFonts w:ascii="Century Gothic" w:hAnsi="Century Gothic"/>
          <w:sz w:val="21"/>
          <w:szCs w:val="21"/>
          <w:lang w:val="en-GB"/>
        </w:rPr>
      </w:pPr>
    </w:p>
    <w:tbl>
      <w:tblPr>
        <w:tblStyle w:val="TableGrid"/>
        <w:tblW w:w="0" w:type="auto"/>
        <w:tblLook w:val="04A0" w:firstRow="1" w:lastRow="0" w:firstColumn="1" w:lastColumn="0" w:noHBand="0" w:noVBand="1"/>
      </w:tblPr>
      <w:tblGrid>
        <w:gridCol w:w="10756"/>
      </w:tblGrid>
      <w:tr w:rsidR="00CB328A" w:rsidRPr="00F705DD" w14:paraId="6492071E" w14:textId="77777777" w:rsidTr="00CB328A">
        <w:tc>
          <w:tcPr>
            <w:tcW w:w="10756" w:type="dxa"/>
          </w:tcPr>
          <w:p w14:paraId="7AA344C4" w14:textId="77777777" w:rsidR="00CB328A" w:rsidRPr="00F705DD" w:rsidRDefault="00CB328A" w:rsidP="00CB328A">
            <w:pPr>
              <w:rPr>
                <w:rFonts w:ascii="Century Gothic" w:hAnsi="Century Gothic"/>
                <w:b/>
                <w:sz w:val="21"/>
                <w:szCs w:val="21"/>
                <w:lang w:val="en-GB"/>
              </w:rPr>
            </w:pPr>
            <w:r w:rsidRPr="00F705DD">
              <w:rPr>
                <w:rFonts w:ascii="Century Gothic" w:hAnsi="Century Gothic"/>
                <w:b/>
                <w:sz w:val="21"/>
                <w:szCs w:val="21"/>
                <w:lang w:val="en-GB"/>
              </w:rPr>
              <w:t>Explain how this project is interdisciplinary (50 words):</w:t>
            </w:r>
          </w:p>
        </w:tc>
      </w:tr>
      <w:tr w:rsidR="00CB328A" w:rsidRPr="00F705DD" w14:paraId="02589B56" w14:textId="77777777" w:rsidTr="00CB328A">
        <w:tc>
          <w:tcPr>
            <w:tcW w:w="10756" w:type="dxa"/>
          </w:tcPr>
          <w:p w14:paraId="5127E3BD" w14:textId="22361494" w:rsidR="00CB328A" w:rsidRPr="00F705DD" w:rsidRDefault="00F419FB" w:rsidP="00C81443">
            <w:pPr>
              <w:rPr>
                <w:rFonts w:ascii="Century Gothic" w:hAnsi="Century Gothic"/>
                <w:sz w:val="21"/>
                <w:szCs w:val="21"/>
                <w:lang w:val="en-GB"/>
              </w:rPr>
            </w:pPr>
            <w:r>
              <w:rPr>
                <w:rFonts w:ascii="Century Gothic" w:hAnsi="Century Gothic"/>
                <w:sz w:val="21"/>
                <w:szCs w:val="21"/>
                <w:lang w:val="en-GB"/>
              </w:rPr>
              <w:t xml:space="preserve">The project relies upon tools external to the field of ecology (microbiology, and specifically, molecular </w:t>
            </w:r>
            <w:r>
              <w:rPr>
                <w:rFonts w:ascii="Century Gothic" w:hAnsi="Century Gothic"/>
                <w:sz w:val="21"/>
                <w:szCs w:val="21"/>
                <w:lang w:val="en-GB"/>
              </w:rPr>
              <w:lastRenderedPageBreak/>
              <w:t>profiling of microbiolo</w:t>
            </w:r>
            <w:r w:rsidR="00C81443">
              <w:rPr>
                <w:rFonts w:ascii="Century Gothic" w:hAnsi="Century Gothic"/>
                <w:sz w:val="21"/>
                <w:szCs w:val="21"/>
                <w:lang w:val="en-GB"/>
              </w:rPr>
              <w:t>gical communities) to understand the drivers of potentially catastrophic pollinator decline. To this end, the student must receive training in molecular (KCL), microbiological (KCL) and ecological (RHUL) techniques, and in mass spectrometry (RHUL).</w:t>
            </w:r>
            <w:r>
              <w:rPr>
                <w:rFonts w:ascii="Century Gothic" w:hAnsi="Century Gothic"/>
                <w:sz w:val="21"/>
                <w:szCs w:val="21"/>
                <w:lang w:val="en-GB"/>
              </w:rPr>
              <w:t xml:space="preserve"> </w:t>
            </w:r>
          </w:p>
        </w:tc>
      </w:tr>
    </w:tbl>
    <w:p w14:paraId="1C4BE545" w14:textId="77777777" w:rsidR="00F705DD" w:rsidRDefault="00F705DD" w:rsidP="00CB328A">
      <w:pPr>
        <w:rPr>
          <w:rFonts w:ascii="Century Gothic" w:hAnsi="Century Gothic"/>
          <w:sz w:val="21"/>
          <w:szCs w:val="21"/>
          <w:lang w:val="en-GB"/>
        </w:rPr>
      </w:pPr>
    </w:p>
    <w:p w14:paraId="26A7564C" w14:textId="77777777" w:rsidR="00F705DD" w:rsidRDefault="00F705DD">
      <w:pPr>
        <w:rPr>
          <w:rFonts w:ascii="Century Gothic" w:hAnsi="Century Gothic"/>
          <w:sz w:val="21"/>
          <w:szCs w:val="21"/>
          <w:lang w:val="en-GB"/>
        </w:rPr>
      </w:pPr>
      <w:r>
        <w:rPr>
          <w:rFonts w:ascii="Century Gothic" w:hAnsi="Century Gothic"/>
          <w:sz w:val="21"/>
          <w:szCs w:val="21"/>
          <w:lang w:val="en-GB"/>
        </w:rPr>
        <w:br w:type="page"/>
      </w:r>
    </w:p>
    <w:p w14:paraId="7CA65E00" w14:textId="77777777" w:rsidR="00FC4C27" w:rsidRPr="00F705DD" w:rsidRDefault="00FC4C27" w:rsidP="00CB328A">
      <w:pPr>
        <w:rPr>
          <w:rFonts w:ascii="Century Gothic" w:hAnsi="Century Gothic"/>
          <w:sz w:val="21"/>
          <w:szCs w:val="21"/>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2376"/>
        <w:gridCol w:w="525"/>
        <w:gridCol w:w="184"/>
        <w:gridCol w:w="6935"/>
      </w:tblGrid>
      <w:tr w:rsidR="00FC4C27" w:rsidRPr="00F705DD" w14:paraId="7F9E4C70" w14:textId="77777777" w:rsidTr="00F705DD">
        <w:tc>
          <w:tcPr>
            <w:tcW w:w="3112" w:type="dxa"/>
            <w:gridSpan w:val="2"/>
            <w:tcBorders>
              <w:top w:val="single" w:sz="4" w:space="0" w:color="auto"/>
              <w:left w:val="single" w:sz="4" w:space="0" w:color="auto"/>
              <w:right w:val="single" w:sz="4" w:space="0" w:color="auto"/>
            </w:tcBorders>
          </w:tcPr>
          <w:p w14:paraId="15710F47" w14:textId="77777777" w:rsidR="00D831B1" w:rsidRDefault="00FC4C27" w:rsidP="00CB328A">
            <w:pPr>
              <w:rPr>
                <w:rFonts w:ascii="Century Gothic" w:hAnsi="Century Gothic"/>
                <w:b/>
                <w:sz w:val="21"/>
                <w:szCs w:val="21"/>
                <w:lang w:val="en-GB"/>
              </w:rPr>
            </w:pPr>
            <w:r w:rsidRPr="00F705DD">
              <w:rPr>
                <w:rFonts w:ascii="Century Gothic" w:hAnsi="Century Gothic"/>
                <w:b/>
                <w:sz w:val="21"/>
                <w:szCs w:val="21"/>
                <w:lang w:val="en-GB"/>
              </w:rPr>
              <w:t xml:space="preserve">Area of Biology: </w:t>
            </w:r>
          </w:p>
          <w:p w14:paraId="2D63D236" w14:textId="77777777" w:rsidR="00FC4C27" w:rsidRPr="00F705DD" w:rsidRDefault="00FC4C27" w:rsidP="00CB328A">
            <w:pPr>
              <w:rPr>
                <w:rFonts w:ascii="Century Gothic" w:hAnsi="Century Gothic"/>
                <w:b/>
                <w:sz w:val="21"/>
                <w:szCs w:val="21"/>
                <w:lang w:val="en-GB"/>
              </w:rPr>
            </w:pPr>
            <w:r w:rsidRPr="00F705DD">
              <w:rPr>
                <w:rFonts w:ascii="Century Gothic" w:hAnsi="Century Gothic"/>
                <w:b/>
                <w:sz w:val="21"/>
                <w:szCs w:val="21"/>
                <w:lang w:val="en-GB"/>
              </w:rPr>
              <w:t xml:space="preserve">(select up to </w:t>
            </w:r>
            <w:r w:rsidRPr="005A4C3C">
              <w:rPr>
                <w:rFonts w:ascii="Century Gothic" w:hAnsi="Century Gothic"/>
                <w:b/>
                <w:color w:val="FF0000"/>
                <w:sz w:val="21"/>
                <w:szCs w:val="21"/>
                <w:lang w:val="en-GB"/>
              </w:rPr>
              <w:t>2</w:t>
            </w:r>
            <w:r w:rsidRPr="00F705DD">
              <w:rPr>
                <w:rFonts w:ascii="Century Gothic" w:hAnsi="Century Gothic"/>
                <w:b/>
                <w:sz w:val="21"/>
                <w:szCs w:val="21"/>
                <w:lang w:val="en-GB"/>
              </w:rPr>
              <w:t xml:space="preserve"> best fits)</w:t>
            </w:r>
          </w:p>
        </w:tc>
        <w:tc>
          <w:tcPr>
            <w:tcW w:w="7644" w:type="dxa"/>
            <w:gridSpan w:val="3"/>
            <w:tcBorders>
              <w:top w:val="single" w:sz="4" w:space="0" w:color="auto"/>
              <w:left w:val="single" w:sz="4" w:space="0" w:color="auto"/>
              <w:right w:val="single" w:sz="4" w:space="0" w:color="auto"/>
            </w:tcBorders>
          </w:tcPr>
          <w:p w14:paraId="69843D07" w14:textId="77777777" w:rsidR="00D831B1" w:rsidRDefault="00FC4C27" w:rsidP="00CB328A">
            <w:pPr>
              <w:rPr>
                <w:rFonts w:ascii="Century Gothic" w:hAnsi="Century Gothic"/>
                <w:b/>
                <w:sz w:val="21"/>
                <w:szCs w:val="21"/>
                <w:lang w:val="en-GB"/>
              </w:rPr>
            </w:pPr>
            <w:r w:rsidRPr="00F705DD">
              <w:rPr>
                <w:rFonts w:ascii="Century Gothic" w:hAnsi="Century Gothic"/>
                <w:b/>
                <w:sz w:val="21"/>
                <w:szCs w:val="21"/>
                <w:lang w:val="en-GB"/>
              </w:rPr>
              <w:t xml:space="preserve">BBSRC Research Committee Area: </w:t>
            </w:r>
          </w:p>
          <w:p w14:paraId="11262677" w14:textId="77777777" w:rsidR="00FC4C27" w:rsidRPr="00F705DD" w:rsidRDefault="00FC4C27" w:rsidP="00CB328A">
            <w:pPr>
              <w:rPr>
                <w:rFonts w:ascii="Century Gothic" w:hAnsi="Century Gothic"/>
                <w:b/>
                <w:sz w:val="21"/>
                <w:szCs w:val="21"/>
                <w:lang w:val="en-GB"/>
              </w:rPr>
            </w:pPr>
            <w:r w:rsidRPr="00F705DD">
              <w:rPr>
                <w:rFonts w:ascii="Century Gothic" w:hAnsi="Century Gothic"/>
                <w:b/>
                <w:sz w:val="21"/>
                <w:szCs w:val="21"/>
                <w:lang w:val="en-GB"/>
              </w:rPr>
              <w:t xml:space="preserve">(select </w:t>
            </w:r>
            <w:r w:rsidRPr="005A4C3C">
              <w:rPr>
                <w:rFonts w:ascii="Century Gothic" w:hAnsi="Century Gothic"/>
                <w:b/>
                <w:color w:val="FF0000"/>
                <w:sz w:val="21"/>
                <w:szCs w:val="21"/>
                <w:lang w:val="en-GB"/>
              </w:rPr>
              <w:t>one</w:t>
            </w:r>
            <w:r w:rsidR="00D831B1" w:rsidRPr="005A4C3C">
              <w:rPr>
                <w:rFonts w:ascii="Century Gothic" w:hAnsi="Century Gothic"/>
                <w:b/>
                <w:color w:val="FF0000"/>
                <w:sz w:val="21"/>
                <w:szCs w:val="21"/>
                <w:lang w:val="en-GB"/>
              </w:rPr>
              <w:t xml:space="preserve"> </w:t>
            </w:r>
            <w:r w:rsidR="00D831B1">
              <w:rPr>
                <w:rFonts w:ascii="Century Gothic" w:hAnsi="Century Gothic"/>
                <w:b/>
                <w:sz w:val="21"/>
                <w:szCs w:val="21"/>
                <w:lang w:val="en-GB"/>
              </w:rPr>
              <w:t>only</w:t>
            </w:r>
            <w:r w:rsidRPr="00F705DD">
              <w:rPr>
                <w:rFonts w:ascii="Century Gothic" w:hAnsi="Century Gothic"/>
                <w:b/>
                <w:sz w:val="21"/>
                <w:szCs w:val="21"/>
                <w:lang w:val="en-GB"/>
              </w:rPr>
              <w:t>)</w:t>
            </w:r>
          </w:p>
        </w:tc>
      </w:tr>
      <w:tr w:rsidR="00F705DD" w:rsidRPr="00F705DD" w14:paraId="617E127B" w14:textId="77777777" w:rsidTr="00F705DD">
        <w:tc>
          <w:tcPr>
            <w:tcW w:w="736" w:type="dxa"/>
            <w:tcBorders>
              <w:left w:val="single" w:sz="4" w:space="0" w:color="auto"/>
            </w:tcBorders>
          </w:tcPr>
          <w:p w14:paraId="76E76124"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9"/>
                  <w:enabled/>
                  <w:calcOnExit w:val="0"/>
                  <w:checkBox>
                    <w:sizeAuto/>
                    <w:default w:val="0"/>
                  </w:checkBox>
                </w:ffData>
              </w:fldChar>
            </w:r>
            <w:bookmarkStart w:id="10" w:name="Check19"/>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0"/>
          </w:p>
        </w:tc>
        <w:tc>
          <w:tcPr>
            <w:tcW w:w="2376" w:type="dxa"/>
            <w:tcBorders>
              <w:right w:val="single" w:sz="4" w:space="0" w:color="auto"/>
            </w:tcBorders>
          </w:tcPr>
          <w:p w14:paraId="2586970B"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Cell Biology   </w:t>
            </w:r>
          </w:p>
        </w:tc>
        <w:tc>
          <w:tcPr>
            <w:tcW w:w="709" w:type="dxa"/>
            <w:gridSpan w:val="2"/>
            <w:tcBorders>
              <w:left w:val="single" w:sz="4" w:space="0" w:color="auto"/>
            </w:tcBorders>
          </w:tcPr>
          <w:p w14:paraId="375D494E"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1"/>
                  <w:enabled/>
                  <w:calcOnExit w:val="0"/>
                  <w:checkBox>
                    <w:sizeAuto/>
                    <w:default w:val="0"/>
                  </w:checkBox>
                </w:ffData>
              </w:fldChar>
            </w:r>
            <w:bookmarkStart w:id="11" w:name="Check31"/>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1"/>
          </w:p>
        </w:tc>
        <w:tc>
          <w:tcPr>
            <w:tcW w:w="6935" w:type="dxa"/>
            <w:tcBorders>
              <w:right w:val="single" w:sz="4" w:space="0" w:color="auto"/>
            </w:tcBorders>
          </w:tcPr>
          <w:p w14:paraId="10D1F3AE"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Animal disease, health and welfare</w:t>
            </w:r>
          </w:p>
        </w:tc>
      </w:tr>
      <w:tr w:rsidR="00F705DD" w:rsidRPr="00F705DD" w14:paraId="484C9AF4" w14:textId="77777777" w:rsidTr="00F705DD">
        <w:tc>
          <w:tcPr>
            <w:tcW w:w="736" w:type="dxa"/>
            <w:tcBorders>
              <w:left w:val="single" w:sz="4" w:space="0" w:color="auto"/>
            </w:tcBorders>
          </w:tcPr>
          <w:p w14:paraId="3C97E255"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0"/>
                  <w:enabled/>
                  <w:calcOnExit w:val="0"/>
                  <w:checkBox>
                    <w:sizeAuto/>
                    <w:default w:val="0"/>
                  </w:checkBox>
                </w:ffData>
              </w:fldChar>
            </w:r>
            <w:bookmarkStart w:id="12" w:name="Check20"/>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2"/>
          </w:p>
        </w:tc>
        <w:tc>
          <w:tcPr>
            <w:tcW w:w="2376" w:type="dxa"/>
            <w:tcBorders>
              <w:right w:val="single" w:sz="4" w:space="0" w:color="auto"/>
            </w:tcBorders>
          </w:tcPr>
          <w:p w14:paraId="29D2B511"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Neurobiology  </w:t>
            </w:r>
          </w:p>
        </w:tc>
        <w:tc>
          <w:tcPr>
            <w:tcW w:w="709" w:type="dxa"/>
            <w:gridSpan w:val="2"/>
            <w:tcBorders>
              <w:left w:val="single" w:sz="4" w:space="0" w:color="auto"/>
            </w:tcBorders>
          </w:tcPr>
          <w:p w14:paraId="13790D05" w14:textId="6B567BCF" w:rsidR="00CB328A"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6935" w:type="dxa"/>
            <w:tcBorders>
              <w:right w:val="single" w:sz="4" w:space="0" w:color="auto"/>
            </w:tcBorders>
          </w:tcPr>
          <w:p w14:paraId="25F52301"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Plants, microbes, food and sustainability</w:t>
            </w:r>
          </w:p>
        </w:tc>
      </w:tr>
      <w:tr w:rsidR="00F705DD" w:rsidRPr="00F705DD" w14:paraId="3DAB386B" w14:textId="77777777" w:rsidTr="00F705DD">
        <w:tc>
          <w:tcPr>
            <w:tcW w:w="736" w:type="dxa"/>
            <w:tcBorders>
              <w:left w:val="single" w:sz="4" w:space="0" w:color="auto"/>
            </w:tcBorders>
          </w:tcPr>
          <w:p w14:paraId="3DE16852"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2"/>
                  <w:enabled/>
                  <w:calcOnExit w:val="0"/>
                  <w:checkBox>
                    <w:sizeAuto/>
                    <w:default w:val="0"/>
                  </w:checkBox>
                </w:ffData>
              </w:fldChar>
            </w:r>
            <w:bookmarkStart w:id="13" w:name="Check22"/>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3"/>
          </w:p>
        </w:tc>
        <w:tc>
          <w:tcPr>
            <w:tcW w:w="2376" w:type="dxa"/>
            <w:tcBorders>
              <w:right w:val="single" w:sz="4" w:space="0" w:color="auto"/>
            </w:tcBorders>
          </w:tcPr>
          <w:p w14:paraId="0B6BD7ED"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Development   </w:t>
            </w:r>
          </w:p>
        </w:tc>
        <w:tc>
          <w:tcPr>
            <w:tcW w:w="709" w:type="dxa"/>
            <w:gridSpan w:val="2"/>
            <w:tcBorders>
              <w:left w:val="single" w:sz="4" w:space="0" w:color="auto"/>
            </w:tcBorders>
          </w:tcPr>
          <w:p w14:paraId="4347532C"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3"/>
                  <w:enabled/>
                  <w:calcOnExit w:val="0"/>
                  <w:checkBox>
                    <w:sizeAuto/>
                    <w:default w:val="0"/>
                  </w:checkBox>
                </w:ffData>
              </w:fldChar>
            </w:r>
            <w:bookmarkStart w:id="14" w:name="Check33"/>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4"/>
          </w:p>
        </w:tc>
        <w:tc>
          <w:tcPr>
            <w:tcW w:w="6935" w:type="dxa"/>
            <w:tcBorders>
              <w:right w:val="single" w:sz="4" w:space="0" w:color="auto"/>
            </w:tcBorders>
          </w:tcPr>
          <w:p w14:paraId="224EA20B"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Genes, development and STEM* approaches to biology</w:t>
            </w:r>
          </w:p>
        </w:tc>
      </w:tr>
      <w:tr w:rsidR="00F705DD" w:rsidRPr="00F705DD" w14:paraId="7C8921BD" w14:textId="77777777" w:rsidTr="00F705DD">
        <w:tc>
          <w:tcPr>
            <w:tcW w:w="736" w:type="dxa"/>
            <w:tcBorders>
              <w:left w:val="single" w:sz="4" w:space="0" w:color="auto"/>
            </w:tcBorders>
          </w:tcPr>
          <w:p w14:paraId="6CA03217" w14:textId="7A26B47A" w:rsidR="00CB328A"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2376" w:type="dxa"/>
            <w:tcBorders>
              <w:right w:val="single" w:sz="4" w:space="0" w:color="auto"/>
            </w:tcBorders>
          </w:tcPr>
          <w:p w14:paraId="58AE98A9"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Physiology</w:t>
            </w:r>
          </w:p>
        </w:tc>
        <w:tc>
          <w:tcPr>
            <w:tcW w:w="709" w:type="dxa"/>
            <w:gridSpan w:val="2"/>
            <w:tcBorders>
              <w:left w:val="single" w:sz="4" w:space="0" w:color="auto"/>
              <w:bottom w:val="single" w:sz="4" w:space="0" w:color="auto"/>
            </w:tcBorders>
          </w:tcPr>
          <w:p w14:paraId="3D23726C"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4"/>
                  <w:enabled/>
                  <w:calcOnExit w:val="0"/>
                  <w:checkBox>
                    <w:sizeAuto/>
                    <w:default w:val="0"/>
                  </w:checkBox>
                </w:ffData>
              </w:fldChar>
            </w:r>
            <w:bookmarkStart w:id="15" w:name="Check34"/>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5"/>
          </w:p>
        </w:tc>
        <w:tc>
          <w:tcPr>
            <w:tcW w:w="6935" w:type="dxa"/>
            <w:tcBorders>
              <w:bottom w:val="single" w:sz="4" w:space="0" w:color="auto"/>
              <w:right w:val="single" w:sz="4" w:space="0" w:color="auto"/>
            </w:tcBorders>
          </w:tcPr>
          <w:p w14:paraId="13E969B6"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Molecules, cells and industrial biotechnology</w:t>
            </w:r>
          </w:p>
        </w:tc>
      </w:tr>
      <w:tr w:rsidR="00F705DD" w:rsidRPr="00F705DD" w14:paraId="1EDBE1CC" w14:textId="77777777" w:rsidTr="00F705DD">
        <w:tc>
          <w:tcPr>
            <w:tcW w:w="736" w:type="dxa"/>
            <w:tcBorders>
              <w:left w:val="single" w:sz="4" w:space="0" w:color="auto"/>
            </w:tcBorders>
          </w:tcPr>
          <w:p w14:paraId="33E03976"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3"/>
                  <w:enabled/>
                  <w:calcOnExit w:val="0"/>
                  <w:checkBox>
                    <w:sizeAuto/>
                    <w:default w:val="0"/>
                  </w:checkBox>
                </w:ffData>
              </w:fldChar>
            </w:r>
            <w:bookmarkStart w:id="16" w:name="Check23"/>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6"/>
          </w:p>
        </w:tc>
        <w:tc>
          <w:tcPr>
            <w:tcW w:w="2376" w:type="dxa"/>
            <w:tcBorders>
              <w:right w:val="single" w:sz="4" w:space="0" w:color="auto"/>
            </w:tcBorders>
          </w:tcPr>
          <w:p w14:paraId="3C0929A0"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Structural Biology </w:t>
            </w:r>
          </w:p>
        </w:tc>
        <w:tc>
          <w:tcPr>
            <w:tcW w:w="709" w:type="dxa"/>
            <w:gridSpan w:val="2"/>
            <w:tcBorders>
              <w:top w:val="single" w:sz="4" w:space="0" w:color="auto"/>
              <w:left w:val="single" w:sz="4" w:space="0" w:color="auto"/>
              <w:bottom w:val="single" w:sz="4" w:space="0" w:color="auto"/>
            </w:tcBorders>
            <w:shd w:val="clear" w:color="auto" w:fill="D9D9D9" w:themeFill="background1" w:themeFillShade="D9"/>
          </w:tcPr>
          <w:p w14:paraId="468EBD16" w14:textId="77777777" w:rsidR="00CB328A" w:rsidRPr="00F705DD" w:rsidRDefault="00CB328A" w:rsidP="00CB328A">
            <w:pPr>
              <w:rPr>
                <w:rFonts w:ascii="Century Gothic" w:hAnsi="Century Gothic"/>
                <w:sz w:val="21"/>
                <w:szCs w:val="21"/>
                <w:lang w:val="en-GB"/>
              </w:rPr>
            </w:pPr>
          </w:p>
        </w:tc>
        <w:tc>
          <w:tcPr>
            <w:tcW w:w="6935" w:type="dxa"/>
            <w:tcBorders>
              <w:top w:val="single" w:sz="4" w:space="0" w:color="auto"/>
              <w:bottom w:val="single" w:sz="4" w:space="0" w:color="auto"/>
              <w:right w:val="single" w:sz="4" w:space="0" w:color="auto"/>
            </w:tcBorders>
            <w:shd w:val="clear" w:color="auto" w:fill="D9D9D9" w:themeFill="background1" w:themeFillShade="D9"/>
          </w:tcPr>
          <w:p w14:paraId="6CF8C649" w14:textId="77777777" w:rsidR="00CB328A" w:rsidRPr="00F705DD" w:rsidRDefault="00CB328A" w:rsidP="00CB328A">
            <w:pPr>
              <w:rPr>
                <w:rFonts w:ascii="Century Gothic" w:hAnsi="Century Gothic"/>
                <w:sz w:val="21"/>
                <w:szCs w:val="21"/>
                <w:lang w:val="en-GB"/>
              </w:rPr>
            </w:pPr>
          </w:p>
        </w:tc>
      </w:tr>
      <w:tr w:rsidR="00FC4C27" w:rsidRPr="00F705DD" w14:paraId="63D9D09A" w14:textId="77777777" w:rsidTr="00F705DD">
        <w:tc>
          <w:tcPr>
            <w:tcW w:w="736" w:type="dxa"/>
            <w:tcBorders>
              <w:left w:val="single" w:sz="4" w:space="0" w:color="auto"/>
            </w:tcBorders>
          </w:tcPr>
          <w:p w14:paraId="74720B93" w14:textId="77777777" w:rsidR="00FC4C27"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4"/>
                  <w:enabled/>
                  <w:calcOnExit w:val="0"/>
                  <w:checkBox>
                    <w:sizeAuto/>
                    <w:default w:val="0"/>
                  </w:checkBox>
                </w:ffData>
              </w:fldChar>
            </w:r>
            <w:bookmarkStart w:id="17" w:name="Check24"/>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7"/>
          </w:p>
        </w:tc>
        <w:tc>
          <w:tcPr>
            <w:tcW w:w="2376" w:type="dxa"/>
            <w:tcBorders>
              <w:right w:val="single" w:sz="4" w:space="0" w:color="auto"/>
            </w:tcBorders>
          </w:tcPr>
          <w:p w14:paraId="5632F6A5" w14:textId="77777777" w:rsidR="00FC4C27"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 xml:space="preserve">Chemical Biology </w:t>
            </w:r>
          </w:p>
        </w:tc>
        <w:tc>
          <w:tcPr>
            <w:tcW w:w="7644" w:type="dxa"/>
            <w:gridSpan w:val="3"/>
            <w:tcBorders>
              <w:top w:val="single" w:sz="4" w:space="0" w:color="auto"/>
              <w:left w:val="single" w:sz="4" w:space="0" w:color="auto"/>
              <w:right w:val="single" w:sz="4" w:space="0" w:color="auto"/>
            </w:tcBorders>
          </w:tcPr>
          <w:p w14:paraId="7C2CF5AC" w14:textId="77777777" w:rsidR="00FC4C27" w:rsidRPr="00F705DD" w:rsidRDefault="00FC4C27" w:rsidP="00CB328A">
            <w:pPr>
              <w:rPr>
                <w:rFonts w:ascii="Century Gothic" w:hAnsi="Century Gothic"/>
                <w:b/>
                <w:sz w:val="21"/>
                <w:szCs w:val="21"/>
                <w:lang w:val="en-GB"/>
              </w:rPr>
            </w:pPr>
            <w:r w:rsidRPr="00F705DD">
              <w:rPr>
                <w:rFonts w:ascii="Century Gothic" w:hAnsi="Century Gothic"/>
                <w:b/>
                <w:sz w:val="21"/>
                <w:szCs w:val="21"/>
                <w:lang w:val="en-GB"/>
              </w:rPr>
              <w:t>BBSRC New Ways of Working: (select best fit(s))</w:t>
            </w:r>
          </w:p>
        </w:tc>
      </w:tr>
      <w:tr w:rsidR="00F705DD" w:rsidRPr="00F705DD" w14:paraId="5B09DB8C" w14:textId="77777777" w:rsidTr="00F705DD">
        <w:tc>
          <w:tcPr>
            <w:tcW w:w="736" w:type="dxa"/>
            <w:tcBorders>
              <w:left w:val="single" w:sz="4" w:space="0" w:color="auto"/>
            </w:tcBorders>
          </w:tcPr>
          <w:p w14:paraId="36248D5F"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5"/>
                  <w:enabled/>
                  <w:calcOnExit w:val="0"/>
                  <w:checkBox>
                    <w:sizeAuto/>
                    <w:default w:val="0"/>
                  </w:checkBox>
                </w:ffData>
              </w:fldChar>
            </w:r>
            <w:bookmarkStart w:id="18" w:name="Check25"/>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8"/>
          </w:p>
        </w:tc>
        <w:tc>
          <w:tcPr>
            <w:tcW w:w="2376" w:type="dxa"/>
            <w:tcBorders>
              <w:right w:val="single" w:sz="4" w:space="0" w:color="auto"/>
            </w:tcBorders>
          </w:tcPr>
          <w:p w14:paraId="33503ECB"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Biotechnology  </w:t>
            </w:r>
          </w:p>
        </w:tc>
        <w:tc>
          <w:tcPr>
            <w:tcW w:w="525" w:type="dxa"/>
            <w:tcBorders>
              <w:left w:val="single" w:sz="4" w:space="0" w:color="auto"/>
            </w:tcBorders>
          </w:tcPr>
          <w:p w14:paraId="2885BDF3"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5"/>
                  <w:enabled/>
                  <w:calcOnExit w:val="0"/>
                  <w:checkBox>
                    <w:sizeAuto/>
                    <w:default w:val="0"/>
                  </w:checkBox>
                </w:ffData>
              </w:fldChar>
            </w:r>
            <w:bookmarkStart w:id="19" w:name="Check35"/>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19"/>
          </w:p>
        </w:tc>
        <w:tc>
          <w:tcPr>
            <w:tcW w:w="7119" w:type="dxa"/>
            <w:gridSpan w:val="2"/>
            <w:tcBorders>
              <w:right w:val="single" w:sz="4" w:space="0" w:color="auto"/>
            </w:tcBorders>
          </w:tcPr>
          <w:p w14:paraId="2DD4E2B4"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State-of-the-art Imaging</w:t>
            </w:r>
          </w:p>
        </w:tc>
      </w:tr>
      <w:tr w:rsidR="00F705DD" w:rsidRPr="00F705DD" w14:paraId="6A983AB4" w14:textId="77777777" w:rsidTr="00F705DD">
        <w:tc>
          <w:tcPr>
            <w:tcW w:w="736" w:type="dxa"/>
            <w:tcBorders>
              <w:left w:val="single" w:sz="4" w:space="0" w:color="auto"/>
            </w:tcBorders>
          </w:tcPr>
          <w:p w14:paraId="243860A1"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6"/>
                  <w:enabled/>
                  <w:calcOnExit w:val="0"/>
                  <w:checkBox>
                    <w:sizeAuto/>
                    <w:default w:val="0"/>
                  </w:checkBox>
                </w:ffData>
              </w:fldChar>
            </w:r>
            <w:bookmarkStart w:id="20" w:name="Check26"/>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0"/>
          </w:p>
        </w:tc>
        <w:tc>
          <w:tcPr>
            <w:tcW w:w="2376" w:type="dxa"/>
            <w:tcBorders>
              <w:right w:val="single" w:sz="4" w:space="0" w:color="auto"/>
            </w:tcBorders>
          </w:tcPr>
          <w:p w14:paraId="21DFC101"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Microbiology</w:t>
            </w:r>
          </w:p>
        </w:tc>
        <w:tc>
          <w:tcPr>
            <w:tcW w:w="525" w:type="dxa"/>
            <w:tcBorders>
              <w:left w:val="single" w:sz="4" w:space="0" w:color="auto"/>
            </w:tcBorders>
          </w:tcPr>
          <w:p w14:paraId="1FFC05E7" w14:textId="05011EC2" w:rsidR="00CB328A"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7119" w:type="dxa"/>
            <w:gridSpan w:val="2"/>
            <w:tcBorders>
              <w:right w:val="single" w:sz="4" w:space="0" w:color="auto"/>
            </w:tcBorders>
          </w:tcPr>
          <w:p w14:paraId="227B2DC9"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Large-scale (bioinformatics) data analysis or resource development</w:t>
            </w:r>
          </w:p>
        </w:tc>
      </w:tr>
      <w:tr w:rsidR="00F705DD" w:rsidRPr="00F705DD" w14:paraId="04968B97" w14:textId="77777777" w:rsidTr="00F705DD">
        <w:tc>
          <w:tcPr>
            <w:tcW w:w="736" w:type="dxa"/>
            <w:tcBorders>
              <w:left w:val="single" w:sz="4" w:space="0" w:color="auto"/>
            </w:tcBorders>
          </w:tcPr>
          <w:p w14:paraId="6D10FE8E"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7"/>
                  <w:enabled/>
                  <w:calcOnExit w:val="0"/>
                  <w:checkBox>
                    <w:sizeAuto/>
                    <w:default w:val="0"/>
                  </w:checkBox>
                </w:ffData>
              </w:fldChar>
            </w:r>
            <w:bookmarkStart w:id="21" w:name="Check27"/>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1"/>
          </w:p>
        </w:tc>
        <w:tc>
          <w:tcPr>
            <w:tcW w:w="2376" w:type="dxa"/>
            <w:tcBorders>
              <w:right w:val="single" w:sz="4" w:space="0" w:color="auto"/>
            </w:tcBorders>
          </w:tcPr>
          <w:p w14:paraId="40026E65"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Genetics   </w:t>
            </w:r>
          </w:p>
        </w:tc>
        <w:tc>
          <w:tcPr>
            <w:tcW w:w="525" w:type="dxa"/>
            <w:tcBorders>
              <w:left w:val="single" w:sz="4" w:space="0" w:color="auto"/>
            </w:tcBorders>
          </w:tcPr>
          <w:p w14:paraId="3851E63E"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7"/>
                  <w:enabled/>
                  <w:calcOnExit w:val="0"/>
                  <w:checkBox>
                    <w:sizeAuto/>
                    <w:default w:val="0"/>
                  </w:checkBox>
                </w:ffData>
              </w:fldChar>
            </w:r>
            <w:bookmarkStart w:id="22" w:name="Check37"/>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2"/>
          </w:p>
        </w:tc>
        <w:tc>
          <w:tcPr>
            <w:tcW w:w="7119" w:type="dxa"/>
            <w:gridSpan w:val="2"/>
            <w:tcBorders>
              <w:right w:val="single" w:sz="4" w:space="0" w:color="auto"/>
            </w:tcBorders>
          </w:tcPr>
          <w:p w14:paraId="38FAB24A"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 xml:space="preserve">Computational or mathematical </w:t>
            </w:r>
            <w:r w:rsidR="00D831B1" w:rsidRPr="00F705DD">
              <w:rPr>
                <w:rFonts w:ascii="Century Gothic" w:hAnsi="Century Gothic"/>
                <w:sz w:val="21"/>
                <w:szCs w:val="21"/>
                <w:lang w:val="en-GB"/>
              </w:rPr>
              <w:t>modelling</w:t>
            </w:r>
          </w:p>
        </w:tc>
      </w:tr>
      <w:tr w:rsidR="00F705DD" w:rsidRPr="00F705DD" w14:paraId="3876432D" w14:textId="77777777" w:rsidTr="00F705DD">
        <w:tc>
          <w:tcPr>
            <w:tcW w:w="736" w:type="dxa"/>
            <w:tcBorders>
              <w:left w:val="single" w:sz="4" w:space="0" w:color="auto"/>
            </w:tcBorders>
          </w:tcPr>
          <w:p w14:paraId="1E75D701"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28"/>
                  <w:enabled/>
                  <w:calcOnExit w:val="0"/>
                  <w:checkBox>
                    <w:sizeAuto/>
                    <w:default w:val="0"/>
                  </w:checkBox>
                </w:ffData>
              </w:fldChar>
            </w:r>
            <w:bookmarkStart w:id="23" w:name="Check28"/>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3"/>
          </w:p>
        </w:tc>
        <w:tc>
          <w:tcPr>
            <w:tcW w:w="2376" w:type="dxa"/>
            <w:tcBorders>
              <w:right w:val="single" w:sz="4" w:space="0" w:color="auto"/>
            </w:tcBorders>
          </w:tcPr>
          <w:p w14:paraId="29C60F37"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 xml:space="preserve">Ageing  </w:t>
            </w:r>
          </w:p>
        </w:tc>
        <w:tc>
          <w:tcPr>
            <w:tcW w:w="525" w:type="dxa"/>
            <w:tcBorders>
              <w:left w:val="single" w:sz="4" w:space="0" w:color="auto"/>
            </w:tcBorders>
          </w:tcPr>
          <w:p w14:paraId="2E428042"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8"/>
                  <w:enabled/>
                  <w:calcOnExit w:val="0"/>
                  <w:checkBox>
                    <w:sizeAuto/>
                    <w:default w:val="0"/>
                  </w:checkBox>
                </w:ffData>
              </w:fldChar>
            </w:r>
            <w:bookmarkStart w:id="24" w:name="Check38"/>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4"/>
          </w:p>
        </w:tc>
        <w:tc>
          <w:tcPr>
            <w:tcW w:w="7119" w:type="dxa"/>
            <w:gridSpan w:val="2"/>
            <w:tcBorders>
              <w:right w:val="single" w:sz="4" w:space="0" w:color="auto"/>
            </w:tcBorders>
          </w:tcPr>
          <w:p w14:paraId="483F1E32"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New approaches to biomolecular characterization</w:t>
            </w:r>
          </w:p>
        </w:tc>
      </w:tr>
      <w:tr w:rsidR="00F705DD" w:rsidRPr="00F705DD" w14:paraId="619D0058" w14:textId="77777777" w:rsidTr="00F705DD">
        <w:tc>
          <w:tcPr>
            <w:tcW w:w="736" w:type="dxa"/>
            <w:tcBorders>
              <w:left w:val="single" w:sz="4" w:space="0" w:color="auto"/>
            </w:tcBorders>
          </w:tcPr>
          <w:p w14:paraId="2BFBD51D" w14:textId="5ED7A0A2" w:rsidR="00CB328A"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2376" w:type="dxa"/>
            <w:tcBorders>
              <w:right w:val="single" w:sz="4" w:space="0" w:color="auto"/>
            </w:tcBorders>
          </w:tcPr>
          <w:p w14:paraId="772B831D" w14:textId="77777777" w:rsidR="00CB328A" w:rsidRPr="00F705DD" w:rsidRDefault="00CB328A" w:rsidP="00CB328A">
            <w:pPr>
              <w:rPr>
                <w:rFonts w:ascii="Century Gothic" w:hAnsi="Century Gothic"/>
                <w:sz w:val="21"/>
                <w:szCs w:val="21"/>
                <w:lang w:val="en-GB"/>
              </w:rPr>
            </w:pPr>
            <w:r w:rsidRPr="00F705DD">
              <w:rPr>
                <w:rFonts w:ascii="Century Gothic" w:hAnsi="Century Gothic"/>
                <w:sz w:val="21"/>
                <w:szCs w:val="21"/>
                <w:lang w:val="en-GB"/>
              </w:rPr>
              <w:t>Evolution</w:t>
            </w:r>
          </w:p>
        </w:tc>
        <w:tc>
          <w:tcPr>
            <w:tcW w:w="525" w:type="dxa"/>
            <w:tcBorders>
              <w:left w:val="single" w:sz="4" w:space="0" w:color="auto"/>
            </w:tcBorders>
          </w:tcPr>
          <w:p w14:paraId="5B51D79C" w14:textId="77777777" w:rsidR="00CB328A"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9"/>
                  <w:enabled/>
                  <w:calcOnExit w:val="0"/>
                  <w:checkBox>
                    <w:sizeAuto/>
                    <w:default w:val="0"/>
                  </w:checkBox>
                </w:ffData>
              </w:fldChar>
            </w:r>
            <w:bookmarkStart w:id="25" w:name="Check39"/>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5"/>
          </w:p>
        </w:tc>
        <w:tc>
          <w:tcPr>
            <w:tcW w:w="7119" w:type="dxa"/>
            <w:gridSpan w:val="2"/>
            <w:tcBorders>
              <w:right w:val="single" w:sz="4" w:space="0" w:color="auto"/>
            </w:tcBorders>
          </w:tcPr>
          <w:p w14:paraId="6DC9610C" w14:textId="77777777" w:rsidR="00CB328A"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Synthetic biology</w:t>
            </w:r>
          </w:p>
        </w:tc>
      </w:tr>
      <w:tr w:rsidR="00F705DD" w:rsidRPr="00F705DD" w14:paraId="558169D3" w14:textId="77777777" w:rsidTr="00F705DD">
        <w:tc>
          <w:tcPr>
            <w:tcW w:w="736" w:type="dxa"/>
            <w:tcBorders>
              <w:left w:val="single" w:sz="4" w:space="0" w:color="auto"/>
              <w:bottom w:val="single" w:sz="4" w:space="0" w:color="auto"/>
            </w:tcBorders>
          </w:tcPr>
          <w:p w14:paraId="5F231AE4" w14:textId="77777777" w:rsidR="00FC4C27"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0"/>
                  <w:enabled/>
                  <w:calcOnExit w:val="0"/>
                  <w:checkBox>
                    <w:sizeAuto/>
                    <w:default w:val="0"/>
                  </w:checkBox>
                </w:ffData>
              </w:fldChar>
            </w:r>
            <w:bookmarkStart w:id="26" w:name="Check30"/>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6"/>
          </w:p>
        </w:tc>
        <w:tc>
          <w:tcPr>
            <w:tcW w:w="2376" w:type="dxa"/>
            <w:tcBorders>
              <w:bottom w:val="single" w:sz="4" w:space="0" w:color="auto"/>
              <w:right w:val="single" w:sz="4" w:space="0" w:color="auto"/>
            </w:tcBorders>
          </w:tcPr>
          <w:p w14:paraId="60CB7E62" w14:textId="77777777" w:rsidR="00FC4C27"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 xml:space="preserve">Immunology  </w:t>
            </w:r>
          </w:p>
        </w:tc>
        <w:tc>
          <w:tcPr>
            <w:tcW w:w="525" w:type="dxa"/>
            <w:tcBorders>
              <w:left w:val="single" w:sz="4" w:space="0" w:color="auto"/>
              <w:bottom w:val="single" w:sz="4" w:space="0" w:color="auto"/>
            </w:tcBorders>
          </w:tcPr>
          <w:p w14:paraId="79BC6278" w14:textId="77777777" w:rsidR="00FC4C27"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40"/>
                  <w:enabled/>
                  <w:calcOnExit w:val="0"/>
                  <w:checkBox>
                    <w:sizeAuto/>
                    <w:default w:val="0"/>
                  </w:checkBox>
                </w:ffData>
              </w:fldChar>
            </w:r>
            <w:bookmarkStart w:id="27" w:name="Check40"/>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7"/>
          </w:p>
        </w:tc>
        <w:tc>
          <w:tcPr>
            <w:tcW w:w="7119" w:type="dxa"/>
            <w:gridSpan w:val="2"/>
            <w:tcBorders>
              <w:bottom w:val="single" w:sz="4" w:space="0" w:color="auto"/>
              <w:right w:val="single" w:sz="4" w:space="0" w:color="auto"/>
            </w:tcBorders>
          </w:tcPr>
          <w:p w14:paraId="4B1A92E0" w14:textId="77777777" w:rsidR="00FC4C27" w:rsidRPr="00F705DD" w:rsidRDefault="00FC4C27" w:rsidP="00CB328A">
            <w:pPr>
              <w:rPr>
                <w:rFonts w:ascii="Century Gothic" w:hAnsi="Century Gothic"/>
                <w:sz w:val="21"/>
                <w:szCs w:val="21"/>
                <w:lang w:val="en-GB"/>
              </w:rPr>
            </w:pPr>
            <w:r w:rsidRPr="00F705DD">
              <w:rPr>
                <w:rFonts w:ascii="Century Gothic" w:hAnsi="Century Gothic"/>
                <w:sz w:val="21"/>
                <w:szCs w:val="21"/>
                <w:lang w:val="en-GB"/>
              </w:rPr>
              <w:t>Integrative and Systems biology</w:t>
            </w:r>
          </w:p>
        </w:tc>
      </w:tr>
    </w:tbl>
    <w:p w14:paraId="60C5A44F" w14:textId="77777777" w:rsidR="00CB328A" w:rsidRPr="00F705DD" w:rsidRDefault="00CB328A" w:rsidP="00CB328A">
      <w:pPr>
        <w:rPr>
          <w:rFonts w:ascii="Century Gothic" w:hAnsi="Century Gothic"/>
          <w:sz w:val="21"/>
          <w:szCs w:val="21"/>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10020"/>
      </w:tblGrid>
      <w:tr w:rsidR="00F705DD" w:rsidRPr="00F705DD" w14:paraId="604CDEDA" w14:textId="77777777" w:rsidTr="00F705DD">
        <w:tc>
          <w:tcPr>
            <w:tcW w:w="10756" w:type="dxa"/>
            <w:gridSpan w:val="2"/>
            <w:tcBorders>
              <w:top w:val="single" w:sz="4" w:space="0" w:color="auto"/>
              <w:left w:val="single" w:sz="4" w:space="0" w:color="auto"/>
              <w:right w:val="single" w:sz="4" w:space="0" w:color="auto"/>
            </w:tcBorders>
          </w:tcPr>
          <w:p w14:paraId="193D50AE" w14:textId="77777777" w:rsidR="00F705DD" w:rsidRPr="00F705DD" w:rsidRDefault="00F705DD" w:rsidP="00CB328A">
            <w:pPr>
              <w:rPr>
                <w:rFonts w:ascii="Century Gothic" w:hAnsi="Century Gothic"/>
                <w:b/>
                <w:sz w:val="21"/>
                <w:szCs w:val="21"/>
                <w:lang w:val="en-GB"/>
              </w:rPr>
            </w:pPr>
            <w:r w:rsidRPr="00F705DD">
              <w:rPr>
                <w:rFonts w:ascii="Century Gothic" w:hAnsi="Century Gothic"/>
                <w:b/>
                <w:sz w:val="21"/>
                <w:szCs w:val="21"/>
                <w:lang w:val="en-GB"/>
              </w:rPr>
              <w:t>BBSRC Strategic Priority: (select best fit(s))</w:t>
            </w:r>
          </w:p>
        </w:tc>
      </w:tr>
      <w:tr w:rsidR="00F705DD" w:rsidRPr="00F705DD" w14:paraId="59F51324" w14:textId="77777777" w:rsidTr="005A4C3C">
        <w:trPr>
          <w:trHeight w:val="285"/>
        </w:trPr>
        <w:tc>
          <w:tcPr>
            <w:tcW w:w="736" w:type="dxa"/>
            <w:tcBorders>
              <w:left w:val="single" w:sz="4" w:space="0" w:color="auto"/>
            </w:tcBorders>
          </w:tcPr>
          <w:p w14:paraId="000E4184"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
                  <w:enabled/>
                  <w:calcOnExit w:val="0"/>
                  <w:checkBox>
                    <w:sizeAuto/>
                    <w:default w:val="0"/>
                  </w:checkBox>
                </w:ffData>
              </w:fldChar>
            </w:r>
            <w:bookmarkStart w:id="28" w:name="Check1"/>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8"/>
          </w:p>
        </w:tc>
        <w:tc>
          <w:tcPr>
            <w:tcW w:w="10020" w:type="dxa"/>
            <w:tcBorders>
              <w:right w:val="single" w:sz="4" w:space="0" w:color="auto"/>
            </w:tcBorders>
          </w:tcPr>
          <w:p w14:paraId="3DF42325"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World Class Basic Bioscience</w:t>
            </w:r>
          </w:p>
        </w:tc>
      </w:tr>
      <w:tr w:rsidR="00F705DD" w:rsidRPr="00F705DD" w14:paraId="1918185F" w14:textId="77777777" w:rsidTr="00F705DD">
        <w:tc>
          <w:tcPr>
            <w:tcW w:w="736" w:type="dxa"/>
            <w:tcBorders>
              <w:left w:val="single" w:sz="4" w:space="0" w:color="auto"/>
            </w:tcBorders>
          </w:tcPr>
          <w:p w14:paraId="29EC253F" w14:textId="4FDEDE99" w:rsidR="00F705DD"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10020" w:type="dxa"/>
            <w:tcBorders>
              <w:right w:val="single" w:sz="4" w:space="0" w:color="auto"/>
            </w:tcBorders>
          </w:tcPr>
          <w:p w14:paraId="635D9B34"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Agriculture &amp; Food Security (including animal pathogens)</w:t>
            </w:r>
          </w:p>
        </w:tc>
      </w:tr>
      <w:tr w:rsidR="00F705DD" w:rsidRPr="00F705DD" w14:paraId="7DF54967" w14:textId="77777777" w:rsidTr="00F705DD">
        <w:tc>
          <w:tcPr>
            <w:tcW w:w="736" w:type="dxa"/>
            <w:tcBorders>
              <w:left w:val="single" w:sz="4" w:space="0" w:color="auto"/>
            </w:tcBorders>
          </w:tcPr>
          <w:p w14:paraId="4C6BBF5D"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3"/>
                  <w:enabled/>
                  <w:calcOnExit w:val="0"/>
                  <w:checkBox>
                    <w:sizeAuto/>
                    <w:default w:val="0"/>
                  </w:checkBox>
                </w:ffData>
              </w:fldChar>
            </w:r>
            <w:bookmarkStart w:id="29" w:name="Check3"/>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29"/>
          </w:p>
        </w:tc>
        <w:tc>
          <w:tcPr>
            <w:tcW w:w="10020" w:type="dxa"/>
            <w:tcBorders>
              <w:right w:val="single" w:sz="4" w:space="0" w:color="auto"/>
            </w:tcBorders>
          </w:tcPr>
          <w:p w14:paraId="5C993E3B"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Industrial Biotechnology and Bioenergy</w:t>
            </w:r>
          </w:p>
        </w:tc>
      </w:tr>
      <w:tr w:rsidR="00F705DD" w:rsidRPr="00F705DD" w14:paraId="53FBD109" w14:textId="77777777" w:rsidTr="00F705DD">
        <w:trPr>
          <w:trHeight w:val="318"/>
        </w:trPr>
        <w:tc>
          <w:tcPr>
            <w:tcW w:w="736" w:type="dxa"/>
            <w:tcBorders>
              <w:left w:val="single" w:sz="4" w:space="0" w:color="auto"/>
              <w:bottom w:val="single" w:sz="4" w:space="0" w:color="auto"/>
            </w:tcBorders>
          </w:tcPr>
          <w:p w14:paraId="460DEACE"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4"/>
                  <w:enabled/>
                  <w:calcOnExit w:val="0"/>
                  <w:checkBox>
                    <w:sizeAuto/>
                    <w:default w:val="0"/>
                  </w:checkBox>
                </w:ffData>
              </w:fldChar>
            </w:r>
            <w:bookmarkStart w:id="30" w:name="Check4"/>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0"/>
          </w:p>
        </w:tc>
        <w:tc>
          <w:tcPr>
            <w:tcW w:w="10020" w:type="dxa"/>
            <w:tcBorders>
              <w:bottom w:val="single" w:sz="4" w:space="0" w:color="auto"/>
              <w:right w:val="single" w:sz="4" w:space="0" w:color="auto"/>
            </w:tcBorders>
          </w:tcPr>
          <w:p w14:paraId="1EF5BA61"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Bioscience Underpinning Health (including ageing)</w:t>
            </w:r>
          </w:p>
        </w:tc>
      </w:tr>
      <w:tr w:rsidR="00F705DD" w:rsidRPr="00F705DD" w14:paraId="5636C82B" w14:textId="77777777" w:rsidTr="00F705DD">
        <w:tc>
          <w:tcPr>
            <w:tcW w:w="10756" w:type="dxa"/>
            <w:gridSpan w:val="2"/>
            <w:tcBorders>
              <w:top w:val="single" w:sz="4" w:space="0" w:color="auto"/>
              <w:left w:val="single" w:sz="4" w:space="0" w:color="auto"/>
              <w:right w:val="single" w:sz="4" w:space="0" w:color="auto"/>
            </w:tcBorders>
          </w:tcPr>
          <w:p w14:paraId="7E8F3024" w14:textId="77777777" w:rsidR="00F705DD" w:rsidRPr="00F705DD" w:rsidRDefault="00F705DD" w:rsidP="00CB328A">
            <w:pPr>
              <w:rPr>
                <w:rFonts w:ascii="Century Gothic" w:hAnsi="Century Gothic"/>
                <w:b/>
                <w:sz w:val="21"/>
                <w:szCs w:val="21"/>
                <w:lang w:val="en-GB"/>
              </w:rPr>
            </w:pPr>
            <w:r w:rsidRPr="00F705DD">
              <w:rPr>
                <w:rFonts w:ascii="Century Gothic" w:hAnsi="Century Gothic"/>
                <w:b/>
                <w:sz w:val="21"/>
                <w:szCs w:val="21"/>
                <w:lang w:val="en-GB"/>
              </w:rPr>
              <w:t>BBSRC Responsive Mode Priority: (if applicable)</w:t>
            </w:r>
          </w:p>
        </w:tc>
      </w:tr>
      <w:tr w:rsidR="00F705DD" w:rsidRPr="00F705DD" w14:paraId="450CD286" w14:textId="77777777" w:rsidTr="00F705DD">
        <w:tc>
          <w:tcPr>
            <w:tcW w:w="736" w:type="dxa"/>
            <w:tcBorders>
              <w:left w:val="single" w:sz="4" w:space="0" w:color="auto"/>
            </w:tcBorders>
          </w:tcPr>
          <w:p w14:paraId="0EA9F377" w14:textId="1C1ED2EF" w:rsidR="00F705DD"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10020" w:type="dxa"/>
            <w:tcBorders>
              <w:right w:val="single" w:sz="4" w:space="0" w:color="auto"/>
            </w:tcBorders>
          </w:tcPr>
          <w:p w14:paraId="28EDC78A"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Animal health</w:t>
            </w:r>
          </w:p>
        </w:tc>
      </w:tr>
      <w:tr w:rsidR="00F705DD" w:rsidRPr="00F705DD" w14:paraId="2FB10140" w14:textId="77777777" w:rsidTr="00F705DD">
        <w:tc>
          <w:tcPr>
            <w:tcW w:w="736" w:type="dxa"/>
            <w:tcBorders>
              <w:left w:val="single" w:sz="4" w:space="0" w:color="auto"/>
            </w:tcBorders>
          </w:tcPr>
          <w:p w14:paraId="17F52CE8"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6"/>
                  <w:enabled/>
                  <w:calcOnExit w:val="0"/>
                  <w:checkBox>
                    <w:sizeAuto/>
                    <w:default w:val="0"/>
                  </w:checkBox>
                </w:ffData>
              </w:fldChar>
            </w:r>
            <w:bookmarkStart w:id="31" w:name="Check6"/>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1"/>
          </w:p>
        </w:tc>
        <w:tc>
          <w:tcPr>
            <w:tcW w:w="10020" w:type="dxa"/>
            <w:tcBorders>
              <w:right w:val="single" w:sz="4" w:space="0" w:color="auto"/>
            </w:tcBorders>
          </w:tcPr>
          <w:p w14:paraId="33C88C09"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Bioenergy: generating new replacement fuels for a greener, sustainable future</w:t>
            </w:r>
          </w:p>
        </w:tc>
      </w:tr>
      <w:tr w:rsidR="00F705DD" w:rsidRPr="00F705DD" w14:paraId="7A5E71A2" w14:textId="77777777" w:rsidTr="00F705DD">
        <w:tc>
          <w:tcPr>
            <w:tcW w:w="736" w:type="dxa"/>
            <w:tcBorders>
              <w:left w:val="single" w:sz="4" w:space="0" w:color="auto"/>
            </w:tcBorders>
          </w:tcPr>
          <w:p w14:paraId="3489AEC5"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7"/>
                  <w:enabled/>
                  <w:calcOnExit w:val="0"/>
                  <w:checkBox>
                    <w:sizeAuto/>
                    <w:default w:val="0"/>
                  </w:checkBox>
                </w:ffData>
              </w:fldChar>
            </w:r>
            <w:bookmarkStart w:id="32" w:name="Check7"/>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2"/>
          </w:p>
        </w:tc>
        <w:tc>
          <w:tcPr>
            <w:tcW w:w="10020" w:type="dxa"/>
            <w:tcBorders>
              <w:right w:val="single" w:sz="4" w:space="0" w:color="auto"/>
            </w:tcBorders>
          </w:tcPr>
          <w:p w14:paraId="21029016"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Combatting antimicrobial resistance</w:t>
            </w:r>
          </w:p>
        </w:tc>
      </w:tr>
      <w:tr w:rsidR="00F705DD" w:rsidRPr="00F705DD" w14:paraId="67F72525" w14:textId="77777777" w:rsidTr="00F705DD">
        <w:tc>
          <w:tcPr>
            <w:tcW w:w="736" w:type="dxa"/>
            <w:tcBorders>
              <w:left w:val="single" w:sz="4" w:space="0" w:color="auto"/>
            </w:tcBorders>
          </w:tcPr>
          <w:p w14:paraId="143A454C"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8"/>
                  <w:enabled/>
                  <w:calcOnExit w:val="0"/>
                  <w:checkBox>
                    <w:sizeAuto/>
                    <w:default w:val="0"/>
                  </w:checkBox>
                </w:ffData>
              </w:fldChar>
            </w:r>
            <w:bookmarkStart w:id="33" w:name="Check8"/>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3"/>
          </w:p>
        </w:tc>
        <w:tc>
          <w:tcPr>
            <w:tcW w:w="10020" w:type="dxa"/>
            <w:tcBorders>
              <w:right w:val="single" w:sz="4" w:space="0" w:color="auto"/>
            </w:tcBorders>
          </w:tcPr>
          <w:p w14:paraId="1A812863"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Data driven biology</w:t>
            </w:r>
          </w:p>
        </w:tc>
      </w:tr>
      <w:tr w:rsidR="00F705DD" w:rsidRPr="00F705DD" w14:paraId="732A4022" w14:textId="77777777" w:rsidTr="00F705DD">
        <w:tc>
          <w:tcPr>
            <w:tcW w:w="736" w:type="dxa"/>
            <w:tcBorders>
              <w:left w:val="single" w:sz="4" w:space="0" w:color="auto"/>
            </w:tcBorders>
          </w:tcPr>
          <w:p w14:paraId="0F58EBB7" w14:textId="26FECBA0" w:rsidR="00F705DD" w:rsidRPr="00F705DD" w:rsidRDefault="007F7E60" w:rsidP="00CB328A">
            <w:pPr>
              <w:rPr>
                <w:rFonts w:ascii="Century Gothic" w:hAnsi="Century Gothic"/>
                <w:sz w:val="21"/>
                <w:szCs w:val="21"/>
                <w:lang w:val="en-GB"/>
              </w:rPr>
            </w:pPr>
            <w:r>
              <w:rPr>
                <w:rFonts w:ascii="Century Gothic" w:hAnsi="Century Gothic"/>
                <w:sz w:val="21"/>
                <w:szCs w:val="21"/>
                <w:lang w:val="en-GB"/>
              </w:rPr>
              <w:t>x</w:t>
            </w:r>
          </w:p>
        </w:tc>
        <w:tc>
          <w:tcPr>
            <w:tcW w:w="10020" w:type="dxa"/>
            <w:tcBorders>
              <w:right w:val="single" w:sz="4" w:space="0" w:color="auto"/>
            </w:tcBorders>
          </w:tcPr>
          <w:p w14:paraId="615774D7"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Food, nutrition and health</w:t>
            </w:r>
          </w:p>
        </w:tc>
      </w:tr>
      <w:tr w:rsidR="00F705DD" w:rsidRPr="00F705DD" w14:paraId="1F2BB4A6" w14:textId="77777777" w:rsidTr="00F705DD">
        <w:tc>
          <w:tcPr>
            <w:tcW w:w="736" w:type="dxa"/>
            <w:tcBorders>
              <w:left w:val="single" w:sz="4" w:space="0" w:color="auto"/>
            </w:tcBorders>
          </w:tcPr>
          <w:p w14:paraId="36EB4500"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0"/>
                  <w:enabled/>
                  <w:calcOnExit w:val="0"/>
                  <w:checkBox>
                    <w:sizeAuto/>
                    <w:default w:val="0"/>
                  </w:checkBox>
                </w:ffData>
              </w:fldChar>
            </w:r>
            <w:bookmarkStart w:id="34" w:name="Check10"/>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4"/>
          </w:p>
        </w:tc>
        <w:tc>
          <w:tcPr>
            <w:tcW w:w="10020" w:type="dxa"/>
            <w:tcBorders>
              <w:right w:val="single" w:sz="4" w:space="0" w:color="auto"/>
            </w:tcBorders>
          </w:tcPr>
          <w:p w14:paraId="7AC2D329"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Healthy ageing across the life course</w:t>
            </w:r>
          </w:p>
        </w:tc>
      </w:tr>
      <w:tr w:rsidR="00F705DD" w:rsidRPr="00F705DD" w14:paraId="62558467" w14:textId="77777777" w:rsidTr="00F705DD">
        <w:tc>
          <w:tcPr>
            <w:tcW w:w="736" w:type="dxa"/>
            <w:tcBorders>
              <w:left w:val="single" w:sz="4" w:space="0" w:color="auto"/>
            </w:tcBorders>
          </w:tcPr>
          <w:p w14:paraId="6ABDF561"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1"/>
                  <w:enabled/>
                  <w:calcOnExit w:val="0"/>
                  <w:checkBox>
                    <w:sizeAuto/>
                    <w:default w:val="0"/>
                  </w:checkBox>
                </w:ffData>
              </w:fldChar>
            </w:r>
            <w:bookmarkStart w:id="35" w:name="Check11"/>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5"/>
          </w:p>
        </w:tc>
        <w:tc>
          <w:tcPr>
            <w:tcW w:w="10020" w:type="dxa"/>
            <w:tcBorders>
              <w:right w:val="single" w:sz="4" w:space="0" w:color="auto"/>
            </w:tcBorders>
          </w:tcPr>
          <w:p w14:paraId="147B8978"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New strategic approaches to industrial biotechnology</w:t>
            </w:r>
          </w:p>
        </w:tc>
      </w:tr>
      <w:tr w:rsidR="00F705DD" w:rsidRPr="00F705DD" w14:paraId="5658DC27" w14:textId="77777777" w:rsidTr="00F705DD">
        <w:tc>
          <w:tcPr>
            <w:tcW w:w="736" w:type="dxa"/>
            <w:tcBorders>
              <w:left w:val="single" w:sz="4" w:space="0" w:color="auto"/>
            </w:tcBorders>
          </w:tcPr>
          <w:p w14:paraId="05C54C06"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2"/>
                  <w:enabled/>
                  <w:calcOnExit w:val="0"/>
                  <w:checkBox>
                    <w:sizeAuto/>
                    <w:default w:val="0"/>
                  </w:checkBox>
                </w:ffData>
              </w:fldChar>
            </w:r>
            <w:bookmarkStart w:id="36" w:name="Check12"/>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6"/>
          </w:p>
        </w:tc>
        <w:tc>
          <w:tcPr>
            <w:tcW w:w="10020" w:type="dxa"/>
            <w:tcBorders>
              <w:right w:val="single" w:sz="4" w:space="0" w:color="auto"/>
            </w:tcBorders>
          </w:tcPr>
          <w:p w14:paraId="7D02252B"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Reducing waste in the food chain</w:t>
            </w:r>
          </w:p>
        </w:tc>
      </w:tr>
      <w:tr w:rsidR="00F705DD" w:rsidRPr="00F705DD" w14:paraId="060C7376" w14:textId="77777777" w:rsidTr="00F705DD">
        <w:tc>
          <w:tcPr>
            <w:tcW w:w="736" w:type="dxa"/>
            <w:tcBorders>
              <w:left w:val="single" w:sz="4" w:space="0" w:color="auto"/>
            </w:tcBorders>
          </w:tcPr>
          <w:p w14:paraId="2A02B5FC"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3"/>
                  <w:enabled/>
                  <w:calcOnExit w:val="0"/>
                  <w:checkBox>
                    <w:sizeAuto/>
                    <w:default w:val="0"/>
                  </w:checkBox>
                </w:ffData>
              </w:fldChar>
            </w:r>
            <w:bookmarkStart w:id="37" w:name="Check13"/>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7"/>
          </w:p>
        </w:tc>
        <w:tc>
          <w:tcPr>
            <w:tcW w:w="10020" w:type="dxa"/>
            <w:tcBorders>
              <w:right w:val="single" w:sz="4" w:space="0" w:color="auto"/>
            </w:tcBorders>
          </w:tcPr>
          <w:p w14:paraId="450C5B04"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The replacement, refinement and reduction (3Rs) in research using animals</w:t>
            </w:r>
          </w:p>
        </w:tc>
      </w:tr>
      <w:tr w:rsidR="00F705DD" w:rsidRPr="00F705DD" w14:paraId="150156EC" w14:textId="77777777" w:rsidTr="00F705DD">
        <w:tc>
          <w:tcPr>
            <w:tcW w:w="736" w:type="dxa"/>
            <w:tcBorders>
              <w:left w:val="single" w:sz="4" w:space="0" w:color="auto"/>
            </w:tcBorders>
          </w:tcPr>
          <w:p w14:paraId="26B62287"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4"/>
                  <w:enabled/>
                  <w:calcOnExit w:val="0"/>
                  <w:checkBox>
                    <w:sizeAuto/>
                    <w:default w:val="0"/>
                  </w:checkBox>
                </w:ffData>
              </w:fldChar>
            </w:r>
            <w:bookmarkStart w:id="38" w:name="Check14"/>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8"/>
          </w:p>
        </w:tc>
        <w:tc>
          <w:tcPr>
            <w:tcW w:w="10020" w:type="dxa"/>
            <w:tcBorders>
              <w:right w:val="single" w:sz="4" w:space="0" w:color="auto"/>
            </w:tcBorders>
          </w:tcPr>
          <w:p w14:paraId="34575269"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Sustainably enhancing agricultural production</w:t>
            </w:r>
          </w:p>
        </w:tc>
      </w:tr>
      <w:tr w:rsidR="00F705DD" w:rsidRPr="00F705DD" w14:paraId="2FD312FD" w14:textId="77777777" w:rsidTr="00F705DD">
        <w:tc>
          <w:tcPr>
            <w:tcW w:w="736" w:type="dxa"/>
            <w:tcBorders>
              <w:left w:val="single" w:sz="4" w:space="0" w:color="auto"/>
            </w:tcBorders>
          </w:tcPr>
          <w:p w14:paraId="6F7047DD"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5"/>
                  <w:enabled/>
                  <w:calcOnExit w:val="0"/>
                  <w:checkBox>
                    <w:sizeAuto/>
                    <w:default w:val="0"/>
                  </w:checkBox>
                </w:ffData>
              </w:fldChar>
            </w:r>
            <w:bookmarkStart w:id="39" w:name="Check15"/>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39"/>
          </w:p>
        </w:tc>
        <w:tc>
          <w:tcPr>
            <w:tcW w:w="10020" w:type="dxa"/>
            <w:tcBorders>
              <w:right w:val="single" w:sz="4" w:space="0" w:color="auto"/>
            </w:tcBorders>
          </w:tcPr>
          <w:p w14:paraId="4181E8F7"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Synthetic biology</w:t>
            </w:r>
          </w:p>
        </w:tc>
      </w:tr>
      <w:tr w:rsidR="00F705DD" w:rsidRPr="00F705DD" w14:paraId="580F552A" w14:textId="77777777" w:rsidTr="00F705DD">
        <w:tc>
          <w:tcPr>
            <w:tcW w:w="736" w:type="dxa"/>
            <w:tcBorders>
              <w:left w:val="single" w:sz="4" w:space="0" w:color="auto"/>
            </w:tcBorders>
          </w:tcPr>
          <w:p w14:paraId="4F8C43C8"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6"/>
                  <w:enabled/>
                  <w:calcOnExit w:val="0"/>
                  <w:checkBox>
                    <w:sizeAuto/>
                    <w:default w:val="0"/>
                  </w:checkBox>
                </w:ffData>
              </w:fldChar>
            </w:r>
            <w:bookmarkStart w:id="40" w:name="Check16"/>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40"/>
          </w:p>
        </w:tc>
        <w:tc>
          <w:tcPr>
            <w:tcW w:w="10020" w:type="dxa"/>
            <w:tcBorders>
              <w:right w:val="single" w:sz="4" w:space="0" w:color="auto"/>
            </w:tcBorders>
          </w:tcPr>
          <w:p w14:paraId="5311419F"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Systems approaches to the biosciences</w:t>
            </w:r>
          </w:p>
        </w:tc>
      </w:tr>
      <w:tr w:rsidR="00F705DD" w:rsidRPr="00F705DD" w14:paraId="06B82D34" w14:textId="77777777" w:rsidTr="00F705DD">
        <w:tc>
          <w:tcPr>
            <w:tcW w:w="736" w:type="dxa"/>
            <w:tcBorders>
              <w:left w:val="single" w:sz="4" w:space="0" w:color="auto"/>
            </w:tcBorders>
          </w:tcPr>
          <w:p w14:paraId="5F431561"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7"/>
                  <w:enabled/>
                  <w:calcOnExit w:val="0"/>
                  <w:checkBox>
                    <w:sizeAuto/>
                    <w:default w:val="0"/>
                  </w:checkBox>
                </w:ffData>
              </w:fldChar>
            </w:r>
            <w:bookmarkStart w:id="41" w:name="Check17"/>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41"/>
          </w:p>
        </w:tc>
        <w:tc>
          <w:tcPr>
            <w:tcW w:w="10020" w:type="dxa"/>
            <w:tcBorders>
              <w:right w:val="single" w:sz="4" w:space="0" w:color="auto"/>
            </w:tcBorders>
          </w:tcPr>
          <w:p w14:paraId="2B98245F"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Technology development for the biosciences</w:t>
            </w:r>
          </w:p>
        </w:tc>
      </w:tr>
      <w:tr w:rsidR="00F705DD" w:rsidRPr="00F705DD" w14:paraId="765E470F" w14:textId="77777777" w:rsidTr="00F705DD">
        <w:tc>
          <w:tcPr>
            <w:tcW w:w="736" w:type="dxa"/>
            <w:tcBorders>
              <w:left w:val="single" w:sz="4" w:space="0" w:color="auto"/>
              <w:bottom w:val="single" w:sz="4" w:space="0" w:color="auto"/>
            </w:tcBorders>
          </w:tcPr>
          <w:p w14:paraId="62AACB73" w14:textId="77777777" w:rsidR="00F705DD" w:rsidRPr="00F705DD" w:rsidRDefault="00F705DD" w:rsidP="00CB328A">
            <w:pPr>
              <w:rPr>
                <w:rFonts w:ascii="Century Gothic" w:hAnsi="Century Gothic"/>
                <w:sz w:val="21"/>
                <w:szCs w:val="21"/>
                <w:lang w:val="en-GB"/>
              </w:rPr>
            </w:pPr>
            <w:r>
              <w:rPr>
                <w:rFonts w:ascii="Century Gothic" w:hAnsi="Century Gothic"/>
                <w:sz w:val="21"/>
                <w:szCs w:val="21"/>
                <w:lang w:val="en-GB"/>
              </w:rPr>
              <w:fldChar w:fldCharType="begin">
                <w:ffData>
                  <w:name w:val="Check18"/>
                  <w:enabled/>
                  <w:calcOnExit w:val="0"/>
                  <w:checkBox>
                    <w:sizeAuto/>
                    <w:default w:val="0"/>
                  </w:checkBox>
                </w:ffData>
              </w:fldChar>
            </w:r>
            <w:bookmarkStart w:id="42" w:name="Check18"/>
            <w:r>
              <w:rPr>
                <w:rFonts w:ascii="Century Gothic" w:hAnsi="Century Gothic"/>
                <w:sz w:val="21"/>
                <w:szCs w:val="21"/>
                <w:lang w:val="en-GB"/>
              </w:rPr>
              <w:instrText xml:space="preserve"> FORMCHECKBOX </w:instrText>
            </w:r>
            <w:r w:rsidR="00004268">
              <w:rPr>
                <w:rFonts w:ascii="Century Gothic" w:hAnsi="Century Gothic"/>
                <w:sz w:val="21"/>
                <w:szCs w:val="21"/>
                <w:lang w:val="en-GB"/>
              </w:rPr>
            </w:r>
            <w:r w:rsidR="00004268">
              <w:rPr>
                <w:rFonts w:ascii="Century Gothic" w:hAnsi="Century Gothic"/>
                <w:sz w:val="21"/>
                <w:szCs w:val="21"/>
                <w:lang w:val="en-GB"/>
              </w:rPr>
              <w:fldChar w:fldCharType="separate"/>
            </w:r>
            <w:r>
              <w:rPr>
                <w:rFonts w:ascii="Century Gothic" w:hAnsi="Century Gothic"/>
                <w:sz w:val="21"/>
                <w:szCs w:val="21"/>
                <w:lang w:val="en-GB"/>
              </w:rPr>
              <w:fldChar w:fldCharType="end"/>
            </w:r>
            <w:bookmarkEnd w:id="42"/>
          </w:p>
        </w:tc>
        <w:tc>
          <w:tcPr>
            <w:tcW w:w="10020" w:type="dxa"/>
            <w:tcBorders>
              <w:bottom w:val="single" w:sz="4" w:space="0" w:color="auto"/>
              <w:right w:val="single" w:sz="4" w:space="0" w:color="auto"/>
            </w:tcBorders>
          </w:tcPr>
          <w:p w14:paraId="4D4BF762" w14:textId="77777777" w:rsidR="00F705DD" w:rsidRPr="00F705DD" w:rsidRDefault="00F705DD" w:rsidP="00CB328A">
            <w:pPr>
              <w:rPr>
                <w:rFonts w:ascii="Century Gothic" w:hAnsi="Century Gothic"/>
                <w:sz w:val="21"/>
                <w:szCs w:val="21"/>
                <w:lang w:val="en-GB"/>
              </w:rPr>
            </w:pPr>
            <w:r w:rsidRPr="00F705DD">
              <w:rPr>
                <w:rFonts w:ascii="Century Gothic" w:hAnsi="Century Gothic"/>
                <w:sz w:val="21"/>
                <w:szCs w:val="21"/>
                <w:lang w:val="en-GB"/>
              </w:rPr>
              <w:t>Welfare of managed animals</w:t>
            </w:r>
          </w:p>
        </w:tc>
      </w:tr>
    </w:tbl>
    <w:p w14:paraId="19D91033" w14:textId="77777777" w:rsidR="00FC4C27" w:rsidRPr="00F705DD" w:rsidRDefault="00FC4C27" w:rsidP="00CB328A">
      <w:pPr>
        <w:rPr>
          <w:rFonts w:ascii="Century Gothic" w:hAnsi="Century Gothic"/>
          <w:sz w:val="21"/>
          <w:szCs w:val="21"/>
          <w:lang w:val="en-GB"/>
        </w:rPr>
      </w:pPr>
    </w:p>
    <w:p w14:paraId="374F30D8" w14:textId="77777777" w:rsidR="00CB328A" w:rsidRPr="00F705DD" w:rsidRDefault="00CB328A" w:rsidP="00CB328A">
      <w:pPr>
        <w:rPr>
          <w:rFonts w:ascii="Century Gothic" w:hAnsi="Century Gothic"/>
          <w:sz w:val="21"/>
          <w:szCs w:val="21"/>
          <w:lang w:val="en-GB"/>
        </w:rPr>
      </w:pPr>
    </w:p>
    <w:p w14:paraId="7411B0C6" w14:textId="77777777" w:rsidR="00CB328A" w:rsidRPr="00F705DD" w:rsidRDefault="00CB328A" w:rsidP="00CB328A">
      <w:pPr>
        <w:rPr>
          <w:rFonts w:ascii="Century Gothic" w:hAnsi="Century Gothic"/>
          <w:sz w:val="21"/>
          <w:szCs w:val="21"/>
          <w:lang w:val="en-GB"/>
        </w:rPr>
      </w:pPr>
    </w:p>
    <w:p w14:paraId="65B781C1" w14:textId="77777777" w:rsidR="00CB328A" w:rsidRPr="00F705DD" w:rsidRDefault="00CB328A" w:rsidP="00CB328A">
      <w:pPr>
        <w:rPr>
          <w:rFonts w:ascii="Century Gothic" w:hAnsi="Century Gothic"/>
          <w:sz w:val="21"/>
          <w:szCs w:val="21"/>
          <w:lang w:val="en-GB"/>
        </w:rPr>
      </w:pPr>
    </w:p>
    <w:p w14:paraId="4BF9C39F" w14:textId="77777777" w:rsidR="00CB328A" w:rsidRPr="00F705DD" w:rsidRDefault="00CB328A" w:rsidP="00CB328A">
      <w:pPr>
        <w:rPr>
          <w:rFonts w:ascii="Century Gothic" w:hAnsi="Century Gothic"/>
          <w:sz w:val="21"/>
          <w:szCs w:val="21"/>
          <w:lang w:val="en-GB"/>
        </w:rPr>
      </w:pPr>
    </w:p>
    <w:p w14:paraId="47D283ED" w14:textId="77777777" w:rsidR="00CB328A" w:rsidRPr="00F705DD" w:rsidRDefault="00CB328A" w:rsidP="00CB328A">
      <w:pPr>
        <w:rPr>
          <w:rFonts w:ascii="Century Gothic" w:hAnsi="Century Gothic"/>
          <w:sz w:val="21"/>
          <w:szCs w:val="21"/>
          <w:lang w:val="en-GB"/>
        </w:rPr>
      </w:pPr>
    </w:p>
    <w:p w14:paraId="721BFAC7" w14:textId="77777777" w:rsidR="00CB328A" w:rsidRPr="00F705DD" w:rsidRDefault="00CB328A" w:rsidP="00CB328A">
      <w:pPr>
        <w:rPr>
          <w:rFonts w:ascii="Century Gothic" w:hAnsi="Century Gothic"/>
          <w:sz w:val="21"/>
          <w:szCs w:val="21"/>
          <w:lang w:val="en-GB"/>
        </w:rPr>
      </w:pPr>
    </w:p>
    <w:p w14:paraId="3670A2C6" w14:textId="77777777" w:rsidR="00CB328A" w:rsidRPr="00F705DD" w:rsidRDefault="00CB328A" w:rsidP="00CB328A">
      <w:pPr>
        <w:rPr>
          <w:rFonts w:ascii="Century Gothic" w:hAnsi="Century Gothic"/>
          <w:sz w:val="21"/>
          <w:szCs w:val="21"/>
          <w:lang w:val="en-GB"/>
        </w:rPr>
      </w:pPr>
    </w:p>
    <w:p w14:paraId="1A2150C9" w14:textId="77777777" w:rsidR="00CB328A" w:rsidRPr="00F705DD" w:rsidRDefault="00CB328A" w:rsidP="00CB328A">
      <w:pPr>
        <w:rPr>
          <w:rFonts w:ascii="Century Gothic" w:hAnsi="Century Gothic"/>
          <w:sz w:val="21"/>
          <w:szCs w:val="21"/>
          <w:lang w:val="en-GB"/>
        </w:rPr>
      </w:pPr>
    </w:p>
    <w:p w14:paraId="0B24F41B" w14:textId="77777777" w:rsidR="00CB328A" w:rsidRPr="00F705DD" w:rsidRDefault="00CB328A" w:rsidP="00CB328A">
      <w:pPr>
        <w:rPr>
          <w:rFonts w:ascii="Century Gothic" w:hAnsi="Century Gothic"/>
          <w:sz w:val="21"/>
          <w:szCs w:val="21"/>
          <w:lang w:val="en-GB"/>
        </w:rPr>
      </w:pPr>
    </w:p>
    <w:p w14:paraId="23B5756B" w14:textId="77777777" w:rsidR="00CB328A" w:rsidRPr="00F705DD" w:rsidRDefault="00CB328A">
      <w:pPr>
        <w:rPr>
          <w:rFonts w:ascii="Century Gothic" w:hAnsi="Century Gothic"/>
          <w:sz w:val="21"/>
          <w:szCs w:val="21"/>
          <w:lang w:val="en-GB"/>
        </w:rPr>
      </w:pPr>
    </w:p>
    <w:sectPr w:rsidR="00CB328A" w:rsidRPr="00F705DD" w:rsidSect="00CB328A">
      <w:headerReference w:type="first" r:id="rId13"/>
      <w:footerReference w:type="first" r:id="rId14"/>
      <w:pgSz w:w="11900" w:h="16840"/>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17B6E" w14:textId="77777777" w:rsidR="00004268" w:rsidRDefault="00004268" w:rsidP="00CB328A">
      <w:r>
        <w:separator/>
      </w:r>
    </w:p>
  </w:endnote>
  <w:endnote w:type="continuationSeparator" w:id="0">
    <w:p w14:paraId="327EC0E1" w14:textId="77777777" w:rsidR="00004268" w:rsidRDefault="00004268" w:rsidP="00CB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ingsBureauGrot FiveOne">
    <w:panose1 w:val="020B0604020202020204"/>
    <w:charset w:val="00"/>
    <w:family w:val="auto"/>
    <w:pitch w:val="variable"/>
    <w:sig w:usb0="00000003" w:usb1="00000000" w:usb2="00000000" w:usb3="00000000" w:csb0="00000001" w:csb1="00000000"/>
  </w:font>
  <w:font w:name="American Typewriter">
    <w:altName w:val="American Typewriter"/>
    <w:panose1 w:val="02090604020004020304"/>
    <w:charset w:val="00"/>
    <w:family w:val="auto"/>
    <w:pitch w:val="variable"/>
    <w:sig w:usb0="A000006F" w:usb1="00000019" w:usb2="00000000" w:usb3="00000000" w:csb0="00000111"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9FD8B" w14:textId="77777777" w:rsidR="00733E61" w:rsidRPr="00F705DD" w:rsidRDefault="00733E61" w:rsidP="00F705DD">
    <w:pPr>
      <w:rPr>
        <w:rFonts w:ascii="Century Gothic" w:hAnsi="Century Gothic"/>
        <w:i/>
        <w:sz w:val="18"/>
        <w:szCs w:val="21"/>
        <w:lang w:val="en-GB"/>
      </w:rPr>
    </w:pPr>
    <w:r w:rsidRPr="00F705DD">
      <w:rPr>
        <w:rFonts w:ascii="Century Gothic" w:hAnsi="Century Gothic"/>
        <w:i/>
        <w:sz w:val="18"/>
        <w:szCs w:val="21"/>
        <w:vertAlign w:val="superscript"/>
        <w:lang w:val="en-GB"/>
      </w:rPr>
      <w:t>1</w:t>
    </w:r>
    <w:r w:rsidRPr="00F705DD">
      <w:rPr>
        <w:rFonts w:ascii="Century Gothic" w:hAnsi="Century Gothic"/>
        <w:i/>
        <w:sz w:val="18"/>
        <w:szCs w:val="21"/>
        <w:lang w:val="en-GB"/>
      </w:rPr>
      <w:t>Supervisors with Fellowships ending earlier than the PhD submission date should attach a letter from the Head of Department guaranteeing appointment to lecturer-level post at the end of the fellowship.</w:t>
    </w:r>
  </w:p>
  <w:p w14:paraId="1920C199" w14:textId="77777777" w:rsidR="00733E61" w:rsidRDefault="00733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615CD" w14:textId="77777777" w:rsidR="00004268" w:rsidRDefault="00004268" w:rsidP="00CB328A">
      <w:r>
        <w:separator/>
      </w:r>
    </w:p>
  </w:footnote>
  <w:footnote w:type="continuationSeparator" w:id="0">
    <w:p w14:paraId="08112D63" w14:textId="77777777" w:rsidR="00004268" w:rsidRDefault="00004268" w:rsidP="00CB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833E6" w14:textId="13B026BE" w:rsidR="00733E61" w:rsidRDefault="00733E61">
    <w:pPr>
      <w:pStyle w:val="Header"/>
    </w:pPr>
    <w:r>
      <w:rPr>
        <w:noProof/>
      </w:rPr>
      <w:drawing>
        <wp:inline distT="0" distB="0" distL="0" distR="0" wp14:anchorId="67CB0A15" wp14:editId="7A862DD1">
          <wp:extent cx="6836410" cy="2233295"/>
          <wp:effectExtent l="0" t="0" r="0" b="1905"/>
          <wp:docPr id="1" name="Picture 1" descr="A picture containing object, clock,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Do_Logo_CMYK.png"/>
                  <pic:cNvPicPr/>
                </pic:nvPicPr>
                <pic:blipFill>
                  <a:blip r:embed="rId1">
                    <a:extLst>
                      <a:ext uri="{28A0092B-C50C-407E-A947-70E740481C1C}">
                        <a14:useLocalDpi xmlns:a14="http://schemas.microsoft.com/office/drawing/2010/main" val="0"/>
                      </a:ext>
                    </a:extLst>
                  </a:blip>
                  <a:stretch>
                    <a:fillRect/>
                  </a:stretch>
                </pic:blipFill>
                <pic:spPr>
                  <a:xfrm>
                    <a:off x="0" y="0"/>
                    <a:ext cx="6836410" cy="22332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F2D43"/>
    <w:multiLevelType w:val="hybridMultilevel"/>
    <w:tmpl w:val="3430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102D"/>
    <w:multiLevelType w:val="hybridMultilevel"/>
    <w:tmpl w:val="DB38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28A"/>
    <w:rsid w:val="00004268"/>
    <w:rsid w:val="00044387"/>
    <w:rsid w:val="0004659A"/>
    <w:rsid w:val="00074F5A"/>
    <w:rsid w:val="001404B7"/>
    <w:rsid w:val="00192D6B"/>
    <w:rsid w:val="00196983"/>
    <w:rsid w:val="0021588C"/>
    <w:rsid w:val="00233E4E"/>
    <w:rsid w:val="002416B6"/>
    <w:rsid w:val="00267081"/>
    <w:rsid w:val="00272F88"/>
    <w:rsid w:val="0027752B"/>
    <w:rsid w:val="00295365"/>
    <w:rsid w:val="0031336F"/>
    <w:rsid w:val="0034648C"/>
    <w:rsid w:val="00351D49"/>
    <w:rsid w:val="003E0807"/>
    <w:rsid w:val="003E2B2F"/>
    <w:rsid w:val="004109F4"/>
    <w:rsid w:val="00455F5E"/>
    <w:rsid w:val="004B420D"/>
    <w:rsid w:val="004E3DD0"/>
    <w:rsid w:val="00510A56"/>
    <w:rsid w:val="005A4C3C"/>
    <w:rsid w:val="005D60C0"/>
    <w:rsid w:val="005F2FA8"/>
    <w:rsid w:val="0060558D"/>
    <w:rsid w:val="00733E61"/>
    <w:rsid w:val="00785068"/>
    <w:rsid w:val="007F7E60"/>
    <w:rsid w:val="00800939"/>
    <w:rsid w:val="008077EA"/>
    <w:rsid w:val="00832EE2"/>
    <w:rsid w:val="008C00DA"/>
    <w:rsid w:val="008C5EA4"/>
    <w:rsid w:val="009D3AB8"/>
    <w:rsid w:val="009D42E0"/>
    <w:rsid w:val="009D4DB9"/>
    <w:rsid w:val="009F39C5"/>
    <w:rsid w:val="00A1241B"/>
    <w:rsid w:val="00A2313F"/>
    <w:rsid w:val="00A65D6F"/>
    <w:rsid w:val="00A73B62"/>
    <w:rsid w:val="00A86E64"/>
    <w:rsid w:val="00A96C67"/>
    <w:rsid w:val="00AB5647"/>
    <w:rsid w:val="00AF60FA"/>
    <w:rsid w:val="00BB1C6B"/>
    <w:rsid w:val="00C56E6C"/>
    <w:rsid w:val="00C61E38"/>
    <w:rsid w:val="00C66E77"/>
    <w:rsid w:val="00C81443"/>
    <w:rsid w:val="00C83D76"/>
    <w:rsid w:val="00C87688"/>
    <w:rsid w:val="00CB328A"/>
    <w:rsid w:val="00CB71E5"/>
    <w:rsid w:val="00CF5F0A"/>
    <w:rsid w:val="00D15DEB"/>
    <w:rsid w:val="00D50E04"/>
    <w:rsid w:val="00D831B1"/>
    <w:rsid w:val="00DC45A5"/>
    <w:rsid w:val="00E8019A"/>
    <w:rsid w:val="00E9676B"/>
    <w:rsid w:val="00F347BD"/>
    <w:rsid w:val="00F419FB"/>
    <w:rsid w:val="00F705DD"/>
    <w:rsid w:val="00F740A0"/>
    <w:rsid w:val="00FC4C27"/>
    <w:rsid w:val="00FD1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3F184"/>
  <w15:docId w15:val="{9C8A4911-CE78-D94A-9F14-72EB3EF2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2EE2"/>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6">
    <w:name w:val="heading 6"/>
    <w:basedOn w:val="Normal"/>
    <w:link w:val="Heading6Char"/>
    <w:uiPriority w:val="9"/>
    <w:qFormat/>
    <w:rsid w:val="003E0807"/>
    <w:pPr>
      <w:spacing w:before="100" w:beforeAutospacing="1" w:after="100" w:afterAutospacing="1"/>
      <w:outlineLvl w:val="5"/>
    </w:pPr>
    <w:rPr>
      <w:rFonts w:ascii="Times New Roman" w:eastAsia="Calibri" w:hAnsi="Times New Roman" w:cs="Times New Roman"/>
      <w:b/>
      <w:bCs/>
      <w:sz w:val="15"/>
      <w:szCs w:val="1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28A"/>
    <w:pPr>
      <w:tabs>
        <w:tab w:val="center" w:pos="4513"/>
        <w:tab w:val="right" w:pos="9026"/>
      </w:tabs>
    </w:pPr>
  </w:style>
  <w:style w:type="character" w:customStyle="1" w:styleId="HeaderChar">
    <w:name w:val="Header Char"/>
    <w:basedOn w:val="DefaultParagraphFont"/>
    <w:link w:val="Header"/>
    <w:uiPriority w:val="99"/>
    <w:rsid w:val="00CB328A"/>
  </w:style>
  <w:style w:type="paragraph" w:styleId="Footer">
    <w:name w:val="footer"/>
    <w:basedOn w:val="Normal"/>
    <w:link w:val="FooterChar"/>
    <w:uiPriority w:val="99"/>
    <w:unhideWhenUsed/>
    <w:rsid w:val="00CB328A"/>
    <w:pPr>
      <w:tabs>
        <w:tab w:val="center" w:pos="4513"/>
        <w:tab w:val="right" w:pos="9026"/>
      </w:tabs>
    </w:pPr>
  </w:style>
  <w:style w:type="character" w:customStyle="1" w:styleId="FooterChar">
    <w:name w:val="Footer Char"/>
    <w:basedOn w:val="DefaultParagraphFont"/>
    <w:link w:val="Footer"/>
    <w:uiPriority w:val="99"/>
    <w:rsid w:val="00CB328A"/>
  </w:style>
  <w:style w:type="table" w:styleId="TableGrid">
    <w:name w:val="Table Grid"/>
    <w:basedOn w:val="TableNormal"/>
    <w:uiPriority w:val="39"/>
    <w:rsid w:val="00CB32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752B"/>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52B"/>
    <w:rPr>
      <w:rFonts w:ascii="Lucida Grande" w:hAnsi="Lucida Grande"/>
      <w:sz w:val="18"/>
      <w:szCs w:val="18"/>
    </w:rPr>
  </w:style>
  <w:style w:type="character" w:styleId="Hyperlink">
    <w:name w:val="Hyperlink"/>
    <w:basedOn w:val="DefaultParagraphFont"/>
    <w:uiPriority w:val="99"/>
    <w:unhideWhenUsed/>
    <w:rsid w:val="00D50E04"/>
    <w:rPr>
      <w:color w:val="0563C1" w:themeColor="hyperlink"/>
      <w:u w:val="single"/>
    </w:rPr>
  </w:style>
  <w:style w:type="paragraph" w:styleId="ListParagraph">
    <w:name w:val="List Paragraph"/>
    <w:basedOn w:val="Normal"/>
    <w:uiPriority w:val="34"/>
    <w:qFormat/>
    <w:rsid w:val="00DC45A5"/>
    <w:pPr>
      <w:spacing w:after="200" w:line="276" w:lineRule="auto"/>
      <w:ind w:left="720"/>
      <w:contextualSpacing/>
    </w:pPr>
    <w:rPr>
      <w:rFonts w:ascii="Calibri" w:eastAsia="Calibri" w:hAnsi="Calibri" w:cs="Calibri"/>
      <w:sz w:val="22"/>
      <w:szCs w:val="22"/>
      <w:lang w:val="en-GB" w:eastAsia="ar-SA"/>
    </w:rPr>
  </w:style>
  <w:style w:type="character" w:customStyle="1" w:styleId="Heading6Char">
    <w:name w:val="Heading 6 Char"/>
    <w:basedOn w:val="DefaultParagraphFont"/>
    <w:link w:val="Heading6"/>
    <w:uiPriority w:val="9"/>
    <w:rsid w:val="003E0807"/>
    <w:rPr>
      <w:rFonts w:ascii="Times New Roman" w:eastAsia="Calibri" w:hAnsi="Times New Roman" w:cs="Times New Roman"/>
      <w:b/>
      <w:bCs/>
      <w:sz w:val="15"/>
      <w:szCs w:val="15"/>
      <w:lang w:val="en-GB"/>
    </w:rPr>
  </w:style>
  <w:style w:type="character" w:customStyle="1" w:styleId="color11">
    <w:name w:val="color_11"/>
    <w:basedOn w:val="DefaultParagraphFont"/>
    <w:rsid w:val="003E0807"/>
  </w:style>
  <w:style w:type="character" w:customStyle="1" w:styleId="Heading2Char">
    <w:name w:val="Heading 2 Char"/>
    <w:basedOn w:val="DefaultParagraphFont"/>
    <w:link w:val="Heading2"/>
    <w:uiPriority w:val="9"/>
    <w:rsid w:val="00832EE2"/>
    <w:rPr>
      <w:rFonts w:asciiTheme="majorHAnsi" w:eastAsiaTheme="majorEastAsia" w:hAnsiTheme="majorHAnsi" w:cstheme="majorBidi"/>
      <w:b/>
      <w:bCs/>
      <w:color w:val="4472C4" w:themeColor="accent1"/>
      <w:sz w:val="26"/>
      <w:szCs w:val="26"/>
    </w:rPr>
  </w:style>
  <w:style w:type="character" w:customStyle="1" w:styleId="date1">
    <w:name w:val="date1"/>
    <w:basedOn w:val="DefaultParagraphFont"/>
    <w:rsid w:val="00832EE2"/>
  </w:style>
  <w:style w:type="character" w:customStyle="1" w:styleId="journal">
    <w:name w:val="journal"/>
    <w:basedOn w:val="DefaultParagraphFont"/>
    <w:rsid w:val="00832EE2"/>
  </w:style>
  <w:style w:type="character" w:customStyle="1" w:styleId="volume">
    <w:name w:val="volume"/>
    <w:basedOn w:val="DefaultParagraphFont"/>
    <w:rsid w:val="00832EE2"/>
  </w:style>
  <w:style w:type="character" w:customStyle="1" w:styleId="pages">
    <w:name w:val="pages"/>
    <w:basedOn w:val="DefaultParagraphFont"/>
    <w:rsid w:val="00832EE2"/>
  </w:style>
  <w:style w:type="character" w:styleId="FollowedHyperlink">
    <w:name w:val="FollowedHyperlink"/>
    <w:basedOn w:val="DefaultParagraphFont"/>
    <w:uiPriority w:val="99"/>
    <w:semiHidden/>
    <w:unhideWhenUsed/>
    <w:rsid w:val="00832EE2"/>
    <w:rPr>
      <w:color w:val="954F72" w:themeColor="followedHyperlink"/>
      <w:u w:val="single"/>
    </w:rPr>
  </w:style>
  <w:style w:type="character" w:customStyle="1" w:styleId="normaltextrun">
    <w:name w:val="normaltextrun"/>
    <w:rsid w:val="00CF5F0A"/>
  </w:style>
  <w:style w:type="paragraph" w:customStyle="1" w:styleId="paragraph">
    <w:name w:val="paragraph"/>
    <w:basedOn w:val="Normal"/>
    <w:rsid w:val="00CB71E5"/>
    <w:pPr>
      <w:spacing w:before="100" w:beforeAutospacing="1" w:after="100" w:afterAutospacing="1"/>
    </w:pPr>
    <w:rPr>
      <w:rFonts w:ascii="Times New Roman" w:eastAsia="Times New Roman" w:hAnsi="Times New Roman" w:cs="Times New Roman"/>
      <w:lang w:val="en-GB" w:eastAsia="en-GB"/>
    </w:rPr>
  </w:style>
  <w:style w:type="character" w:customStyle="1" w:styleId="spellingerror">
    <w:name w:val="spellingerror"/>
    <w:basedOn w:val="DefaultParagraphFont"/>
    <w:rsid w:val="00CB71E5"/>
  </w:style>
  <w:style w:type="character" w:customStyle="1" w:styleId="eop">
    <w:name w:val="eop"/>
    <w:basedOn w:val="DefaultParagraphFont"/>
    <w:rsid w:val="00CB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916830">
      <w:bodyDiv w:val="1"/>
      <w:marLeft w:val="0"/>
      <w:marRight w:val="0"/>
      <w:marTop w:val="0"/>
      <w:marBottom w:val="0"/>
      <w:divBdr>
        <w:top w:val="none" w:sz="0" w:space="0" w:color="auto"/>
        <w:left w:val="none" w:sz="0" w:space="0" w:color="auto"/>
        <w:bottom w:val="none" w:sz="0" w:space="0" w:color="auto"/>
        <w:right w:val="none" w:sz="0" w:space="0" w:color="auto"/>
      </w:divBdr>
    </w:div>
    <w:div w:id="816146194">
      <w:bodyDiv w:val="1"/>
      <w:marLeft w:val="0"/>
      <w:marRight w:val="0"/>
      <w:marTop w:val="0"/>
      <w:marBottom w:val="0"/>
      <w:divBdr>
        <w:top w:val="none" w:sz="0" w:space="0" w:color="auto"/>
        <w:left w:val="none" w:sz="0" w:space="0" w:color="auto"/>
        <w:bottom w:val="none" w:sz="0" w:space="0" w:color="auto"/>
        <w:right w:val="none" w:sz="0" w:space="0" w:color="auto"/>
      </w:divBdr>
      <w:divsChild>
        <w:div w:id="1330257038">
          <w:marLeft w:val="0"/>
          <w:marRight w:val="0"/>
          <w:marTop w:val="0"/>
          <w:marBottom w:val="0"/>
          <w:divBdr>
            <w:top w:val="none" w:sz="0" w:space="0" w:color="auto"/>
            <w:left w:val="none" w:sz="0" w:space="0" w:color="auto"/>
            <w:bottom w:val="none" w:sz="0" w:space="0" w:color="auto"/>
            <w:right w:val="none" w:sz="0" w:space="0" w:color="auto"/>
          </w:divBdr>
        </w:div>
        <w:div w:id="347635682">
          <w:marLeft w:val="0"/>
          <w:marRight w:val="0"/>
          <w:marTop w:val="0"/>
          <w:marBottom w:val="0"/>
          <w:divBdr>
            <w:top w:val="none" w:sz="0" w:space="0" w:color="auto"/>
            <w:left w:val="none" w:sz="0" w:space="0" w:color="auto"/>
            <w:bottom w:val="none" w:sz="0" w:space="0" w:color="auto"/>
            <w:right w:val="none" w:sz="0" w:space="0" w:color="auto"/>
          </w:divBdr>
        </w:div>
        <w:div w:id="703211338">
          <w:marLeft w:val="0"/>
          <w:marRight w:val="0"/>
          <w:marTop w:val="0"/>
          <w:marBottom w:val="0"/>
          <w:divBdr>
            <w:top w:val="none" w:sz="0" w:space="0" w:color="auto"/>
            <w:left w:val="none" w:sz="0" w:space="0" w:color="auto"/>
            <w:bottom w:val="none" w:sz="0" w:space="0" w:color="auto"/>
            <w:right w:val="none" w:sz="0" w:space="0" w:color="auto"/>
          </w:divBdr>
        </w:div>
        <w:div w:id="1193301580">
          <w:marLeft w:val="0"/>
          <w:marRight w:val="0"/>
          <w:marTop w:val="0"/>
          <w:marBottom w:val="0"/>
          <w:divBdr>
            <w:top w:val="none" w:sz="0" w:space="0" w:color="auto"/>
            <w:left w:val="none" w:sz="0" w:space="0" w:color="auto"/>
            <w:bottom w:val="none" w:sz="0" w:space="0" w:color="auto"/>
            <w:right w:val="none" w:sz="0" w:space="0" w:color="auto"/>
          </w:divBdr>
        </w:div>
        <w:div w:id="903249813">
          <w:marLeft w:val="0"/>
          <w:marRight w:val="0"/>
          <w:marTop w:val="0"/>
          <w:marBottom w:val="0"/>
          <w:divBdr>
            <w:top w:val="none" w:sz="0" w:space="0" w:color="auto"/>
            <w:left w:val="none" w:sz="0" w:space="0" w:color="auto"/>
            <w:bottom w:val="none" w:sz="0" w:space="0" w:color="auto"/>
            <w:right w:val="none" w:sz="0" w:space="0" w:color="auto"/>
          </w:divBdr>
        </w:div>
        <w:div w:id="627591856">
          <w:marLeft w:val="0"/>
          <w:marRight w:val="0"/>
          <w:marTop w:val="0"/>
          <w:marBottom w:val="0"/>
          <w:divBdr>
            <w:top w:val="none" w:sz="0" w:space="0" w:color="auto"/>
            <w:left w:val="none" w:sz="0" w:space="0" w:color="auto"/>
            <w:bottom w:val="none" w:sz="0" w:space="0" w:color="auto"/>
            <w:right w:val="none" w:sz="0" w:space="0" w:color="auto"/>
          </w:divBdr>
        </w:div>
        <w:div w:id="1914852874">
          <w:marLeft w:val="0"/>
          <w:marRight w:val="0"/>
          <w:marTop w:val="0"/>
          <w:marBottom w:val="0"/>
          <w:divBdr>
            <w:top w:val="none" w:sz="0" w:space="0" w:color="auto"/>
            <w:left w:val="none" w:sz="0" w:space="0" w:color="auto"/>
            <w:bottom w:val="none" w:sz="0" w:space="0" w:color="auto"/>
            <w:right w:val="none" w:sz="0" w:space="0" w:color="auto"/>
          </w:divBdr>
        </w:div>
        <w:div w:id="1408727630">
          <w:marLeft w:val="0"/>
          <w:marRight w:val="0"/>
          <w:marTop w:val="0"/>
          <w:marBottom w:val="0"/>
          <w:divBdr>
            <w:top w:val="none" w:sz="0" w:space="0" w:color="auto"/>
            <w:left w:val="none" w:sz="0" w:space="0" w:color="auto"/>
            <w:bottom w:val="none" w:sz="0" w:space="0" w:color="auto"/>
            <w:right w:val="none" w:sz="0" w:space="0" w:color="auto"/>
          </w:divBdr>
        </w:div>
      </w:divsChild>
    </w:div>
    <w:div w:id="819151897">
      <w:bodyDiv w:val="1"/>
      <w:marLeft w:val="0"/>
      <w:marRight w:val="0"/>
      <w:marTop w:val="0"/>
      <w:marBottom w:val="0"/>
      <w:divBdr>
        <w:top w:val="none" w:sz="0" w:space="0" w:color="auto"/>
        <w:left w:val="none" w:sz="0" w:space="0" w:color="auto"/>
        <w:bottom w:val="none" w:sz="0" w:space="0" w:color="auto"/>
        <w:right w:val="none" w:sz="0" w:space="0" w:color="auto"/>
      </w:divBdr>
    </w:div>
    <w:div w:id="1675380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royalholloway.ac.uk/portal/en/persons/elli-leadbeater(a2edc845-5d79-4c83-bab4-6c58102f485f).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llileadbeater.wixsite.com/insectcognition" TargetMode="External"/><Relationship Id="rId12" Type="http://schemas.openxmlformats.org/officeDocument/2006/relationships/hyperlink" Target="https://kclpure.kcl.ac.uk/portal/en/projects/highlighting-the-health-benefits-of-an-organic-diet-through-analysis-of-the-gut-microbiome-in-human-subjects(ff9bec8f-8d5a-4e7b-9222-27ba782beb3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clpure.kcl.ac.uk/portal/en/projects/evaluating-the-cancercausing-potential-of-bisphenol-combinations-in-primary-mammary-epithelial-cells(64f8c4c8-9914-45a4-8733-98dec156d7ab).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clpure.kcl.ac.uk/portal/en/projects/beneficial-effects-of-organic-food-consumption-and-toxic-effects-of-glyphosate-residues-highlighting-illhealth-biomarkers-using-molecular-signatures-measured-by-a-multiomics-approach(a5128295-1558-45b9-9aa2-0ef1c503f355).html" TargetMode="External"/><Relationship Id="rId4" Type="http://schemas.openxmlformats.org/officeDocument/2006/relationships/webSettings" Target="webSettings.xml"/><Relationship Id="rId9" Type="http://schemas.openxmlformats.org/officeDocument/2006/relationships/hyperlink" Target="https://www.kcl.ac.uk/lsm/research/divisions/gmm/departments/mmg/researchgroups/antonioulab/inde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Mogford, Nadine</dc:creator>
  <cp:keywords/>
  <dc:description/>
  <cp:lastModifiedBy>Leadbeater, Elli</cp:lastModifiedBy>
  <cp:revision>8</cp:revision>
  <dcterms:created xsi:type="dcterms:W3CDTF">2020-06-17T13:23:00Z</dcterms:created>
  <dcterms:modified xsi:type="dcterms:W3CDTF">2021-05-06T08:53:00Z</dcterms:modified>
</cp:coreProperties>
</file>