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463A1" w14:textId="50B0E021" w:rsidR="00FF0B3B" w:rsidRDefault="004A5661" w:rsidP="004A5661">
      <w:pPr>
        <w:spacing w:line="360" w:lineRule="auto"/>
        <w:jc w:val="center"/>
        <w:rPr>
          <w:u w:val="single"/>
        </w:rPr>
      </w:pPr>
      <w:r w:rsidRPr="004A5661">
        <w:rPr>
          <w:u w:val="single"/>
        </w:rPr>
        <w:t>Insecticide Assay 0-10mM</w:t>
      </w:r>
    </w:p>
    <w:p w14:paraId="2C934036" w14:textId="28131283" w:rsidR="00C415B4" w:rsidRDefault="00C415B4" w:rsidP="004A5661">
      <w:pPr>
        <w:spacing w:line="360" w:lineRule="auto"/>
        <w:jc w:val="center"/>
        <w:rPr>
          <w:u w:val="single"/>
        </w:rPr>
      </w:pPr>
    </w:p>
    <w:p w14:paraId="7EB9FC95" w14:textId="59787750" w:rsidR="00C415B4" w:rsidRDefault="00C415B4" w:rsidP="004A5661">
      <w:pPr>
        <w:spacing w:line="360" w:lineRule="auto"/>
        <w:jc w:val="center"/>
        <w:rPr>
          <w:b/>
          <w:bCs/>
        </w:rPr>
      </w:pPr>
      <w:r>
        <w:rPr>
          <w:b/>
          <w:bCs/>
        </w:rPr>
        <w:t xml:space="preserve">Don’t see much point. Profiling an effect that isn’t relevant in realistic field settings. </w:t>
      </w:r>
    </w:p>
    <w:p w14:paraId="7D862E85" w14:textId="5B3D303A" w:rsidR="00C415B4" w:rsidRPr="00C415B4" w:rsidRDefault="00C415B4" w:rsidP="004A5661">
      <w:pPr>
        <w:spacing w:line="360" w:lineRule="auto"/>
        <w:jc w:val="center"/>
        <w:rPr>
          <w:b/>
          <w:bCs/>
        </w:rPr>
      </w:pPr>
      <w:r>
        <w:rPr>
          <w:b/>
          <w:bCs/>
        </w:rPr>
        <w:t xml:space="preserve">For looking at the effect of the solvent. Again, doesn’t really matter because although DMSO is a co-formulant, it isn’t the only one. Therefore, studying its effects in isolation has limited use. </w:t>
      </w:r>
    </w:p>
    <w:p w14:paraId="35D5BB2C" w14:textId="028DE63F" w:rsidR="00D00675" w:rsidRDefault="00D00675" w:rsidP="00D00675">
      <w:pPr>
        <w:spacing w:line="360" w:lineRule="auto"/>
        <w:rPr>
          <w:u w:val="single"/>
        </w:rPr>
      </w:pPr>
      <w:r>
        <w:rPr>
          <w:u w:val="single"/>
        </w:rPr>
        <w:t>Justification</w:t>
      </w:r>
    </w:p>
    <w:p w14:paraId="2D6B2836" w14:textId="6B312DD0" w:rsidR="00E00A11" w:rsidRDefault="00280B67" w:rsidP="00D00675">
      <w:pPr>
        <w:spacing w:line="360" w:lineRule="auto"/>
      </w:pPr>
      <w:r>
        <w:t>Existing studies have only investigated the effects of nicotinic acetylcholine receptor (nAchR) targeting insecticide formulations in yeast, not the active ingredients alone</w:t>
      </w:r>
      <w:r w:rsidR="00C15EEF">
        <w:t xml:space="preserve"> </w:t>
      </w:r>
      <w:r w:rsidR="00C15EEF">
        <w:fldChar w:fldCharType="begin" w:fldLock="1"/>
      </w:r>
      <w:r w:rsidR="00836832">
        <w:instrText>ADDIN CSL_CITATION {"citationItems":[{"id":"ITEM-1","itemData":{"DOI":"10.1002/tox.22870","ISSN":"15227278","PMID":"31696623","abstract":"The yeast Saccharomyces cerevisiae is a useful model for studying the influence of different stress factors on eukaryotic cells. In this work we used the pesticide imidacloprid, in the Confidor formulation, as the stress factor and analyzed its influence on the metabolic activity, proteome and lipid content and composition of Saccharomyces cerevisiae yeast. During the cultivation of yeast, the lowest recommended application dose of Confidor (0.025%, v/v) was added to the growth media and its influence on the mitochondria, cytosol with microsomes, and the whole yeast cells was monitored. The results show that under the stress provoked by the toxic effects of Confidor, yeast cells density significantly decreased and the percentage of metabolically disturbed cells significantly increased comparing with untreated control. Also, there was a downregulation of majority of glycolytic, gluconeogenesis, and TCA cycle enzymes (Fba1, Adh1, Hxk2, Tal1, Tdh1,Tdh3, Eno1) thus providing enough acetyl-CoA for the lipid restructuring and accumulation mechanism since we have found the changes in the cell and mitochondrial lipid content and FA composition. This data suggest that lipids could be the molecules that orchestrate the answer of the cells in the stress response to the Confidor treatment.","author":[{"dropping-particle":"","family":"Justinić","given":"Iva","non-dropping-particle":"","parse-names":false,"suffix":""},{"dropping-particle":"","family":"Katić","given":"Ana","non-dropping-particle":"","parse-names":false,"suffix":""},{"dropping-particle":"","family":"Uršičić","given":"Deni","non-dropping-particle":"","parse-names":false,"suffix":""},{"dropping-particle":"","family":"Ćurko-Cofek","given":"Božena","non-dropping-particle":"","parse-names":false,"suffix":""},{"dropping-particle":"","family":"Blagović","given":"Branka","non-dropping-particle":"","parse-names":false,"suffix":""},{"dropping-particle":"","family":"Čanadi Jurešić","given":"Gordana","non-dropping-particle":"","parse-names":false,"suffix":""}],"container-title":"Environmental Toxicology","id":"ITEM-1","issue":"3","issued":{"date-parts":[["2020"]]},"page":"346-358","title":"Combining proteomics and lipid analysis to unravel Confidor stress response in Saccharomyces cerevisiae","type":"article-journal","volume":"35"},"uris":["http://www.mendeley.com/documents/?uuid=22898c77-dea2-4a96-ba71-68ee6d6a652f"]},{"id":"ITEM-2","itemData":{"DOI":"10.1016/j.chemosphere.2013.10.063","ISSN":"18791298","abstract":"Neonicotinoid insecticides are an important contribution to plant protection products. At the same time, their environmental impact on non-target organisms is often problematic. It has been shown that the toxicity of formulations of neonicotinoid insecticides can originate from non-neonicotinoid additives. In the present study we used chemogenomics to analyse side effects of purified neonicotinoids, additives and formulations on the genome-wide scale. We show that the additives in formulations have more pronounced effects than the active components, and that these effects could explain previously observed negative effects of neonicotinoid insecticides on spermatogenesis in animals. We also demonstrate that cell wall organization and biogenesis in yeast is negatively affected by neonicotinoid substances. © 2013 Elsevier Ltd.","author":[{"dropping-particle":"","family":"Mattiazzi Ušaj","given":"Mojca","non-dropping-particle":"","parse-names":false,"suffix":""},{"dropping-particle":"","family":"Kaferle","given":"Petra","non-dropping-particle":"","parse-names":false,"suffix":""},{"dropping-particle":"","family":"Toplak","given":"Alenka","non-dropping-particle":"","parse-names":false,"suffix":""},{"dropping-particle":"","family":"Trebše","given":"Polonca","non-dropping-particle":"","parse-names":false,"suffix":""},{"dropping-particle":"","family":"Petrovič","given":"Uroš","non-dropping-particle":"","parse-names":false,"suffix":""}],"container-title":"Chemosphere","id":"ITEM-2","issued":{"date-parts":[["2014"]]},"page":"91-96","title":"Determination of toxicity of neonicotinoids on the genome level using chemogenomics in yeast","type":"article-journal","volume":"104"},"uris":["http://www.mendeley.com/documents/?uuid=53698a5f-03b0-42c6-ab5c-62f38881c576"]}],"mendeley":{"formattedCitation":"&lt;sup&gt;1,2&lt;/sup&gt;","plainTextFormattedCitation":"1,2","previouslyFormattedCitation":"&lt;sup&gt;1,2&lt;/sup&gt;"},"properties":{"noteIndex":0},"schema":"https://github.com/citation-style-language/schema/raw/master/csl-citation.json"}</w:instrText>
      </w:r>
      <w:r w:rsidR="00C15EEF">
        <w:fldChar w:fldCharType="separate"/>
      </w:r>
      <w:r w:rsidR="00C15EEF" w:rsidRPr="00C15EEF">
        <w:rPr>
          <w:noProof/>
          <w:vertAlign w:val="superscript"/>
        </w:rPr>
        <w:t>1,2</w:t>
      </w:r>
      <w:r w:rsidR="00C15EEF">
        <w:fldChar w:fldCharType="end"/>
      </w:r>
      <w:r w:rsidR="00C15EEF">
        <w:t xml:space="preserve">. </w:t>
      </w:r>
      <w:r>
        <w:t>My initial range finding</w:t>
      </w:r>
      <w:r w:rsidR="00C15EEF">
        <w:t xml:space="preserve"> experiment suggest</w:t>
      </w:r>
      <w:r>
        <w:t>ed</w:t>
      </w:r>
      <w:r w:rsidR="00C15EEF">
        <w:t xml:space="preserve"> a differential response between </w:t>
      </w:r>
      <w:proofErr w:type="spellStart"/>
      <w:r w:rsidR="00C15EEF">
        <w:t>cyanoimines</w:t>
      </w:r>
      <w:proofErr w:type="spellEnd"/>
      <w:r w:rsidR="00C15EEF">
        <w:t xml:space="preserve"> and no effect </w:t>
      </w:r>
      <w:r>
        <w:t xml:space="preserve">for </w:t>
      </w:r>
      <w:r w:rsidR="00C15EEF">
        <w:t xml:space="preserve">nitroguanidines or </w:t>
      </w:r>
      <w:proofErr w:type="spellStart"/>
      <w:r w:rsidR="00C15EEF">
        <w:t>butenolides</w:t>
      </w:r>
      <w:proofErr w:type="spellEnd"/>
      <w:r w:rsidR="00C15EEF">
        <w:t>. The proposed experiment will combine testing the effects of solvent alone (DMSO, common additive in insecticide</w:t>
      </w:r>
      <w:r w:rsidR="00F169B3">
        <w:t xml:space="preserve"> formulations</w:t>
      </w:r>
      <w:r w:rsidR="00C15EEF">
        <w:t xml:space="preserve">) and in combination with insecticide. </w:t>
      </w:r>
      <w:r w:rsidR="00D869AA">
        <w:t xml:space="preserve">This will </w:t>
      </w:r>
      <w:r w:rsidR="00E00A11">
        <w:t>help explain</w:t>
      </w:r>
      <w:r w:rsidR="00D869AA">
        <w:t xml:space="preserve"> if previously observed effects of neonicotinoid</w:t>
      </w:r>
      <w:r w:rsidR="00805474">
        <w:t xml:space="preserve"> formulations</w:t>
      </w:r>
      <w:r w:rsidR="00D869AA">
        <w:t xml:space="preserve"> in yeast were driven by additives or </w:t>
      </w:r>
      <w:r w:rsidR="00805474">
        <w:t>the</w:t>
      </w:r>
      <w:r w:rsidR="00D869AA">
        <w:t xml:space="preserve"> active ingredient</w:t>
      </w:r>
      <w:r w:rsidR="00435E11">
        <w:t>s</w:t>
      </w:r>
      <w:r w:rsidR="00D869AA">
        <w:t xml:space="preserve">. Furthermore, </w:t>
      </w:r>
      <w:r w:rsidR="00E00A11">
        <w:t>confirming</w:t>
      </w:r>
      <w:r w:rsidR="00952511">
        <w:t xml:space="preserve"> previously determined thiacloprid sensitivity </w:t>
      </w:r>
      <w:r w:rsidR="00D869AA">
        <w:t>in yeast will display off target effects, independent of nAchR</w:t>
      </w:r>
      <w:r w:rsidR="00952511">
        <w:t xml:space="preserve"> interactions</w:t>
      </w:r>
      <w:r w:rsidR="00D869AA">
        <w:t xml:space="preserve">, in a eukaryotic organism. </w:t>
      </w:r>
    </w:p>
    <w:p w14:paraId="4651D137" w14:textId="77777777" w:rsidR="002E158A" w:rsidRDefault="002E158A" w:rsidP="00D00675">
      <w:pPr>
        <w:spacing w:line="360" w:lineRule="auto"/>
      </w:pPr>
    </w:p>
    <w:p w14:paraId="5E2DDDF7" w14:textId="48ECE724" w:rsidR="007951BE" w:rsidRDefault="00E00A11" w:rsidP="00D00675">
      <w:pPr>
        <w:spacing w:line="360" w:lineRule="auto"/>
      </w:pPr>
      <w:r>
        <w:t xml:space="preserve">The main criticism of this experiment is </w:t>
      </w:r>
      <w:r w:rsidR="00370803">
        <w:t xml:space="preserve">its </w:t>
      </w:r>
      <w:r>
        <w:t xml:space="preserve">relevance to field settings due to the high concentrations used. </w:t>
      </w:r>
      <w:r w:rsidR="00836832">
        <w:t>In a recent paper, 350-2800 ppm was stated as the range for soil application of imidacloprid in agricultural settings</w:t>
      </w:r>
      <w:r w:rsidR="00917195">
        <w:fldChar w:fldCharType="begin" w:fldLock="1"/>
      </w:r>
      <w:r w:rsidR="00AF660D">
        <w:instrText>ADDIN CSL_CITATION {"citationItems":[{"id":"ITEM-1","itemData":{"DOI":"10.1073/pnas.2011828117","ISSN":"0027-8424","PMID":"32989137","abstract":" Declining insect population sizes are provoking grave concern around the world as insects play essential roles in food production and ecosystems. Environmental contamination by intense insecticide usage is consistently proposed as a significant contributor, among other threats. Many studies have demonstrated impacts of low doses of insecticides on insect behavior, but have not elucidated links to insecticidal activity at the molecular and cellular levels. Here, the histological, physiological, and behavioral impacts of imidacloprid are investigated in Drosophila melanogaster , an experimental organism exposed to insecticides in the field. We show that oxidative stress is a key factor in the mode of action of this insecticide at low doses. Imidacloprid produces an enduring flux of Ca 2+ into neurons and a rapid increase in levels of reactive oxygen species (ROS) in the larval brain. It affects mitochondrial function, energy levels, the lipid environment, and transcriptomic profiles. Use of RNAi to induce ROS production in the brain recapitulates insecticide-induced phenotypes in the metabolic tissues, indicating that a signal from neurons is responsible. Chronic low level exposures in adults lead to mitochondrial dysfunction, severe damage to glial cells, and impaired vision. The potent antioxidant, N -acetylcysteine amide (NACA), reduces the severity of a number of the imidacloprid-induced phenotypes, indicating a causal role for oxidative stress. Given that other insecticides are known to generate oxidative stress, this research has wider implications. The systemic impairment of several key biological functions, including vision, reported here would reduce the resilience of insects facing other environmental challenges. ","author":[{"dropping-particle":"","family":"Martelli","given":"Felipe","non-dropping-particle":"","parse-names":false,"suffix":""},{"dropping-particle":"","family":"Zhongyuan","given":"Zuo","non-dropping-particle":"","parse-names":false,"suffix":""},{"dropping-particle":"","family":"Wang","given":"Julia","non-dropping-particle":"","parse-names":false,"suffix":""},{"dropping-particle":"","family":"Wong","given":"Ching-On","non-dropping-particle":"","parse-names":false,"suffix":""},{"dropping-particle":"","family":"Karagas","given":"Nicholas E.","non-dropping-particle":"","parse-names":false,"suffix":""},{"dropping-particle":"","family":"Roessner","given":"Ute","non-dropping-particle":"","parse-names":false,"suffix":""},{"dropping-particle":"","family":"Rupasinghe","given":"Thusitha","non-dropping-particle":"","parse-names":false,"suffix":""},{"dropping-particle":"","family":"Venkatachalam","given":"Kartik","non-dropping-particle":"","parse-names":false,"suffix":""},{"dropping-particle":"","family":"Perry","given":"Trent","non-dropping-particle":"","parse-names":false,"suffix":""},{"dropping-particle":"","family":"Bellen","given":"Hugo J.","non-dropping-particle":"","parse-names":false,"suffix":""},{"dropping-particle":"","family":"Batterham","given":"Philip","non-dropping-particle":"","parse-names":false,"suffix":""}],"container-title":"Proceedings of the National Academy of Sciences","id":"ITEM-1","issue":"41","issued":{"date-parts":[["2020"]]},"page":"25840-25850","title":" Low doses of the neonicotinoid insecticide imidacloprid induce ROS triggering neurological and metabolic impairments in Drosophila ","type":"article-journal","volume":"117"},"uris":["http://www.mendeley.com/documents/?uuid=c8f98af5-5d99-4644-986c-b759da42ad8c"]},{"id":"ITEM-2","itemData":{"URL":"https://www.crop.bayer.com.au/find-crop-solutions/by-product/insecticides/confidor-200-sc-insecticide","accessed":{"date-parts":[["2020","11","10"]]},"id":"ITEM-2","issued":{"date-parts":[["0"]]},"title":"Confidor® 200 SC Insecticide Label and SDS | Bayer Crop Science","type":"webpage"},"uris":["http://www.mendeley.com/documents/?uuid=d049c211-75e8-3661-9b3c-d3155dbf6154"]}],"mendeley":{"formattedCitation":"&lt;sup&gt;3,4&lt;/sup&gt;","plainTextFormattedCitation":"3,4","previouslyFormattedCitation":"&lt;sup&gt;3,4&lt;/sup&gt;"},"properties":{"noteIndex":0},"schema":"https://github.com/citation-style-language/schema/raw/master/csl-citation.json"}</w:instrText>
      </w:r>
      <w:r w:rsidR="00917195">
        <w:fldChar w:fldCharType="separate"/>
      </w:r>
      <w:r w:rsidR="00917195" w:rsidRPr="00917195">
        <w:rPr>
          <w:noProof/>
          <w:vertAlign w:val="superscript"/>
        </w:rPr>
        <w:t>3,4</w:t>
      </w:r>
      <w:r w:rsidR="00917195">
        <w:fldChar w:fldCharType="end"/>
      </w:r>
      <w:r w:rsidR="00D36926">
        <w:t xml:space="preserve">. </w:t>
      </w:r>
      <w:r w:rsidR="009B121E">
        <w:t>2800ppm equates to</w:t>
      </w:r>
      <w:r w:rsidR="00A04B35">
        <w:t xml:space="preserve"> 10.95mM</w:t>
      </w:r>
      <w:r w:rsidR="009B121E">
        <w:t xml:space="preserve"> for imidacloprid</w:t>
      </w:r>
      <w:r w:rsidR="00D95222">
        <w:t xml:space="preserve">. This was, however, for pot not field application. </w:t>
      </w:r>
      <w:r w:rsidR="00A04B35">
        <w:t xml:space="preserve">The highest </w:t>
      </w:r>
      <w:r w:rsidR="00835CE6">
        <w:t>field-based</w:t>
      </w:r>
      <w:r w:rsidR="00D95222">
        <w:t xml:space="preserve"> soil </w:t>
      </w:r>
      <w:r w:rsidR="00A04B35">
        <w:t xml:space="preserve">application rate was for apple trees as 6ml/l, which is equal to 1200 ppm, or 4.69 </w:t>
      </w:r>
      <w:proofErr w:type="spellStart"/>
      <w:r w:rsidR="00A04B35">
        <w:t>mM.</w:t>
      </w:r>
      <w:proofErr w:type="spellEnd"/>
      <w:r w:rsidR="00A04B35">
        <w:t xml:space="preserve"> </w:t>
      </w:r>
      <w:r w:rsidR="00D95222">
        <w:t xml:space="preserve">These recommended soil application rates show that soil microorganisms will be exposed to concentrations similar to those outlined in the proposed experiment. Any uncovered sensitivity will highlight the potential risk posed to soil fungi. </w:t>
      </w:r>
      <w:r w:rsidR="002A1E8D">
        <w:t xml:space="preserve">The results from the </w:t>
      </w:r>
      <w:r>
        <w:t>range finding experiment</w:t>
      </w:r>
      <w:r w:rsidR="002A1E8D">
        <w:t xml:space="preserve"> </w:t>
      </w:r>
      <w:r>
        <w:t>(</w:t>
      </w:r>
      <w:r w:rsidR="002A1E8D">
        <w:t>up to 5mM</w:t>
      </w:r>
      <w:r>
        <w:t>)</w:t>
      </w:r>
      <w:r w:rsidR="002A1E8D">
        <w:t xml:space="preserve"> showed no effect of imidacloprid</w:t>
      </w:r>
      <w:r w:rsidR="005B044F">
        <w:t xml:space="preserve"> alone</w:t>
      </w:r>
      <w:r w:rsidR="002A1E8D">
        <w:t xml:space="preserve">. However, the additives (DMSO) could be </w:t>
      </w:r>
      <w:r w:rsidR="008F3614">
        <w:t>having</w:t>
      </w:r>
      <w:r w:rsidR="002A1E8D">
        <w:t xml:space="preserve"> an effect. </w:t>
      </w:r>
      <w:r w:rsidR="008F3614">
        <w:t xml:space="preserve">The proposed experiment will </w:t>
      </w:r>
      <w:r w:rsidR="00630825">
        <w:t>clarify this.</w:t>
      </w:r>
      <w:r w:rsidR="008F3614">
        <w:t xml:space="preserve"> </w:t>
      </w:r>
    </w:p>
    <w:p w14:paraId="17E5766D" w14:textId="77777777" w:rsidR="007951BE" w:rsidRDefault="007951BE" w:rsidP="00D00675">
      <w:pPr>
        <w:spacing w:line="360" w:lineRule="auto"/>
      </w:pPr>
    </w:p>
    <w:p w14:paraId="38F41027" w14:textId="5334016C" w:rsidR="00D00675" w:rsidRDefault="007951BE" w:rsidP="00D00675">
      <w:pPr>
        <w:spacing w:line="360" w:lineRule="auto"/>
      </w:pPr>
      <w:r>
        <w:t xml:space="preserve"> </w:t>
      </w:r>
      <w:r w:rsidR="002E158A">
        <w:t>A</w:t>
      </w:r>
      <w:r>
        <w:t xml:space="preserve">nother reason for using high insecticide concentrations is yeast’s efficient detoxification systems. These include a </w:t>
      </w:r>
      <w:r w:rsidR="0011519C">
        <w:t>battery of tightly regulated</w:t>
      </w:r>
      <w:r w:rsidR="00917195">
        <w:t xml:space="preserve"> </w:t>
      </w:r>
      <w:r>
        <w:t>ATP binding cassette (</w:t>
      </w:r>
      <w:r w:rsidR="00917195">
        <w:t>ABC</w:t>
      </w:r>
      <w:r>
        <w:t xml:space="preserve">) </w:t>
      </w:r>
      <w:r w:rsidR="00917195">
        <w:t xml:space="preserve">drug efflux pumps in </w:t>
      </w:r>
      <w:r>
        <w:t>the</w:t>
      </w:r>
      <w:r w:rsidR="005F710D">
        <w:t xml:space="preserve"> </w:t>
      </w:r>
      <w:r w:rsidR="00997C66">
        <w:t>plasma membrane</w:t>
      </w:r>
      <w:r>
        <w:t>, which</w:t>
      </w:r>
      <w:r w:rsidR="0011519C">
        <w:t xml:space="preserve"> control</w:t>
      </w:r>
      <w:r w:rsidR="00917195">
        <w:t xml:space="preserve"> the effective excretion of </w:t>
      </w:r>
      <w:r w:rsidR="005F710D">
        <w:t>multitudinous</w:t>
      </w:r>
      <w:r w:rsidR="00917195">
        <w:t xml:space="preserve"> structurally diverse molecules</w:t>
      </w:r>
      <w:r w:rsidR="00917195">
        <w:fldChar w:fldCharType="begin" w:fldLock="1"/>
      </w:r>
      <w:r w:rsidR="00917195">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 2005 Federation of European Biochemical Societies. Published by Elsevier B.V. All rights reserved.","author":[{"dropping-particle":"","family":"Jungwirth","given":"Helmut","non-dropping-particle":"","parse-names":false,"suffix":""},{"dropping-particle":"","family":"Kuchler","given":"Karl","non-dropping-particle":"","parse-names":false,"suffix":""}],"container-title":"FEBS Letters","id":"ITEM-1","issue":"4","issued":{"date-parts":[["2006"]]},"page":"1131-1138","title":"Yeast ABC transporters - A tale of sex, stress, drugs and aging","type":"article-journal","volume":"580"},"uris":["http://www.mendeley.com/documents/?uuid=76f9f2d3-8b6c-42c5-b01d-2aea4ea578d9"]}],"mendeley":{"formattedCitation":"&lt;sup&gt;5&lt;/sup&gt;","plainTextFormattedCitation":"5","previouslyFormattedCitation":"&lt;sup&gt;5&lt;/sup&gt;"},"properties":{"noteIndex":0},"schema":"https://github.com/citation-style-language/schema/raw/master/csl-citation.json"}</w:instrText>
      </w:r>
      <w:r w:rsidR="00917195">
        <w:fldChar w:fldCharType="separate"/>
      </w:r>
      <w:r w:rsidR="00917195" w:rsidRPr="00917195">
        <w:rPr>
          <w:noProof/>
          <w:vertAlign w:val="superscript"/>
        </w:rPr>
        <w:t>5</w:t>
      </w:r>
      <w:r w:rsidR="00917195">
        <w:fldChar w:fldCharType="end"/>
      </w:r>
      <w:r w:rsidR="00997C66">
        <w:t>.</w:t>
      </w:r>
      <w:r w:rsidR="00247E08">
        <w:t xml:space="preserve"> Indeed,</w:t>
      </w:r>
      <w:r w:rsidR="00AF660D">
        <w:t xml:space="preserve"> overexpression of a particular ABC plasma </w:t>
      </w:r>
      <w:r w:rsidR="00AF660D">
        <w:lastRenderedPageBreak/>
        <w:t xml:space="preserve">membrane transporter, Pdr5p, leads to </w:t>
      </w:r>
      <w:r w:rsidR="0011519C">
        <w:t>pleiotropic drug resistance (</w:t>
      </w:r>
      <w:r w:rsidR="00AF660D">
        <w:t>PDR</w:t>
      </w:r>
      <w:r w:rsidR="0011519C">
        <w:t>)</w:t>
      </w:r>
      <w:r w:rsidR="00AF660D">
        <w:t>, and this transporter is highly constitutively expressed during the logarithmic growth phase</w:t>
      </w:r>
      <w:r w:rsidR="00AF660D">
        <w:fldChar w:fldCharType="begin" w:fldLock="1"/>
      </w:r>
      <w:r w:rsidR="00460137">
        <w:instrText>ADDIN CSL_CITATION {"citationItems":[{"id":"ITEM-1","itemData":{"DOI":"10.1016/S0014-5793(04)00046-8","ISSN":"00145793","PMID":"14960317","abstract":"The yeast ATP-binding cassette transporter Pdr5p mediates pleiotropic drug resistance (PDR) by effluxing a variety of xenobiotics. Immunoblotting demonstrates that Pdr5p levels are high in the logarithmic growth phase, while its levels decrease sharply when cells exit exponential growth. Here, we show that PDR5 promoter activity is dramatically reduced when cells stop growing due to a limitation of glucose or nitrogen or when they approach stationary phase. Interestingly, Pdr3p, a major transcriptional regulator of PDR5, shows the same regulatory pattern. Feeding glucose to starved cells rapidly re-induces both PDR5 and PDR3 transcription. Importantly, diminished Pdr5p levels, as present after starvation, are rapidly restored in response to xenobiotic challenges that activate the transcription factors Pdr1p and Pdr3p. Our data indicate a role for yeast Pdr5p in cellular detoxification during exponential growth. © 2004 Federation of European Biochemical Societies. Published by Elsevier B.V. All rights reserved.","author":[{"dropping-particle":"","family":"Mamnun","given":"Yasmine M.","non-dropping-particle":"","parse-names":false,"suffix":""},{"dropping-particle":"","family":"Schüller","given":"Christoph","non-dropping-particle":"","parse-names":false,"suffix":""},{"dropping-particle":"","family":"Kuchler","given":"Karl","non-dropping-particle":"","parse-names":false,"suffix":""}],"container-title":"FEBS Letters","id":"ITEM-1","issue":"1-3","issued":{"date-parts":[["2004"]]},"page":"111-117","title":"Expression regulation of the yeast PDR5 ATP-binding cassette (ABC) transporter suggests a role in cellular detoxification during the exponential growth phase","type":"article-journal","volume":"559"},"uris":["http://www.mendeley.com/documents/?uuid=c9fcb189-5557-4789-b0c1-a3c3c266da90"]}],"mendeley":{"formattedCitation":"&lt;sup&gt;6&lt;/sup&gt;","plainTextFormattedCitation":"6","previouslyFormattedCitation":"&lt;sup&gt;6&lt;/sup&gt;"},"properties":{"noteIndex":0},"schema":"https://github.com/citation-style-language/schema/raw/master/csl-citation.json"}</w:instrText>
      </w:r>
      <w:r w:rsidR="00AF660D">
        <w:fldChar w:fldCharType="separate"/>
      </w:r>
      <w:r w:rsidR="00AF660D" w:rsidRPr="00AF660D">
        <w:rPr>
          <w:noProof/>
          <w:vertAlign w:val="superscript"/>
        </w:rPr>
        <w:t>6</w:t>
      </w:r>
      <w:r w:rsidR="00AF660D">
        <w:fldChar w:fldCharType="end"/>
      </w:r>
      <w:r w:rsidR="00AF660D">
        <w:t xml:space="preserve">. </w:t>
      </w:r>
      <w:r>
        <w:t xml:space="preserve">Due to these effective detoxification mechanisms, intracellular </w:t>
      </w:r>
      <w:r w:rsidR="00A413A7">
        <w:t>insecticide concentrations are</w:t>
      </w:r>
      <w:r>
        <w:t xml:space="preserve"> likely much lower than in the</w:t>
      </w:r>
      <w:r w:rsidR="00042CF8">
        <w:t xml:space="preserve"> surrounding </w:t>
      </w:r>
      <w:r>
        <w:t xml:space="preserve">extracellular medium. </w:t>
      </w:r>
    </w:p>
    <w:p w14:paraId="5F68C144" w14:textId="77777777" w:rsidR="008F3614" w:rsidRPr="00D00675" w:rsidRDefault="008F3614" w:rsidP="00D00675">
      <w:pPr>
        <w:spacing w:line="360" w:lineRule="auto"/>
      </w:pPr>
    </w:p>
    <w:tbl>
      <w:tblPr>
        <w:tblStyle w:val="TableGrid"/>
        <w:tblW w:w="0" w:type="auto"/>
        <w:jc w:val="center"/>
        <w:tblLook w:val="04A0" w:firstRow="1" w:lastRow="0" w:firstColumn="1" w:lastColumn="0" w:noHBand="0" w:noVBand="1"/>
      </w:tblPr>
      <w:tblGrid>
        <w:gridCol w:w="1746"/>
        <w:gridCol w:w="1206"/>
        <w:gridCol w:w="1219"/>
        <w:gridCol w:w="1207"/>
        <w:gridCol w:w="1207"/>
        <w:gridCol w:w="1207"/>
        <w:gridCol w:w="1218"/>
      </w:tblGrid>
      <w:tr w:rsidR="008F3614" w14:paraId="0A9EE910" w14:textId="77777777" w:rsidTr="008F3614">
        <w:trPr>
          <w:jc w:val="center"/>
        </w:trPr>
        <w:tc>
          <w:tcPr>
            <w:tcW w:w="1746" w:type="dxa"/>
          </w:tcPr>
          <w:p w14:paraId="7380479C" w14:textId="77777777" w:rsidR="008F3614" w:rsidRDefault="008F3614" w:rsidP="008F3614">
            <w:pPr>
              <w:spacing w:line="360" w:lineRule="auto"/>
            </w:pPr>
          </w:p>
        </w:tc>
        <w:tc>
          <w:tcPr>
            <w:tcW w:w="1206" w:type="dxa"/>
          </w:tcPr>
          <w:p w14:paraId="1B4815A0" w14:textId="77777777" w:rsidR="008F3614" w:rsidRDefault="008F3614" w:rsidP="008F3614">
            <w:pPr>
              <w:spacing w:line="360" w:lineRule="auto"/>
            </w:pPr>
            <w:r>
              <w:t>0</w:t>
            </w:r>
          </w:p>
        </w:tc>
        <w:tc>
          <w:tcPr>
            <w:tcW w:w="1219" w:type="dxa"/>
          </w:tcPr>
          <w:p w14:paraId="3772489B" w14:textId="77777777" w:rsidR="008F3614" w:rsidRDefault="008F3614" w:rsidP="008F3614">
            <w:pPr>
              <w:spacing w:line="360" w:lineRule="auto"/>
            </w:pPr>
            <w:r>
              <w:t>2</w:t>
            </w:r>
          </w:p>
        </w:tc>
        <w:tc>
          <w:tcPr>
            <w:tcW w:w="1207" w:type="dxa"/>
          </w:tcPr>
          <w:p w14:paraId="365845F7" w14:textId="77777777" w:rsidR="008F3614" w:rsidRDefault="008F3614" w:rsidP="008F3614">
            <w:pPr>
              <w:spacing w:line="360" w:lineRule="auto"/>
            </w:pPr>
            <w:r>
              <w:t>4</w:t>
            </w:r>
          </w:p>
        </w:tc>
        <w:tc>
          <w:tcPr>
            <w:tcW w:w="1207" w:type="dxa"/>
          </w:tcPr>
          <w:p w14:paraId="7380DE88" w14:textId="77777777" w:rsidR="008F3614" w:rsidRDefault="008F3614" w:rsidP="008F3614">
            <w:pPr>
              <w:spacing w:line="360" w:lineRule="auto"/>
            </w:pPr>
            <w:r>
              <w:t>6</w:t>
            </w:r>
          </w:p>
        </w:tc>
        <w:tc>
          <w:tcPr>
            <w:tcW w:w="1207" w:type="dxa"/>
          </w:tcPr>
          <w:p w14:paraId="31E60463" w14:textId="77777777" w:rsidR="008F3614" w:rsidRDefault="008F3614" w:rsidP="008F3614">
            <w:pPr>
              <w:spacing w:line="360" w:lineRule="auto"/>
            </w:pPr>
            <w:r>
              <w:t>8</w:t>
            </w:r>
          </w:p>
        </w:tc>
        <w:tc>
          <w:tcPr>
            <w:tcW w:w="1218" w:type="dxa"/>
          </w:tcPr>
          <w:p w14:paraId="604322E7" w14:textId="77777777" w:rsidR="008F3614" w:rsidRDefault="008F3614" w:rsidP="008F3614">
            <w:pPr>
              <w:spacing w:line="360" w:lineRule="auto"/>
            </w:pPr>
            <w:r>
              <w:t>10</w:t>
            </w:r>
          </w:p>
        </w:tc>
      </w:tr>
      <w:tr w:rsidR="008F3614" w14:paraId="20358A8F" w14:textId="77777777" w:rsidTr="008F3614">
        <w:trPr>
          <w:jc w:val="center"/>
        </w:trPr>
        <w:tc>
          <w:tcPr>
            <w:tcW w:w="1746" w:type="dxa"/>
          </w:tcPr>
          <w:p w14:paraId="0D5FC8EE" w14:textId="77777777" w:rsidR="008F3614" w:rsidRDefault="008F3614" w:rsidP="008F3614">
            <w:pPr>
              <w:spacing w:line="360" w:lineRule="auto"/>
            </w:pPr>
            <w:r>
              <w:t>control</w:t>
            </w:r>
          </w:p>
        </w:tc>
        <w:tc>
          <w:tcPr>
            <w:tcW w:w="1206" w:type="dxa"/>
            <w:shd w:val="clear" w:color="auto" w:fill="C00000"/>
          </w:tcPr>
          <w:p w14:paraId="2EAC1C31" w14:textId="77777777" w:rsidR="008F3614" w:rsidRDefault="008F3614" w:rsidP="008F3614">
            <w:pPr>
              <w:spacing w:line="360" w:lineRule="auto"/>
            </w:pPr>
          </w:p>
        </w:tc>
        <w:tc>
          <w:tcPr>
            <w:tcW w:w="1219" w:type="dxa"/>
            <w:shd w:val="clear" w:color="auto" w:fill="C00000"/>
          </w:tcPr>
          <w:p w14:paraId="1BC25374" w14:textId="77777777" w:rsidR="008F3614" w:rsidRDefault="008F3614" w:rsidP="008F3614">
            <w:pPr>
              <w:spacing w:line="360" w:lineRule="auto"/>
            </w:pPr>
          </w:p>
        </w:tc>
        <w:tc>
          <w:tcPr>
            <w:tcW w:w="1207" w:type="dxa"/>
            <w:shd w:val="clear" w:color="auto" w:fill="C00000"/>
          </w:tcPr>
          <w:p w14:paraId="09083FD8" w14:textId="77777777" w:rsidR="008F3614" w:rsidRDefault="008F3614" w:rsidP="008F3614">
            <w:pPr>
              <w:spacing w:line="360" w:lineRule="auto"/>
            </w:pPr>
          </w:p>
        </w:tc>
        <w:tc>
          <w:tcPr>
            <w:tcW w:w="1207" w:type="dxa"/>
            <w:shd w:val="clear" w:color="auto" w:fill="C00000"/>
          </w:tcPr>
          <w:p w14:paraId="1C85E583" w14:textId="77777777" w:rsidR="008F3614" w:rsidRDefault="008F3614" w:rsidP="008F3614">
            <w:pPr>
              <w:spacing w:line="360" w:lineRule="auto"/>
            </w:pPr>
          </w:p>
        </w:tc>
        <w:tc>
          <w:tcPr>
            <w:tcW w:w="1207" w:type="dxa"/>
            <w:shd w:val="clear" w:color="auto" w:fill="C00000"/>
          </w:tcPr>
          <w:p w14:paraId="57C2943A" w14:textId="77777777" w:rsidR="008F3614" w:rsidRDefault="008F3614" w:rsidP="008F3614">
            <w:pPr>
              <w:spacing w:line="360" w:lineRule="auto"/>
            </w:pPr>
          </w:p>
        </w:tc>
        <w:tc>
          <w:tcPr>
            <w:tcW w:w="1218" w:type="dxa"/>
            <w:shd w:val="clear" w:color="auto" w:fill="C00000"/>
          </w:tcPr>
          <w:p w14:paraId="5EBD5367" w14:textId="77777777" w:rsidR="008F3614" w:rsidRDefault="008F3614" w:rsidP="008F3614">
            <w:pPr>
              <w:spacing w:line="360" w:lineRule="auto"/>
            </w:pPr>
          </w:p>
        </w:tc>
      </w:tr>
      <w:tr w:rsidR="008F3614" w14:paraId="32AF20F9" w14:textId="77777777" w:rsidTr="008F3614">
        <w:trPr>
          <w:jc w:val="center"/>
        </w:trPr>
        <w:tc>
          <w:tcPr>
            <w:tcW w:w="1746" w:type="dxa"/>
          </w:tcPr>
          <w:p w14:paraId="41115841" w14:textId="77777777" w:rsidR="008F3614" w:rsidRDefault="008F3614" w:rsidP="008F3614">
            <w:pPr>
              <w:spacing w:line="360" w:lineRule="auto"/>
            </w:pPr>
            <w:proofErr w:type="spellStart"/>
            <w:r>
              <w:t>control+solvent</w:t>
            </w:r>
            <w:proofErr w:type="spellEnd"/>
          </w:p>
        </w:tc>
        <w:tc>
          <w:tcPr>
            <w:tcW w:w="1206" w:type="dxa"/>
            <w:shd w:val="clear" w:color="auto" w:fill="4472C4" w:themeFill="accent1"/>
          </w:tcPr>
          <w:p w14:paraId="51739A51" w14:textId="77777777" w:rsidR="008F3614" w:rsidRDefault="008F3614" w:rsidP="008F3614">
            <w:pPr>
              <w:spacing w:line="360" w:lineRule="auto"/>
            </w:pPr>
          </w:p>
        </w:tc>
        <w:tc>
          <w:tcPr>
            <w:tcW w:w="1219" w:type="dxa"/>
            <w:shd w:val="clear" w:color="auto" w:fill="4472C4" w:themeFill="accent1"/>
          </w:tcPr>
          <w:p w14:paraId="5AF3F40F" w14:textId="77777777" w:rsidR="008F3614" w:rsidRDefault="008F3614" w:rsidP="008F3614">
            <w:pPr>
              <w:spacing w:line="360" w:lineRule="auto"/>
            </w:pPr>
            <w:r>
              <w:t>ref</w:t>
            </w:r>
          </w:p>
        </w:tc>
        <w:tc>
          <w:tcPr>
            <w:tcW w:w="1207" w:type="dxa"/>
            <w:shd w:val="clear" w:color="auto" w:fill="4472C4" w:themeFill="accent1"/>
          </w:tcPr>
          <w:p w14:paraId="5BE6CD19" w14:textId="77777777" w:rsidR="008F3614" w:rsidRDefault="008F3614" w:rsidP="008F3614">
            <w:pPr>
              <w:spacing w:line="360" w:lineRule="auto"/>
            </w:pPr>
          </w:p>
        </w:tc>
        <w:tc>
          <w:tcPr>
            <w:tcW w:w="1207" w:type="dxa"/>
            <w:shd w:val="clear" w:color="auto" w:fill="4472C4" w:themeFill="accent1"/>
          </w:tcPr>
          <w:p w14:paraId="40571644" w14:textId="77777777" w:rsidR="008F3614" w:rsidRDefault="008F3614" w:rsidP="008F3614">
            <w:pPr>
              <w:spacing w:line="360" w:lineRule="auto"/>
            </w:pPr>
          </w:p>
        </w:tc>
        <w:tc>
          <w:tcPr>
            <w:tcW w:w="1207" w:type="dxa"/>
            <w:shd w:val="clear" w:color="auto" w:fill="4472C4" w:themeFill="accent1"/>
          </w:tcPr>
          <w:p w14:paraId="67FE14E7" w14:textId="77777777" w:rsidR="008F3614" w:rsidRDefault="008F3614" w:rsidP="008F3614">
            <w:pPr>
              <w:spacing w:line="360" w:lineRule="auto"/>
            </w:pPr>
          </w:p>
        </w:tc>
        <w:tc>
          <w:tcPr>
            <w:tcW w:w="1218" w:type="dxa"/>
            <w:shd w:val="clear" w:color="auto" w:fill="4472C4" w:themeFill="accent1"/>
          </w:tcPr>
          <w:p w14:paraId="1974D8D5" w14:textId="77777777" w:rsidR="008F3614" w:rsidRDefault="008F3614" w:rsidP="008F3614">
            <w:pPr>
              <w:spacing w:line="360" w:lineRule="auto"/>
            </w:pPr>
          </w:p>
        </w:tc>
      </w:tr>
      <w:tr w:rsidR="008F3614" w14:paraId="6029BB44" w14:textId="77777777" w:rsidTr="008F3614">
        <w:trPr>
          <w:jc w:val="center"/>
        </w:trPr>
        <w:tc>
          <w:tcPr>
            <w:tcW w:w="1746" w:type="dxa"/>
          </w:tcPr>
          <w:p w14:paraId="0390AFC7" w14:textId="77777777" w:rsidR="008F3614" w:rsidRDefault="008F3614" w:rsidP="008F3614">
            <w:pPr>
              <w:spacing w:line="360" w:lineRule="auto"/>
            </w:pPr>
            <w:r>
              <w:t>thiacloprid</w:t>
            </w:r>
          </w:p>
        </w:tc>
        <w:tc>
          <w:tcPr>
            <w:tcW w:w="1206" w:type="dxa"/>
          </w:tcPr>
          <w:p w14:paraId="60B40510" w14:textId="77777777" w:rsidR="008F3614" w:rsidRDefault="008F3614" w:rsidP="008F3614">
            <w:pPr>
              <w:spacing w:line="360" w:lineRule="auto"/>
            </w:pPr>
          </w:p>
        </w:tc>
        <w:tc>
          <w:tcPr>
            <w:tcW w:w="1219" w:type="dxa"/>
          </w:tcPr>
          <w:p w14:paraId="7533113F" w14:textId="77777777" w:rsidR="008F3614" w:rsidRDefault="008F3614" w:rsidP="008F3614">
            <w:pPr>
              <w:spacing w:line="360" w:lineRule="auto"/>
            </w:pPr>
          </w:p>
        </w:tc>
        <w:tc>
          <w:tcPr>
            <w:tcW w:w="1207" w:type="dxa"/>
          </w:tcPr>
          <w:p w14:paraId="4329A74E" w14:textId="77777777" w:rsidR="008F3614" w:rsidRDefault="008F3614" w:rsidP="008F3614">
            <w:pPr>
              <w:spacing w:line="360" w:lineRule="auto"/>
            </w:pPr>
          </w:p>
        </w:tc>
        <w:tc>
          <w:tcPr>
            <w:tcW w:w="1207" w:type="dxa"/>
          </w:tcPr>
          <w:p w14:paraId="30043A45" w14:textId="77777777" w:rsidR="008F3614" w:rsidRDefault="008F3614" w:rsidP="008F3614">
            <w:pPr>
              <w:spacing w:line="360" w:lineRule="auto"/>
            </w:pPr>
          </w:p>
        </w:tc>
        <w:tc>
          <w:tcPr>
            <w:tcW w:w="1207" w:type="dxa"/>
          </w:tcPr>
          <w:p w14:paraId="2D3C483A" w14:textId="77777777" w:rsidR="008F3614" w:rsidRDefault="008F3614" w:rsidP="008F3614">
            <w:pPr>
              <w:spacing w:line="360" w:lineRule="auto"/>
            </w:pPr>
          </w:p>
        </w:tc>
        <w:tc>
          <w:tcPr>
            <w:tcW w:w="1218" w:type="dxa"/>
          </w:tcPr>
          <w:p w14:paraId="7CABA6C4" w14:textId="77777777" w:rsidR="008F3614" w:rsidRDefault="008F3614" w:rsidP="008F3614">
            <w:pPr>
              <w:spacing w:line="360" w:lineRule="auto"/>
            </w:pPr>
          </w:p>
        </w:tc>
      </w:tr>
      <w:tr w:rsidR="008F3614" w14:paraId="0EDAA36F" w14:textId="77777777" w:rsidTr="008F3614">
        <w:trPr>
          <w:jc w:val="center"/>
        </w:trPr>
        <w:tc>
          <w:tcPr>
            <w:tcW w:w="1746" w:type="dxa"/>
          </w:tcPr>
          <w:p w14:paraId="3C020887" w14:textId="77777777" w:rsidR="008F3614" w:rsidRDefault="008F3614" w:rsidP="008F3614">
            <w:pPr>
              <w:spacing w:line="360" w:lineRule="auto"/>
            </w:pPr>
            <w:r>
              <w:t>acetamiprid</w:t>
            </w:r>
          </w:p>
        </w:tc>
        <w:tc>
          <w:tcPr>
            <w:tcW w:w="1206" w:type="dxa"/>
          </w:tcPr>
          <w:p w14:paraId="350E014E" w14:textId="77777777" w:rsidR="008F3614" w:rsidRDefault="008F3614" w:rsidP="008F3614">
            <w:pPr>
              <w:spacing w:line="360" w:lineRule="auto"/>
            </w:pPr>
          </w:p>
        </w:tc>
        <w:tc>
          <w:tcPr>
            <w:tcW w:w="1219" w:type="dxa"/>
          </w:tcPr>
          <w:p w14:paraId="7554D424" w14:textId="77777777" w:rsidR="008F3614" w:rsidRDefault="008F3614" w:rsidP="008F3614">
            <w:pPr>
              <w:spacing w:line="360" w:lineRule="auto"/>
            </w:pPr>
          </w:p>
        </w:tc>
        <w:tc>
          <w:tcPr>
            <w:tcW w:w="1207" w:type="dxa"/>
          </w:tcPr>
          <w:p w14:paraId="525B5BDE" w14:textId="77777777" w:rsidR="008F3614" w:rsidRDefault="008F3614" w:rsidP="008F3614">
            <w:pPr>
              <w:spacing w:line="360" w:lineRule="auto"/>
            </w:pPr>
          </w:p>
        </w:tc>
        <w:tc>
          <w:tcPr>
            <w:tcW w:w="1207" w:type="dxa"/>
          </w:tcPr>
          <w:p w14:paraId="15E037FB" w14:textId="77777777" w:rsidR="008F3614" w:rsidRDefault="008F3614" w:rsidP="008F3614">
            <w:pPr>
              <w:spacing w:line="360" w:lineRule="auto"/>
            </w:pPr>
          </w:p>
        </w:tc>
        <w:tc>
          <w:tcPr>
            <w:tcW w:w="1207" w:type="dxa"/>
          </w:tcPr>
          <w:p w14:paraId="55D053FA" w14:textId="77777777" w:rsidR="008F3614" w:rsidRDefault="008F3614" w:rsidP="008F3614">
            <w:pPr>
              <w:spacing w:line="360" w:lineRule="auto"/>
            </w:pPr>
          </w:p>
        </w:tc>
        <w:tc>
          <w:tcPr>
            <w:tcW w:w="1218" w:type="dxa"/>
          </w:tcPr>
          <w:p w14:paraId="343275B6" w14:textId="77777777" w:rsidR="008F3614" w:rsidRDefault="008F3614" w:rsidP="008F3614">
            <w:pPr>
              <w:spacing w:line="360" w:lineRule="auto"/>
            </w:pPr>
          </w:p>
        </w:tc>
      </w:tr>
      <w:tr w:rsidR="008F3614" w14:paraId="3829811D" w14:textId="77777777" w:rsidTr="008F3614">
        <w:trPr>
          <w:jc w:val="center"/>
        </w:trPr>
        <w:tc>
          <w:tcPr>
            <w:tcW w:w="1746" w:type="dxa"/>
          </w:tcPr>
          <w:p w14:paraId="74BC8468" w14:textId="77777777" w:rsidR="008F3614" w:rsidRDefault="008F3614" w:rsidP="008F3614">
            <w:pPr>
              <w:spacing w:line="360" w:lineRule="auto"/>
            </w:pPr>
            <w:r>
              <w:t>imidacloprid</w:t>
            </w:r>
          </w:p>
        </w:tc>
        <w:tc>
          <w:tcPr>
            <w:tcW w:w="1206" w:type="dxa"/>
          </w:tcPr>
          <w:p w14:paraId="7F3074A0" w14:textId="77777777" w:rsidR="008F3614" w:rsidRDefault="008F3614" w:rsidP="008F3614">
            <w:pPr>
              <w:spacing w:line="360" w:lineRule="auto"/>
            </w:pPr>
          </w:p>
        </w:tc>
        <w:tc>
          <w:tcPr>
            <w:tcW w:w="1219" w:type="dxa"/>
          </w:tcPr>
          <w:p w14:paraId="00F71F3B" w14:textId="77777777" w:rsidR="008F3614" w:rsidRDefault="008F3614" w:rsidP="008F3614">
            <w:pPr>
              <w:spacing w:line="360" w:lineRule="auto"/>
            </w:pPr>
          </w:p>
        </w:tc>
        <w:tc>
          <w:tcPr>
            <w:tcW w:w="1207" w:type="dxa"/>
          </w:tcPr>
          <w:p w14:paraId="2375CCB6" w14:textId="77777777" w:rsidR="008F3614" w:rsidRDefault="008F3614" w:rsidP="008F3614">
            <w:pPr>
              <w:spacing w:line="360" w:lineRule="auto"/>
            </w:pPr>
          </w:p>
        </w:tc>
        <w:tc>
          <w:tcPr>
            <w:tcW w:w="1207" w:type="dxa"/>
          </w:tcPr>
          <w:p w14:paraId="793B3762" w14:textId="77777777" w:rsidR="008F3614" w:rsidRDefault="008F3614" w:rsidP="008F3614">
            <w:pPr>
              <w:spacing w:line="360" w:lineRule="auto"/>
            </w:pPr>
          </w:p>
        </w:tc>
        <w:tc>
          <w:tcPr>
            <w:tcW w:w="1207" w:type="dxa"/>
          </w:tcPr>
          <w:p w14:paraId="6FC8AB10" w14:textId="77777777" w:rsidR="008F3614" w:rsidRDefault="008F3614" w:rsidP="008F3614">
            <w:pPr>
              <w:spacing w:line="360" w:lineRule="auto"/>
            </w:pPr>
          </w:p>
        </w:tc>
        <w:tc>
          <w:tcPr>
            <w:tcW w:w="1218" w:type="dxa"/>
          </w:tcPr>
          <w:p w14:paraId="0057822C" w14:textId="77777777" w:rsidR="008F3614" w:rsidRDefault="008F3614" w:rsidP="008F3614">
            <w:pPr>
              <w:spacing w:line="360" w:lineRule="auto"/>
            </w:pPr>
          </w:p>
        </w:tc>
      </w:tr>
      <w:tr w:rsidR="008F3614" w14:paraId="508EFFC1" w14:textId="77777777" w:rsidTr="008F3614">
        <w:trPr>
          <w:jc w:val="center"/>
        </w:trPr>
        <w:tc>
          <w:tcPr>
            <w:tcW w:w="1746" w:type="dxa"/>
          </w:tcPr>
          <w:p w14:paraId="2B4B190B" w14:textId="77777777" w:rsidR="008F3614" w:rsidRDefault="008F3614" w:rsidP="008F3614">
            <w:pPr>
              <w:spacing w:line="360" w:lineRule="auto"/>
            </w:pPr>
            <w:r>
              <w:t>clothianidin</w:t>
            </w:r>
          </w:p>
        </w:tc>
        <w:tc>
          <w:tcPr>
            <w:tcW w:w="1206" w:type="dxa"/>
          </w:tcPr>
          <w:p w14:paraId="7B0C853F" w14:textId="77777777" w:rsidR="008F3614" w:rsidRDefault="008F3614" w:rsidP="008F3614">
            <w:pPr>
              <w:spacing w:line="360" w:lineRule="auto"/>
            </w:pPr>
          </w:p>
        </w:tc>
        <w:tc>
          <w:tcPr>
            <w:tcW w:w="1219" w:type="dxa"/>
          </w:tcPr>
          <w:p w14:paraId="2A60C251" w14:textId="77777777" w:rsidR="008F3614" w:rsidRDefault="008F3614" w:rsidP="008F3614">
            <w:pPr>
              <w:spacing w:line="360" w:lineRule="auto"/>
            </w:pPr>
          </w:p>
        </w:tc>
        <w:tc>
          <w:tcPr>
            <w:tcW w:w="1207" w:type="dxa"/>
          </w:tcPr>
          <w:p w14:paraId="5D0B5DCA" w14:textId="77777777" w:rsidR="008F3614" w:rsidRDefault="008F3614" w:rsidP="008F3614">
            <w:pPr>
              <w:spacing w:line="360" w:lineRule="auto"/>
            </w:pPr>
          </w:p>
        </w:tc>
        <w:tc>
          <w:tcPr>
            <w:tcW w:w="1207" w:type="dxa"/>
          </w:tcPr>
          <w:p w14:paraId="1819E959" w14:textId="77777777" w:rsidR="008F3614" w:rsidRDefault="008F3614" w:rsidP="008F3614">
            <w:pPr>
              <w:spacing w:line="360" w:lineRule="auto"/>
            </w:pPr>
          </w:p>
        </w:tc>
        <w:tc>
          <w:tcPr>
            <w:tcW w:w="1207" w:type="dxa"/>
          </w:tcPr>
          <w:p w14:paraId="3519C271" w14:textId="77777777" w:rsidR="008F3614" w:rsidRDefault="008F3614" w:rsidP="008F3614">
            <w:pPr>
              <w:spacing w:line="360" w:lineRule="auto"/>
            </w:pPr>
          </w:p>
        </w:tc>
        <w:tc>
          <w:tcPr>
            <w:tcW w:w="1218" w:type="dxa"/>
          </w:tcPr>
          <w:p w14:paraId="38452AFD" w14:textId="77777777" w:rsidR="008F3614" w:rsidRDefault="008F3614" w:rsidP="008F3614">
            <w:pPr>
              <w:spacing w:line="360" w:lineRule="auto"/>
            </w:pPr>
          </w:p>
        </w:tc>
      </w:tr>
      <w:tr w:rsidR="008F3614" w14:paraId="441C7D22" w14:textId="77777777" w:rsidTr="008F3614">
        <w:trPr>
          <w:jc w:val="center"/>
        </w:trPr>
        <w:tc>
          <w:tcPr>
            <w:tcW w:w="1746" w:type="dxa"/>
          </w:tcPr>
          <w:p w14:paraId="18F672C5" w14:textId="77777777" w:rsidR="008F3614" w:rsidRDefault="008F3614" w:rsidP="008F3614">
            <w:pPr>
              <w:spacing w:line="360" w:lineRule="auto"/>
            </w:pPr>
            <w:r>
              <w:t>flupyradifurone</w:t>
            </w:r>
          </w:p>
        </w:tc>
        <w:tc>
          <w:tcPr>
            <w:tcW w:w="1206" w:type="dxa"/>
          </w:tcPr>
          <w:p w14:paraId="419DB95F" w14:textId="77777777" w:rsidR="008F3614" w:rsidRDefault="008F3614" w:rsidP="008F3614">
            <w:pPr>
              <w:spacing w:line="360" w:lineRule="auto"/>
            </w:pPr>
          </w:p>
        </w:tc>
        <w:tc>
          <w:tcPr>
            <w:tcW w:w="1219" w:type="dxa"/>
          </w:tcPr>
          <w:p w14:paraId="5ADD4821" w14:textId="77777777" w:rsidR="008F3614" w:rsidRDefault="008F3614" w:rsidP="008F3614">
            <w:pPr>
              <w:spacing w:line="360" w:lineRule="auto"/>
            </w:pPr>
          </w:p>
        </w:tc>
        <w:tc>
          <w:tcPr>
            <w:tcW w:w="1207" w:type="dxa"/>
          </w:tcPr>
          <w:p w14:paraId="7624F2ED" w14:textId="77777777" w:rsidR="008F3614" w:rsidRDefault="008F3614" w:rsidP="008F3614">
            <w:pPr>
              <w:spacing w:line="360" w:lineRule="auto"/>
            </w:pPr>
          </w:p>
        </w:tc>
        <w:tc>
          <w:tcPr>
            <w:tcW w:w="1207" w:type="dxa"/>
          </w:tcPr>
          <w:p w14:paraId="02885F3E" w14:textId="77777777" w:rsidR="008F3614" w:rsidRDefault="008F3614" w:rsidP="008F3614">
            <w:pPr>
              <w:spacing w:line="360" w:lineRule="auto"/>
            </w:pPr>
          </w:p>
        </w:tc>
        <w:tc>
          <w:tcPr>
            <w:tcW w:w="1207" w:type="dxa"/>
          </w:tcPr>
          <w:p w14:paraId="44BA8BCA" w14:textId="77777777" w:rsidR="008F3614" w:rsidRDefault="008F3614" w:rsidP="008F3614">
            <w:pPr>
              <w:spacing w:line="360" w:lineRule="auto"/>
            </w:pPr>
          </w:p>
        </w:tc>
        <w:tc>
          <w:tcPr>
            <w:tcW w:w="1218" w:type="dxa"/>
          </w:tcPr>
          <w:p w14:paraId="43919C0D" w14:textId="77777777" w:rsidR="008F3614" w:rsidRDefault="008F3614" w:rsidP="008F3614">
            <w:pPr>
              <w:spacing w:line="360" w:lineRule="auto"/>
            </w:pPr>
          </w:p>
        </w:tc>
      </w:tr>
    </w:tbl>
    <w:p w14:paraId="5FB07244" w14:textId="0F1C7299" w:rsidR="004A5661" w:rsidRDefault="004A5661" w:rsidP="004A5661">
      <w:pPr>
        <w:spacing w:line="360" w:lineRule="auto"/>
        <w:jc w:val="center"/>
        <w:rPr>
          <w:u w:val="single"/>
        </w:rPr>
      </w:pPr>
    </w:p>
    <w:p w14:paraId="51650D88" w14:textId="608CE11C" w:rsidR="004A5661" w:rsidRDefault="004A5661" w:rsidP="004A5661">
      <w:pPr>
        <w:pStyle w:val="ListParagraph"/>
        <w:numPr>
          <w:ilvl w:val="0"/>
          <w:numId w:val="1"/>
        </w:numPr>
        <w:spacing w:line="360" w:lineRule="auto"/>
      </w:pPr>
      <w:r>
        <w:t xml:space="preserve">Insecticides – thiacloprid, acetamiprid, imidacloprid, clothianidin and flupyradifurone. </w:t>
      </w:r>
    </w:p>
    <w:p w14:paraId="17A4DA8C" w14:textId="0ECCCACB" w:rsidR="004A5661" w:rsidRDefault="00A933A1" w:rsidP="004A5661">
      <w:pPr>
        <w:pStyle w:val="ListParagraph"/>
        <w:numPr>
          <w:ilvl w:val="0"/>
          <w:numId w:val="1"/>
        </w:numPr>
        <w:spacing w:line="360" w:lineRule="auto"/>
      </w:pPr>
      <w:r>
        <w:t>0, 0+solvent, 2, 4, 6, 8, 10mM. This means 2% DMSO.</w:t>
      </w:r>
    </w:p>
    <w:p w14:paraId="42EA04F2" w14:textId="71DED8A7" w:rsidR="004E4614" w:rsidRDefault="00A933A1" w:rsidP="004E4614">
      <w:pPr>
        <w:pStyle w:val="ListParagraph"/>
        <w:numPr>
          <w:ilvl w:val="0"/>
          <w:numId w:val="1"/>
        </w:numPr>
        <w:spacing w:line="360" w:lineRule="auto"/>
      </w:pPr>
      <w:r>
        <w:t>10 replicates for each concentration above for each insecticide.</w:t>
      </w:r>
    </w:p>
    <w:p w14:paraId="64A1B705" w14:textId="3DF564D8" w:rsidR="00791617" w:rsidRDefault="00791617" w:rsidP="00791617">
      <w:pPr>
        <w:pStyle w:val="ListParagraph"/>
        <w:numPr>
          <w:ilvl w:val="0"/>
          <w:numId w:val="2"/>
        </w:numPr>
        <w:spacing w:line="360" w:lineRule="auto"/>
      </w:pPr>
      <w:r>
        <w:t xml:space="preserve">Compare interaction between </w:t>
      </w:r>
      <w:proofErr w:type="spellStart"/>
      <w:r>
        <w:t>control+solvent</w:t>
      </w:r>
      <w:proofErr w:type="spellEnd"/>
      <w:r>
        <w:t xml:space="preserve"> (no insecticide) and concentration (no interaction) to interaction between insecticide and concentration (potential interaction). </w:t>
      </w:r>
    </w:p>
    <w:p w14:paraId="0A2A7DA0" w14:textId="3466F42E" w:rsidR="00791617" w:rsidRDefault="00791617" w:rsidP="00791617">
      <w:pPr>
        <w:pStyle w:val="ListParagraph"/>
        <w:numPr>
          <w:ilvl w:val="0"/>
          <w:numId w:val="2"/>
        </w:numPr>
        <w:spacing w:line="360" w:lineRule="auto"/>
      </w:pPr>
      <w:r>
        <w:t xml:space="preserve">Also allows me to compare control to </w:t>
      </w:r>
      <w:proofErr w:type="spellStart"/>
      <w:r>
        <w:t>control+solvent</w:t>
      </w:r>
      <w:proofErr w:type="spellEnd"/>
      <w:r>
        <w:t>.</w:t>
      </w:r>
    </w:p>
    <w:p w14:paraId="6CB26578" w14:textId="28361E34" w:rsidR="00791617" w:rsidRDefault="00791617" w:rsidP="00791617">
      <w:pPr>
        <w:pStyle w:val="ListParagraph"/>
        <w:numPr>
          <w:ilvl w:val="0"/>
          <w:numId w:val="2"/>
        </w:numPr>
        <w:spacing w:line="360" w:lineRule="auto"/>
      </w:pPr>
      <w:r>
        <w:t xml:space="preserve">The insecticide 0mM observations are the same as </w:t>
      </w:r>
      <w:proofErr w:type="spellStart"/>
      <w:r>
        <w:t>control+solvent</w:t>
      </w:r>
      <w:proofErr w:type="spellEnd"/>
      <w:r>
        <w:t xml:space="preserve">. </w:t>
      </w:r>
    </w:p>
    <w:p w14:paraId="3F316C02" w14:textId="70195904" w:rsidR="00791617" w:rsidRDefault="00791617" w:rsidP="00791617">
      <w:pPr>
        <w:pStyle w:val="ListParagraph"/>
        <w:numPr>
          <w:ilvl w:val="0"/>
          <w:numId w:val="2"/>
        </w:numPr>
        <w:spacing w:line="360" w:lineRule="auto"/>
      </w:pPr>
      <w:r>
        <w:t xml:space="preserve">If I only had </w:t>
      </w:r>
      <w:proofErr w:type="spellStart"/>
      <w:r>
        <w:t>control+solvent</w:t>
      </w:r>
      <w:proofErr w:type="spellEnd"/>
      <w:r>
        <w:t xml:space="preserve"> as part of insecticide (as the 0mM concentration) it raises two issues: wouldn’t be able to compare control to </w:t>
      </w:r>
      <w:proofErr w:type="spellStart"/>
      <w:r>
        <w:t>control+solvent</w:t>
      </w:r>
      <w:proofErr w:type="spellEnd"/>
      <w:r>
        <w:t xml:space="preserve"> and wouldn’t be able to compare the interaction of concentration and insecticide (insecticide) to the interaction of concentration and </w:t>
      </w:r>
      <w:proofErr w:type="spellStart"/>
      <w:r>
        <w:t>control+solvent</w:t>
      </w:r>
      <w:proofErr w:type="spellEnd"/>
      <w:r>
        <w:t xml:space="preserve"> (no insecticide).</w:t>
      </w:r>
    </w:p>
    <w:p w14:paraId="64BB5639" w14:textId="3F5D07A8" w:rsidR="00F00014" w:rsidRDefault="0010070C" w:rsidP="00F00014">
      <w:pPr>
        <w:pStyle w:val="ListParagraph"/>
        <w:numPr>
          <w:ilvl w:val="0"/>
          <w:numId w:val="2"/>
        </w:numPr>
        <w:spacing w:line="360" w:lineRule="auto"/>
      </w:pPr>
      <w:r>
        <w:t xml:space="preserve">Control (no solvent) won’t be looked at regarding interaction with concentration. Still preferable to have same number of replicates for control and </w:t>
      </w:r>
      <w:proofErr w:type="spellStart"/>
      <w:r>
        <w:t>control+solvent</w:t>
      </w:r>
      <w:proofErr w:type="spellEnd"/>
      <w:r>
        <w:t xml:space="preserve"> to enable comparison. </w:t>
      </w:r>
    </w:p>
    <w:p w14:paraId="6EFB9A69" w14:textId="77777777" w:rsidR="009D2182" w:rsidRDefault="009D2182" w:rsidP="009D2182">
      <w:pPr>
        <w:spacing w:line="360" w:lineRule="auto"/>
      </w:pPr>
    </w:p>
    <w:p w14:paraId="63588464" w14:textId="468E4B8F" w:rsidR="003B4132" w:rsidRDefault="003B4132" w:rsidP="00975866">
      <w:pPr>
        <w:spacing w:line="360" w:lineRule="auto"/>
        <w:rPr>
          <w:u w:val="single"/>
        </w:rPr>
      </w:pPr>
      <w:r w:rsidRPr="003B4132">
        <w:rPr>
          <w:u w:val="single"/>
        </w:rPr>
        <w:lastRenderedPageBreak/>
        <w:t>Media Preparation</w:t>
      </w:r>
    </w:p>
    <w:p w14:paraId="31F9794F" w14:textId="39CB4CA6" w:rsidR="00493147" w:rsidRPr="003B4132" w:rsidRDefault="003B4132" w:rsidP="003B4132">
      <w:pPr>
        <w:spacing w:line="360" w:lineRule="auto"/>
      </w:pPr>
      <w:r w:rsidRPr="003B4132">
        <w:t>Follow Thorpe Lab standard protocol.</w:t>
      </w:r>
      <w:r>
        <w:t xml:space="preserve"> </w:t>
      </w:r>
      <w:r w:rsidRPr="003B4132">
        <w:t>To make 500ml yeast, peptone, dextrose (YPD) media</w:t>
      </w:r>
      <w:r>
        <w:t>:</w:t>
      </w:r>
    </w:p>
    <w:p w14:paraId="0A15F19E" w14:textId="77777777" w:rsidR="003B4132" w:rsidRPr="00AB0F9E" w:rsidRDefault="003B4132" w:rsidP="003B4132">
      <w:pPr>
        <w:spacing w:line="360" w:lineRule="auto"/>
        <w:rPr>
          <w:b/>
          <w:bCs/>
        </w:rPr>
      </w:pPr>
      <w:r w:rsidRPr="00AB0F9E">
        <w:rPr>
          <w:b/>
          <w:bCs/>
        </w:rPr>
        <w:t>350ml sterile H2O</w:t>
      </w:r>
    </w:p>
    <w:p w14:paraId="06E2F1B2" w14:textId="77777777" w:rsidR="003B4132" w:rsidRPr="00AB0F9E" w:rsidRDefault="003B4132" w:rsidP="003B4132">
      <w:pPr>
        <w:spacing w:line="360" w:lineRule="auto"/>
        <w:rPr>
          <w:b/>
          <w:bCs/>
        </w:rPr>
      </w:pPr>
      <w:r w:rsidRPr="00AB0F9E">
        <w:rPr>
          <w:b/>
          <w:bCs/>
        </w:rPr>
        <w:t>5g Yeast Extract</w:t>
      </w:r>
    </w:p>
    <w:p w14:paraId="4B5EE777" w14:textId="77777777" w:rsidR="003B4132" w:rsidRPr="00AB0F9E" w:rsidRDefault="003B4132" w:rsidP="003B4132">
      <w:pPr>
        <w:spacing w:line="360" w:lineRule="auto"/>
        <w:rPr>
          <w:b/>
          <w:bCs/>
        </w:rPr>
      </w:pPr>
      <w:r w:rsidRPr="00AB0F9E">
        <w:rPr>
          <w:b/>
          <w:bCs/>
        </w:rPr>
        <w:t>10g Peptone</w:t>
      </w:r>
    </w:p>
    <w:p w14:paraId="12E2918D" w14:textId="77777777" w:rsidR="003B4132" w:rsidRPr="00AB0F9E" w:rsidRDefault="003B4132" w:rsidP="003B4132">
      <w:pPr>
        <w:spacing w:line="360" w:lineRule="auto"/>
        <w:rPr>
          <w:b/>
          <w:bCs/>
        </w:rPr>
      </w:pPr>
      <w:r w:rsidRPr="00AB0F9E">
        <w:rPr>
          <w:b/>
          <w:bCs/>
        </w:rPr>
        <w:t>100ml H2O</w:t>
      </w:r>
    </w:p>
    <w:p w14:paraId="4C5A470C" w14:textId="01EAC1B6" w:rsidR="003B4132" w:rsidRPr="00AB0F9E" w:rsidRDefault="003B4132" w:rsidP="003B4132">
      <w:pPr>
        <w:spacing w:line="360" w:lineRule="auto"/>
        <w:rPr>
          <w:b/>
          <w:bCs/>
        </w:rPr>
      </w:pPr>
      <w:r w:rsidRPr="00AB0F9E">
        <w:rPr>
          <w:b/>
          <w:bCs/>
        </w:rPr>
        <w:t>Once mixed autoclave</w:t>
      </w:r>
    </w:p>
    <w:p w14:paraId="11EA1821" w14:textId="3EB00902" w:rsidR="00493147" w:rsidRDefault="003B4132" w:rsidP="003B4132">
      <w:pPr>
        <w:spacing w:line="360" w:lineRule="auto"/>
        <w:rPr>
          <w:b/>
          <w:bCs/>
        </w:rPr>
      </w:pPr>
      <w:r w:rsidRPr="00AB0F9E">
        <w:rPr>
          <w:b/>
          <w:bCs/>
        </w:rPr>
        <w:t>After autoclaving add 50ml</w:t>
      </w:r>
      <w:r w:rsidR="00493147" w:rsidRPr="00AB0F9E">
        <w:rPr>
          <w:b/>
          <w:bCs/>
        </w:rPr>
        <w:t xml:space="preserve"> of filter sterilised glucose</w:t>
      </w:r>
    </w:p>
    <w:p w14:paraId="0256699F" w14:textId="77777777" w:rsidR="00B06AF0" w:rsidRPr="00B06AF0" w:rsidRDefault="00B06AF0" w:rsidP="003B4132">
      <w:pPr>
        <w:spacing w:line="360" w:lineRule="auto"/>
        <w:rPr>
          <w:b/>
          <w:bCs/>
        </w:rPr>
      </w:pPr>
    </w:p>
    <w:p w14:paraId="5A767C51" w14:textId="2AF99E0D" w:rsidR="00493147" w:rsidRDefault="00493147" w:rsidP="003B4132">
      <w:pPr>
        <w:spacing w:line="360" w:lineRule="auto"/>
      </w:pPr>
      <w:r>
        <w:t xml:space="preserve">Adding the glucose afterwards avoids the glucose degradation during autoclaving, which leads to variable growth mediums. </w:t>
      </w:r>
    </w:p>
    <w:p w14:paraId="45311B69" w14:textId="77777777" w:rsidR="00081FAB" w:rsidRDefault="00081FAB" w:rsidP="003B4132">
      <w:pPr>
        <w:spacing w:line="360" w:lineRule="auto"/>
      </w:pPr>
    </w:p>
    <w:p w14:paraId="728A53E4" w14:textId="428B72CC" w:rsidR="00AB0F9E" w:rsidRDefault="00AB0F9E" w:rsidP="003B4132">
      <w:pPr>
        <w:spacing w:line="360" w:lineRule="auto"/>
        <w:rPr>
          <w:u w:val="single"/>
        </w:rPr>
      </w:pPr>
      <w:r w:rsidRPr="00AB0F9E">
        <w:rPr>
          <w:u w:val="single"/>
        </w:rPr>
        <w:t>Yeast Overnight Culture</w:t>
      </w:r>
    </w:p>
    <w:p w14:paraId="70440509" w14:textId="1F5F12F8" w:rsidR="00440935" w:rsidRDefault="00AB0F9E" w:rsidP="00AB0F9E">
      <w:pPr>
        <w:spacing w:line="360" w:lineRule="auto"/>
      </w:pPr>
      <w:r>
        <w:t xml:space="preserve">For replicates performed on different days to be comparable yeast cells have to be harvested from the same growth phase. Cells will be harvested from overnight cultures in mid-log phase, which is 0.4-0.6 OD on the </w:t>
      </w:r>
      <w:proofErr w:type="spellStart"/>
      <w:r>
        <w:t>Thorpelab</w:t>
      </w:r>
      <w:proofErr w:type="spellEnd"/>
      <w:r>
        <w:t xml:space="preserve"> spectrophotometer. The stock wild-type yeast strain, BY4741, is stored as colonies on agar plates at 4</w:t>
      </w:r>
      <w:r>
        <w:rPr>
          <w:vertAlign w:val="superscript"/>
        </w:rPr>
        <w:t>o</w:t>
      </w:r>
      <w:r>
        <w:t xml:space="preserve">C. </w:t>
      </w:r>
      <w:proofErr w:type="spellStart"/>
      <w:r>
        <w:t>Innoculate</w:t>
      </w:r>
      <w:proofErr w:type="spellEnd"/>
      <w:r>
        <w:t xml:space="preserve"> 5ml of YPD culture with 1 yeast colony. Mix the cells and perform x5 serial dilution five times (</w:t>
      </w:r>
      <w:proofErr w:type="gramStart"/>
      <w:r>
        <w:t>i.e.</w:t>
      </w:r>
      <w:proofErr w:type="gramEnd"/>
      <w:r>
        <w:t xml:space="preserve"> 5x, 25x, 125x, 625x and 3125x dilutions). Place these overnight cultures in the orbital shaking incubator (</w:t>
      </w:r>
      <w:r w:rsidRPr="00F31858">
        <w:t>225rpm</w:t>
      </w:r>
      <w:r>
        <w:t>) overnight at 30</w:t>
      </w:r>
      <w:r>
        <w:rPr>
          <w:vertAlign w:val="superscript"/>
        </w:rPr>
        <w:t>o</w:t>
      </w:r>
      <w:r>
        <w:t xml:space="preserve">C. </w:t>
      </w:r>
      <w:r w:rsidRPr="001F25FF">
        <w:rPr>
          <w:b/>
          <w:bCs/>
        </w:rPr>
        <w:t>Begin and end process at the same time every day (1</w:t>
      </w:r>
      <w:r w:rsidR="001F25FF" w:rsidRPr="001F25FF">
        <w:rPr>
          <w:b/>
          <w:bCs/>
        </w:rPr>
        <w:t>1</w:t>
      </w:r>
      <w:r w:rsidRPr="001F25FF">
        <w:rPr>
          <w:b/>
          <w:bCs/>
        </w:rPr>
        <w:t>00, 1</w:t>
      </w:r>
      <w:r w:rsidR="001F25FF" w:rsidRPr="001F25FF">
        <w:rPr>
          <w:b/>
          <w:bCs/>
        </w:rPr>
        <w:t>300</w:t>
      </w:r>
      <w:r w:rsidRPr="001F25FF">
        <w:rPr>
          <w:b/>
          <w:bCs/>
        </w:rPr>
        <w:t xml:space="preserve">). </w:t>
      </w:r>
      <w:r>
        <w:t>By the following morning, I expect that one of the serial dilutions will be in log phase (between 0.4-0.6 OD) (x125). Use log phase overnight culture for subsequent experiments. To increase cover also perform x10, x20, x50, x75 and x100</w:t>
      </w:r>
      <w:r w:rsidR="00440935">
        <w:t xml:space="preserve"> dilutions</w:t>
      </w:r>
      <w:r>
        <w:t xml:space="preserve">. If an overnight culture isn’t within the 0.4-0.6 OD </w:t>
      </w:r>
      <w:r w:rsidR="00440935">
        <w:t>range,</w:t>
      </w:r>
      <w:r>
        <w:t xml:space="preserve"> then the experiment has to start again. </w:t>
      </w:r>
      <w:r w:rsidR="006A25EF" w:rsidRPr="006A25EF">
        <w:rPr>
          <w:b/>
          <w:bCs/>
        </w:rPr>
        <w:t>Label each tube with dilution factor and date</w:t>
      </w:r>
    </w:p>
    <w:p w14:paraId="04A98F2B" w14:textId="77777777" w:rsidR="00B06AF0" w:rsidRDefault="00B06AF0" w:rsidP="00AB0F9E">
      <w:pPr>
        <w:spacing w:line="360" w:lineRule="auto"/>
      </w:pPr>
    </w:p>
    <w:p w14:paraId="277F02E6" w14:textId="77544181" w:rsidR="00440935" w:rsidRDefault="00CB017A" w:rsidP="00AB0F9E">
      <w:pPr>
        <w:spacing w:line="360" w:lineRule="auto"/>
      </w:pPr>
      <w:r>
        <w:t xml:space="preserve">x1 = 10ml media + 2 colonies </w:t>
      </w:r>
    </w:p>
    <w:p w14:paraId="0E833684" w14:textId="02B2913F" w:rsidR="00CB017A" w:rsidRDefault="00CB017A" w:rsidP="00AB0F9E">
      <w:pPr>
        <w:spacing w:line="360" w:lineRule="auto"/>
      </w:pPr>
      <w:r>
        <w:t>x5 = 8ml media + 2ml x1</w:t>
      </w:r>
    </w:p>
    <w:p w14:paraId="2A13C0BE" w14:textId="5061A350" w:rsidR="00CB017A" w:rsidRDefault="00CB017A" w:rsidP="00AB0F9E">
      <w:pPr>
        <w:spacing w:line="360" w:lineRule="auto"/>
      </w:pPr>
      <w:r>
        <w:t>x10 = 2.5ml media + 2.5ml x5</w:t>
      </w:r>
    </w:p>
    <w:p w14:paraId="4CC31339" w14:textId="23EEE112" w:rsidR="00CB017A" w:rsidRDefault="00CB017A" w:rsidP="00AB0F9E">
      <w:pPr>
        <w:spacing w:line="360" w:lineRule="auto"/>
      </w:pPr>
      <w:r>
        <w:t>x20 = 3.75ml media + 1.25ml x5</w:t>
      </w:r>
    </w:p>
    <w:p w14:paraId="57CA0EB7" w14:textId="177AC23B" w:rsidR="00CB017A" w:rsidRDefault="00CB017A" w:rsidP="00AB0F9E">
      <w:pPr>
        <w:spacing w:line="360" w:lineRule="auto"/>
      </w:pPr>
      <w:r>
        <w:t>x25 = 8ml media + 2ml x5</w:t>
      </w:r>
    </w:p>
    <w:p w14:paraId="01A8E9FB" w14:textId="08CE1751" w:rsidR="00CB017A" w:rsidRDefault="00CB017A" w:rsidP="00AB0F9E">
      <w:pPr>
        <w:spacing w:line="360" w:lineRule="auto"/>
      </w:pPr>
      <w:r>
        <w:t>x50 = 2.5ml media + 2.5ml x25</w:t>
      </w:r>
    </w:p>
    <w:p w14:paraId="65614216" w14:textId="7FEC224A" w:rsidR="00CB017A" w:rsidRDefault="00CB017A" w:rsidP="00AB0F9E">
      <w:pPr>
        <w:spacing w:line="360" w:lineRule="auto"/>
      </w:pPr>
      <w:r>
        <w:lastRenderedPageBreak/>
        <w:t>x75 = 3.35ml media + 1.65ml x25</w:t>
      </w:r>
    </w:p>
    <w:p w14:paraId="5538AC95" w14:textId="13A77A06" w:rsidR="00CB017A" w:rsidRDefault="00CB017A" w:rsidP="00AB0F9E">
      <w:pPr>
        <w:spacing w:line="360" w:lineRule="auto"/>
      </w:pPr>
      <w:r>
        <w:t>x100 = 3.75ml media + 1.25ml x25</w:t>
      </w:r>
    </w:p>
    <w:p w14:paraId="3B1007B4" w14:textId="7524575B" w:rsidR="00CB017A" w:rsidRDefault="00CB017A" w:rsidP="00AB0F9E">
      <w:pPr>
        <w:spacing w:line="360" w:lineRule="auto"/>
      </w:pPr>
      <w:r>
        <w:t>x125 = 4ml media + 1ml x25</w:t>
      </w:r>
    </w:p>
    <w:p w14:paraId="08649E4C" w14:textId="5B7A0895" w:rsidR="001B761D" w:rsidRDefault="001B761D" w:rsidP="001F25FF">
      <w:pPr>
        <w:spacing w:line="360" w:lineRule="auto"/>
      </w:pPr>
    </w:p>
    <w:p w14:paraId="140629C2" w14:textId="77777777" w:rsidR="00081FAB" w:rsidRDefault="00081FAB" w:rsidP="00081FAB">
      <w:pPr>
        <w:spacing w:line="360" w:lineRule="auto"/>
      </w:pPr>
      <w:r>
        <w:t xml:space="preserve">Dilute this overnight culture down to 4ml 0.05 OD solution. </w:t>
      </w:r>
    </w:p>
    <w:p w14:paraId="73A820FB" w14:textId="77777777" w:rsidR="00081FAB" w:rsidRDefault="00081FAB" w:rsidP="00065CAE">
      <w:pPr>
        <w:spacing w:line="360" w:lineRule="auto"/>
        <w:ind w:left="720" w:hanging="720"/>
      </w:pPr>
    </w:p>
    <w:p w14:paraId="7EBC31F4" w14:textId="72B44269" w:rsidR="001F25FF" w:rsidRDefault="001F25FF" w:rsidP="001F25FF">
      <w:pPr>
        <w:spacing w:line="360" w:lineRule="auto"/>
        <w:rPr>
          <w:u w:val="single"/>
        </w:rPr>
      </w:pPr>
      <w:r w:rsidRPr="00B5630A">
        <w:rPr>
          <w:u w:val="single"/>
        </w:rPr>
        <w:t>Insecticide Assay</w:t>
      </w:r>
    </w:p>
    <w:p w14:paraId="14D55D79" w14:textId="77777777" w:rsidR="001F25FF" w:rsidRDefault="001F25FF" w:rsidP="001F25FF">
      <w:pPr>
        <w:pStyle w:val="ListParagraph"/>
        <w:numPr>
          <w:ilvl w:val="0"/>
          <w:numId w:val="3"/>
        </w:numPr>
      </w:pPr>
      <w:r>
        <w:t xml:space="preserve">Final Well Volume = 200µl </w:t>
      </w:r>
    </w:p>
    <w:p w14:paraId="586F99F0" w14:textId="77777777" w:rsidR="001F25FF" w:rsidRDefault="001F25FF" w:rsidP="001F25FF"/>
    <w:p w14:paraId="4C7161C1" w14:textId="006D977D" w:rsidR="001F25FF" w:rsidRDefault="001F25FF" w:rsidP="001F25FF">
      <w:pPr>
        <w:pStyle w:val="ListParagraph"/>
        <w:numPr>
          <w:ilvl w:val="0"/>
          <w:numId w:val="3"/>
        </w:numPr>
      </w:pPr>
      <w:r>
        <w:t>Plate reader settings: 30</w:t>
      </w:r>
      <w:r w:rsidRPr="00B5630A">
        <w:t>°</w:t>
      </w:r>
      <w:r>
        <w:t>C Number of cycles = 193, number of flashes per well and cycle = 22, cycle time = 300s, shaking options = double orbital, 200rpm, 272s, before each cycle.</w:t>
      </w:r>
    </w:p>
    <w:p w14:paraId="0635497F" w14:textId="77777777" w:rsidR="00AF44B1" w:rsidRDefault="00AF44B1" w:rsidP="00AF44B1">
      <w:pPr>
        <w:pStyle w:val="ListParagraph"/>
      </w:pPr>
    </w:p>
    <w:p w14:paraId="07594193" w14:textId="1E3412F4" w:rsidR="00AF44B1" w:rsidRDefault="00AF44B1" w:rsidP="001F25FF">
      <w:pPr>
        <w:pStyle w:val="ListParagraph"/>
        <w:numPr>
          <w:ilvl w:val="0"/>
          <w:numId w:val="3"/>
        </w:numPr>
      </w:pPr>
      <w:r>
        <w:t>Pipetting performed in sterile hood.</w:t>
      </w:r>
    </w:p>
    <w:p w14:paraId="34C01396" w14:textId="77777777" w:rsidR="001F25FF" w:rsidRDefault="001F25FF" w:rsidP="001F25FF">
      <w:pPr>
        <w:pStyle w:val="ListParagraph"/>
      </w:pPr>
    </w:p>
    <w:p w14:paraId="47BC3F9A" w14:textId="77777777" w:rsidR="001F25FF" w:rsidRDefault="001F25FF" w:rsidP="001F25FF">
      <w:pPr>
        <w:pStyle w:val="ListParagraph"/>
        <w:numPr>
          <w:ilvl w:val="0"/>
          <w:numId w:val="3"/>
        </w:numPr>
      </w:pPr>
      <w:r>
        <w:t xml:space="preserve">Create </w:t>
      </w:r>
      <w:r w:rsidRPr="009A7D92">
        <w:rPr>
          <w:b/>
          <w:bCs/>
        </w:rPr>
        <w:t>4ml</w:t>
      </w:r>
      <w:r>
        <w:t xml:space="preserve"> 0.05 OD yeast culture stock and dilute down to final theoretical 0.01 OD. </w:t>
      </w:r>
    </w:p>
    <w:p w14:paraId="1BE0D62F" w14:textId="77777777" w:rsidR="001F25FF" w:rsidRDefault="001F25FF" w:rsidP="001F25FF">
      <w:pPr>
        <w:pStyle w:val="ListParagraph"/>
      </w:pPr>
    </w:p>
    <w:p w14:paraId="1B857762" w14:textId="16567B11" w:rsidR="001F25FF" w:rsidRDefault="001F25FF" w:rsidP="001F25FF">
      <w:pPr>
        <w:pStyle w:val="ListParagraph"/>
        <w:numPr>
          <w:ilvl w:val="0"/>
          <w:numId w:val="3"/>
        </w:numPr>
      </w:pPr>
      <w:r>
        <w:t>2% final DMSO concentration for all wells.</w:t>
      </w:r>
    </w:p>
    <w:p w14:paraId="6A41A7D1" w14:textId="77777777" w:rsidR="001F25FF" w:rsidRDefault="001F25FF" w:rsidP="001F25FF">
      <w:pPr>
        <w:pStyle w:val="ListParagraph"/>
      </w:pPr>
    </w:p>
    <w:p w14:paraId="73CFE61F" w14:textId="77777777" w:rsidR="001F25FF" w:rsidRDefault="001F25FF" w:rsidP="001F25FF">
      <w:pPr>
        <w:pStyle w:val="ListParagraph"/>
        <w:numPr>
          <w:ilvl w:val="0"/>
          <w:numId w:val="3"/>
        </w:numPr>
      </w:pPr>
      <w:r>
        <w:t xml:space="preserve">P200 and P20 pipette. </w:t>
      </w:r>
    </w:p>
    <w:p w14:paraId="70E59C7A" w14:textId="77777777" w:rsidR="001F25FF" w:rsidRDefault="001F25FF" w:rsidP="004C2B68"/>
    <w:p w14:paraId="33B0F86C" w14:textId="08D4989B" w:rsidR="001F25FF" w:rsidRDefault="004C2B68" w:rsidP="001F25FF">
      <w:pPr>
        <w:pStyle w:val="ListParagraph"/>
        <w:numPr>
          <w:ilvl w:val="0"/>
          <w:numId w:val="3"/>
        </w:numPr>
      </w:pPr>
      <w:r>
        <w:t>10 replicates</w:t>
      </w:r>
      <w:r w:rsidR="001F25FF">
        <w:t>.</w:t>
      </w:r>
      <w:r>
        <w:t xml:space="preserve"> Two from each day.</w:t>
      </w:r>
      <w:r w:rsidR="001F25FF">
        <w:t xml:space="preserve"> </w:t>
      </w:r>
    </w:p>
    <w:p w14:paraId="273703B4" w14:textId="77777777" w:rsidR="001F25FF" w:rsidRDefault="001F25FF" w:rsidP="001F25FF">
      <w:pPr>
        <w:pStyle w:val="ListParagraph"/>
      </w:pPr>
    </w:p>
    <w:p w14:paraId="0495DA46" w14:textId="54672497" w:rsidR="001F25FF" w:rsidRDefault="004C2B68" w:rsidP="001F25FF">
      <w:pPr>
        <w:pStyle w:val="ListParagraph"/>
        <w:numPr>
          <w:ilvl w:val="0"/>
          <w:numId w:val="3"/>
        </w:numPr>
      </w:pPr>
      <w:r>
        <w:t xml:space="preserve">5 insecticides and two controls. One row per treatment (+ blank). Randomised within row. </w:t>
      </w:r>
    </w:p>
    <w:p w14:paraId="03E366A8" w14:textId="77777777" w:rsidR="001F25FF" w:rsidRDefault="001F25FF" w:rsidP="001F25FF">
      <w:pPr>
        <w:pStyle w:val="ListParagraph"/>
      </w:pPr>
    </w:p>
    <w:p w14:paraId="45E5E97D" w14:textId="7B89BF81" w:rsidR="001F25FF" w:rsidRDefault="001F25FF" w:rsidP="001F25FF">
      <w:pPr>
        <w:pStyle w:val="ListParagraph"/>
        <w:numPr>
          <w:ilvl w:val="0"/>
          <w:numId w:val="3"/>
        </w:numPr>
      </w:pPr>
      <w:r>
        <w:t xml:space="preserve">Use a heated Eppendorf block when creating stock solutions to combat solubility issue with Thiacloprid. Add the media, allow to heat up then add the </w:t>
      </w:r>
      <w:r w:rsidR="00EE7A29">
        <w:t xml:space="preserve">master </w:t>
      </w:r>
      <w:r>
        <w:t xml:space="preserve">stock solution. Hopefully will prevent precipitation. </w:t>
      </w:r>
    </w:p>
    <w:p w14:paraId="203B2B91" w14:textId="77777777" w:rsidR="001F25FF" w:rsidRDefault="001F25FF" w:rsidP="001F25FF">
      <w:pPr>
        <w:pStyle w:val="ListParagraph"/>
      </w:pPr>
    </w:p>
    <w:p w14:paraId="19031446" w14:textId="6BF163B9" w:rsidR="001F25FF" w:rsidRDefault="001F25FF" w:rsidP="001F25FF">
      <w:pPr>
        <w:pStyle w:val="ListParagraph"/>
        <w:numPr>
          <w:ilvl w:val="0"/>
          <w:numId w:val="3"/>
        </w:numPr>
      </w:pPr>
      <w:r>
        <w:t xml:space="preserve">Slide master stocks down the side of the </w:t>
      </w:r>
      <w:r w:rsidR="00D34119">
        <w:t>Eppendorf (should do this anyway)</w:t>
      </w:r>
      <w:r>
        <w:t xml:space="preserve">. Aids dissolution. </w:t>
      </w:r>
    </w:p>
    <w:p w14:paraId="262D768E" w14:textId="77777777" w:rsidR="001F25FF" w:rsidRDefault="001F25FF" w:rsidP="001F25FF">
      <w:pPr>
        <w:pStyle w:val="ListParagraph"/>
      </w:pPr>
    </w:p>
    <w:p w14:paraId="3929F71C" w14:textId="59485721" w:rsidR="001F25FF" w:rsidRDefault="001F25FF" w:rsidP="001F25FF">
      <w:pPr>
        <w:pStyle w:val="ListParagraph"/>
        <w:numPr>
          <w:ilvl w:val="0"/>
          <w:numId w:val="3"/>
        </w:numPr>
      </w:pPr>
      <w:r>
        <w:t xml:space="preserve">Create plates as usual. Before adding 0.05 yeast OD stock, put plate </w:t>
      </w:r>
      <w:r w:rsidR="00CF44B4">
        <w:t>on Eppendorf block</w:t>
      </w:r>
      <w:r>
        <w:t xml:space="preserve"> for 15 minutes to allow it to heat up to 30</w:t>
      </w:r>
      <w:r w:rsidRPr="00B5630A">
        <w:t>°</w:t>
      </w:r>
      <w:r>
        <w:t xml:space="preserve">C and mix. Whilst this is going on get the yeast out of the orbital shaker and dilute down to 0.05 OD. </w:t>
      </w:r>
      <w:r w:rsidRPr="004C2B68">
        <w:rPr>
          <w:b/>
          <w:bCs/>
        </w:rPr>
        <w:t xml:space="preserve">Keep a culture tube of media in the shaker too so also at 30°C.  </w:t>
      </w:r>
    </w:p>
    <w:p w14:paraId="784C9A38" w14:textId="77777777" w:rsidR="001F25FF" w:rsidRDefault="001F25FF" w:rsidP="004C2B68"/>
    <w:p w14:paraId="2DC54FBB" w14:textId="6BBC4DAF" w:rsidR="001F25FF" w:rsidRDefault="001F25FF" w:rsidP="001F25FF">
      <w:pPr>
        <w:pStyle w:val="ListParagraph"/>
        <w:numPr>
          <w:ilvl w:val="0"/>
          <w:numId w:val="3"/>
        </w:numPr>
      </w:pPr>
      <w:r>
        <w:t>Heat master solutions to 37</w:t>
      </w:r>
      <w:r w:rsidRPr="00B5630A">
        <w:t>°</w:t>
      </w:r>
      <w:r>
        <w:t xml:space="preserve">C </w:t>
      </w:r>
      <w:r w:rsidR="004C2B68">
        <w:t>(</w:t>
      </w:r>
      <w:r w:rsidR="00FA4CF5">
        <w:t>incubator</w:t>
      </w:r>
      <w:r w:rsidR="004C2B68">
        <w:t xml:space="preserve">) </w:t>
      </w:r>
      <w:r>
        <w:t xml:space="preserve">before making working solutions. </w:t>
      </w:r>
    </w:p>
    <w:p w14:paraId="0590764E" w14:textId="77777777" w:rsidR="001F25FF" w:rsidRDefault="001F25FF" w:rsidP="001F25FF">
      <w:pPr>
        <w:pStyle w:val="ListParagraph"/>
      </w:pPr>
    </w:p>
    <w:p w14:paraId="121738C0" w14:textId="34922BFA" w:rsidR="001F25FF" w:rsidRDefault="001F25FF" w:rsidP="001F25FF">
      <w:pPr>
        <w:pStyle w:val="ListParagraph"/>
        <w:numPr>
          <w:ilvl w:val="0"/>
          <w:numId w:val="3"/>
        </w:numPr>
      </w:pPr>
      <w:r>
        <w:t xml:space="preserve">Use multichannel to add 0.05OD yeast. </w:t>
      </w:r>
      <w:r w:rsidR="004C2B68">
        <w:t>Practice with this.</w:t>
      </w:r>
    </w:p>
    <w:p w14:paraId="4B6A1C21" w14:textId="77777777" w:rsidR="001F25FF" w:rsidRDefault="001F25FF" w:rsidP="004C2B68"/>
    <w:p w14:paraId="40C5EDDD" w14:textId="2C63F7AE" w:rsidR="001F25FF" w:rsidRPr="00C6005F" w:rsidRDefault="001F25FF" w:rsidP="001F25FF">
      <w:pPr>
        <w:pStyle w:val="ListParagraph"/>
        <w:numPr>
          <w:ilvl w:val="0"/>
          <w:numId w:val="3"/>
        </w:numPr>
      </w:pPr>
      <w:r>
        <w:t xml:space="preserve">Make stock solutions </w:t>
      </w:r>
      <w:r w:rsidRPr="00ED51E8">
        <w:rPr>
          <w:b/>
          <w:bCs/>
        </w:rPr>
        <w:t>first</w:t>
      </w:r>
      <w:r w:rsidR="004C2B68">
        <w:t xml:space="preserve">, then DMSO, then yeast culture </w:t>
      </w:r>
      <w:r w:rsidR="004C2B68" w:rsidRPr="004C2B68">
        <w:rPr>
          <w:b/>
          <w:bCs/>
        </w:rPr>
        <w:t>last</w:t>
      </w:r>
      <w:r w:rsidR="004C2B68">
        <w:t>.</w:t>
      </w:r>
    </w:p>
    <w:p w14:paraId="179ADD4D" w14:textId="77777777" w:rsidR="00AF44B1" w:rsidRDefault="00AF44B1" w:rsidP="00253EC1"/>
    <w:p w14:paraId="15AE5B16" w14:textId="1B15128C" w:rsidR="004C2B68" w:rsidRDefault="00AF44B1" w:rsidP="00F00014">
      <w:pPr>
        <w:pStyle w:val="ListParagraph"/>
        <w:numPr>
          <w:ilvl w:val="0"/>
          <w:numId w:val="3"/>
        </w:numPr>
      </w:pPr>
      <w:r>
        <w:t>When collecting results, check 3 random wells for contamination</w:t>
      </w:r>
      <w:r w:rsidR="00926A24">
        <w:t xml:space="preserve"> (microscope in Thorpe lab)</w:t>
      </w:r>
      <w:r>
        <w:t xml:space="preserve">. </w:t>
      </w:r>
      <w:r w:rsidR="00106987">
        <w:t xml:space="preserve">Blanks also show this but better to be safe. </w:t>
      </w:r>
    </w:p>
    <w:p w14:paraId="37EA576E" w14:textId="77777777" w:rsidR="00F00014" w:rsidRDefault="00F00014" w:rsidP="00F00014">
      <w:pPr>
        <w:pStyle w:val="ListParagraph"/>
      </w:pPr>
    </w:p>
    <w:p w14:paraId="37399A89" w14:textId="77777777" w:rsidR="00F00014" w:rsidRDefault="00F00014" w:rsidP="00F00014"/>
    <w:p w14:paraId="4FF8371C" w14:textId="77777777" w:rsidR="00B06AF0" w:rsidRDefault="00B06AF0" w:rsidP="004C2B68">
      <w:pPr>
        <w:spacing w:line="360" w:lineRule="auto"/>
        <w:rPr>
          <w:u w:val="single"/>
        </w:rPr>
      </w:pPr>
    </w:p>
    <w:p w14:paraId="0B065575" w14:textId="77777777" w:rsidR="00B06AF0" w:rsidRDefault="00B06AF0" w:rsidP="004C2B68">
      <w:pPr>
        <w:spacing w:line="360" w:lineRule="auto"/>
        <w:rPr>
          <w:u w:val="single"/>
        </w:rPr>
      </w:pPr>
    </w:p>
    <w:p w14:paraId="69295A00" w14:textId="77777777" w:rsidR="00253EC1" w:rsidRDefault="00253EC1" w:rsidP="004C2B68">
      <w:pPr>
        <w:spacing w:line="360" w:lineRule="auto"/>
        <w:rPr>
          <w:u w:val="single"/>
        </w:rPr>
      </w:pPr>
    </w:p>
    <w:p w14:paraId="6741F88A" w14:textId="726EB2B9" w:rsidR="004C2B68" w:rsidRDefault="004C2B68" w:rsidP="004C2B68">
      <w:pPr>
        <w:spacing w:line="360" w:lineRule="auto"/>
        <w:rPr>
          <w:u w:val="single"/>
        </w:rPr>
      </w:pPr>
      <w:r w:rsidRPr="003B4132">
        <w:rPr>
          <w:u w:val="single"/>
        </w:rPr>
        <w:t>Plate Design</w:t>
      </w:r>
    </w:p>
    <w:p w14:paraId="15DB6AA3" w14:textId="2200F427" w:rsidR="00F00014" w:rsidRDefault="004C2B68" w:rsidP="00F00014">
      <w:pPr>
        <w:spacing w:line="360" w:lineRule="auto"/>
      </w:pPr>
      <w:r>
        <w:t xml:space="preserve">Each row on the plate will be assigned a treatment (or blanks). The row allocation will be randomised so the treatments can’t be allocated to the same row twice on different days. Within a row there will be two replicates from each of the six concentrations per day (10 replicates in total). These will be randomised. </w:t>
      </w:r>
    </w:p>
    <w:p w14:paraId="19A33FC2" w14:textId="77777777" w:rsidR="00041FD7" w:rsidRPr="001F25FF" w:rsidRDefault="00041FD7" w:rsidP="00F00014">
      <w:pPr>
        <w:spacing w:line="360" w:lineRule="auto"/>
      </w:pPr>
    </w:p>
    <w:p w14:paraId="0E35C77B" w14:textId="53250727" w:rsidR="00CB017A" w:rsidRPr="004C2B68" w:rsidRDefault="004C2B68" w:rsidP="00AB0F9E">
      <w:pPr>
        <w:spacing w:line="360" w:lineRule="auto"/>
        <w:rPr>
          <w:u w:val="single"/>
        </w:rPr>
      </w:pPr>
      <w:r w:rsidRPr="004C2B68">
        <w:rPr>
          <w:u w:val="single"/>
        </w:rPr>
        <w:t>Stock Solution</w:t>
      </w:r>
    </w:p>
    <w:p w14:paraId="1384FA6C" w14:textId="77777777" w:rsidR="002100F4" w:rsidRPr="00A32CBD" w:rsidRDefault="002100F4" w:rsidP="00B06AF0">
      <w:pPr>
        <w:pStyle w:val="ListParagraph"/>
        <w:numPr>
          <w:ilvl w:val="0"/>
          <w:numId w:val="5"/>
        </w:numPr>
        <w:spacing w:line="360" w:lineRule="auto"/>
        <w:rPr>
          <w:highlight w:val="yellow"/>
        </w:rPr>
      </w:pPr>
      <w:r w:rsidRPr="00A32CBD">
        <w:rPr>
          <w:b/>
          <w:bCs/>
          <w:highlight w:val="yellow"/>
        </w:rPr>
        <w:t>Make 700µl of 20mM stock solution</w:t>
      </w:r>
      <w:r w:rsidRPr="00A32CBD">
        <w:rPr>
          <w:highlight w:val="yellow"/>
        </w:rPr>
        <w:t xml:space="preserve"> from 500mM stock solution: </w:t>
      </w:r>
    </w:p>
    <w:p w14:paraId="38CF1C3F" w14:textId="7865945C" w:rsidR="00F00014" w:rsidRPr="00A32CBD" w:rsidRDefault="002100F4" w:rsidP="00AB0F9E">
      <w:pPr>
        <w:pStyle w:val="ListParagraph"/>
        <w:numPr>
          <w:ilvl w:val="1"/>
          <w:numId w:val="5"/>
        </w:numPr>
        <w:spacing w:line="360" w:lineRule="auto"/>
        <w:rPr>
          <w:highlight w:val="yellow"/>
        </w:rPr>
      </w:pPr>
      <w:r w:rsidRPr="00A32CBD">
        <w:rPr>
          <w:highlight w:val="yellow"/>
        </w:rPr>
        <w:t>28µl 500mM stock solution + 672µl media</w:t>
      </w:r>
      <w:r w:rsidR="00A32CBD" w:rsidRPr="00A32CBD">
        <w:t>.</w:t>
      </w:r>
      <w:r w:rsidR="00A32CBD">
        <w:t xml:space="preserve"> </w:t>
      </w:r>
      <w:r w:rsidR="00A32CBD">
        <w:rPr>
          <w:b/>
          <w:bCs/>
        </w:rPr>
        <w:t>No! Precipitates out when added to media for Thiacloprid and Imidacloprid. Thiacloprid precipitating out at 10mM now too!</w:t>
      </w:r>
    </w:p>
    <w:p w14:paraId="247BA1D5" w14:textId="66D37B51" w:rsidR="004C2B68" w:rsidRDefault="004C2B68" w:rsidP="00AB0F9E">
      <w:pPr>
        <w:spacing w:line="360" w:lineRule="auto"/>
        <w:rPr>
          <w:u w:val="single"/>
        </w:rPr>
      </w:pPr>
      <w:r w:rsidRPr="004C2B68">
        <w:rPr>
          <w:u w:val="single"/>
        </w:rPr>
        <w:t>Well Construction</w:t>
      </w:r>
    </w:p>
    <w:p w14:paraId="66A505B4" w14:textId="77777777" w:rsidR="001732B1" w:rsidRPr="00B06AF0" w:rsidRDefault="002100F4" w:rsidP="00B06AF0">
      <w:pPr>
        <w:pStyle w:val="ListParagraph"/>
        <w:numPr>
          <w:ilvl w:val="0"/>
          <w:numId w:val="4"/>
        </w:numPr>
        <w:spacing w:line="360" w:lineRule="auto"/>
        <w:rPr>
          <w:b/>
          <w:bCs/>
        </w:rPr>
      </w:pPr>
      <w:r w:rsidRPr="00B06AF0">
        <w:rPr>
          <w:b/>
          <w:bCs/>
        </w:rPr>
        <w:t xml:space="preserve">10mM final well concentration: </w:t>
      </w:r>
    </w:p>
    <w:p w14:paraId="7C78359C" w14:textId="0D09120C" w:rsidR="002100F4" w:rsidRPr="00B06AF0" w:rsidRDefault="002100F4" w:rsidP="00B06AF0">
      <w:pPr>
        <w:pStyle w:val="ListParagraph"/>
        <w:numPr>
          <w:ilvl w:val="1"/>
          <w:numId w:val="4"/>
        </w:numPr>
        <w:spacing w:line="360" w:lineRule="auto"/>
      </w:pPr>
      <w:r>
        <w:t>100µl 20mM stock solution + 60µl media + 40µl yeast</w:t>
      </w:r>
    </w:p>
    <w:p w14:paraId="097A591A" w14:textId="77777777" w:rsidR="001732B1" w:rsidRPr="00B06AF0" w:rsidRDefault="002100F4" w:rsidP="00B06AF0">
      <w:pPr>
        <w:pStyle w:val="ListParagraph"/>
        <w:numPr>
          <w:ilvl w:val="0"/>
          <w:numId w:val="4"/>
        </w:numPr>
        <w:spacing w:line="360" w:lineRule="auto"/>
        <w:rPr>
          <w:b/>
          <w:bCs/>
        </w:rPr>
      </w:pPr>
      <w:r w:rsidRPr="00B06AF0">
        <w:rPr>
          <w:b/>
          <w:bCs/>
        </w:rPr>
        <w:t xml:space="preserve">8mM final well concentration: </w:t>
      </w:r>
    </w:p>
    <w:p w14:paraId="415FFEFD" w14:textId="3005FC1D" w:rsidR="002100F4" w:rsidRPr="00B06AF0" w:rsidRDefault="001732B1" w:rsidP="00B06AF0">
      <w:pPr>
        <w:pStyle w:val="ListParagraph"/>
        <w:numPr>
          <w:ilvl w:val="1"/>
          <w:numId w:val="4"/>
        </w:numPr>
        <w:spacing w:line="360" w:lineRule="auto"/>
      </w:pPr>
      <w:r>
        <w:t>80µl 20mM stock solution + 0.8µl DMSO + 79.2µl media + 40µl yeast</w:t>
      </w:r>
    </w:p>
    <w:p w14:paraId="388DF226" w14:textId="35B8E0CF" w:rsidR="002100F4" w:rsidRPr="00B06AF0" w:rsidRDefault="002100F4" w:rsidP="00B06AF0">
      <w:pPr>
        <w:pStyle w:val="ListParagraph"/>
        <w:numPr>
          <w:ilvl w:val="0"/>
          <w:numId w:val="4"/>
        </w:numPr>
        <w:spacing w:line="360" w:lineRule="auto"/>
        <w:rPr>
          <w:b/>
          <w:bCs/>
        </w:rPr>
      </w:pPr>
      <w:r w:rsidRPr="00B06AF0">
        <w:rPr>
          <w:b/>
          <w:bCs/>
        </w:rPr>
        <w:t>6mM final well concentration:</w:t>
      </w:r>
    </w:p>
    <w:p w14:paraId="35B89995" w14:textId="70A5C418" w:rsidR="002100F4" w:rsidRPr="00B06AF0" w:rsidRDefault="001732B1" w:rsidP="00B06AF0">
      <w:pPr>
        <w:pStyle w:val="ListParagraph"/>
        <w:numPr>
          <w:ilvl w:val="1"/>
          <w:numId w:val="4"/>
        </w:numPr>
        <w:spacing w:line="360" w:lineRule="auto"/>
      </w:pPr>
      <w:r>
        <w:t>60µl 20mM stock solution + 1.6µl DMSO + 98.4 µl media + 40µl yeast</w:t>
      </w:r>
    </w:p>
    <w:p w14:paraId="4EC2E7CC" w14:textId="1A9ED45D" w:rsidR="002100F4" w:rsidRPr="00B06AF0" w:rsidRDefault="002100F4" w:rsidP="00B06AF0">
      <w:pPr>
        <w:pStyle w:val="ListParagraph"/>
        <w:numPr>
          <w:ilvl w:val="0"/>
          <w:numId w:val="4"/>
        </w:numPr>
        <w:spacing w:line="360" w:lineRule="auto"/>
        <w:rPr>
          <w:b/>
          <w:bCs/>
        </w:rPr>
      </w:pPr>
      <w:r w:rsidRPr="00B06AF0">
        <w:rPr>
          <w:b/>
          <w:bCs/>
        </w:rPr>
        <w:t>4mM final well concentration:</w:t>
      </w:r>
    </w:p>
    <w:p w14:paraId="29A1204D" w14:textId="2786CCB3" w:rsidR="0032056E" w:rsidRPr="00B06AF0" w:rsidRDefault="001732B1" w:rsidP="00B06AF0">
      <w:pPr>
        <w:pStyle w:val="ListParagraph"/>
        <w:numPr>
          <w:ilvl w:val="1"/>
          <w:numId w:val="4"/>
        </w:numPr>
        <w:spacing w:line="360" w:lineRule="auto"/>
      </w:pPr>
      <w:r>
        <w:t>40µl 20mM stock solution + 2.4µl DMSO + 117.6µl media + 40µl yeast</w:t>
      </w:r>
    </w:p>
    <w:p w14:paraId="5852E98B" w14:textId="5A45B5DF" w:rsidR="002100F4" w:rsidRPr="00B06AF0" w:rsidRDefault="002100F4" w:rsidP="00B06AF0">
      <w:pPr>
        <w:pStyle w:val="ListParagraph"/>
        <w:numPr>
          <w:ilvl w:val="0"/>
          <w:numId w:val="4"/>
        </w:numPr>
        <w:spacing w:line="360" w:lineRule="auto"/>
        <w:rPr>
          <w:b/>
          <w:bCs/>
        </w:rPr>
      </w:pPr>
      <w:r w:rsidRPr="00B06AF0">
        <w:rPr>
          <w:b/>
          <w:bCs/>
        </w:rPr>
        <w:t>2mM final well concentration:</w:t>
      </w:r>
    </w:p>
    <w:p w14:paraId="12243A33" w14:textId="756619B4" w:rsidR="0032056E" w:rsidRDefault="0032056E" w:rsidP="00B06AF0">
      <w:pPr>
        <w:pStyle w:val="ListParagraph"/>
        <w:numPr>
          <w:ilvl w:val="1"/>
          <w:numId w:val="4"/>
        </w:numPr>
        <w:spacing w:line="360" w:lineRule="auto"/>
      </w:pPr>
      <w:r>
        <w:t>20µl 20mM stock solution + 3.2µl DMSO + 136.8µl media + 40µl yeast</w:t>
      </w:r>
    </w:p>
    <w:p w14:paraId="547CA0D8" w14:textId="3F5F0DCB" w:rsidR="002100F4" w:rsidRPr="00B06AF0" w:rsidRDefault="002100F4" w:rsidP="00B06AF0">
      <w:pPr>
        <w:pStyle w:val="ListParagraph"/>
        <w:numPr>
          <w:ilvl w:val="0"/>
          <w:numId w:val="4"/>
        </w:numPr>
        <w:spacing w:line="360" w:lineRule="auto"/>
        <w:rPr>
          <w:b/>
          <w:bCs/>
        </w:rPr>
      </w:pPr>
      <w:r w:rsidRPr="00B06AF0">
        <w:rPr>
          <w:b/>
          <w:bCs/>
        </w:rPr>
        <w:t>0mM final well concentration:</w:t>
      </w:r>
    </w:p>
    <w:p w14:paraId="3307ED68" w14:textId="68F50E11" w:rsidR="0032056E" w:rsidRDefault="0032056E" w:rsidP="00B06AF0">
      <w:pPr>
        <w:pStyle w:val="ListParagraph"/>
        <w:numPr>
          <w:ilvl w:val="1"/>
          <w:numId w:val="4"/>
        </w:numPr>
        <w:spacing w:line="360" w:lineRule="auto"/>
      </w:pPr>
      <w:r>
        <w:t>4µl DMSO + 156µl media + 40µl yeast stock</w:t>
      </w:r>
    </w:p>
    <w:p w14:paraId="2738404C" w14:textId="3CA10029" w:rsidR="002100F4" w:rsidRPr="00B06AF0" w:rsidRDefault="002100F4" w:rsidP="00B06AF0">
      <w:pPr>
        <w:pStyle w:val="ListParagraph"/>
        <w:numPr>
          <w:ilvl w:val="0"/>
          <w:numId w:val="4"/>
        </w:numPr>
        <w:spacing w:line="360" w:lineRule="auto"/>
        <w:rPr>
          <w:b/>
          <w:bCs/>
        </w:rPr>
      </w:pPr>
      <w:r w:rsidRPr="00B06AF0">
        <w:rPr>
          <w:b/>
          <w:bCs/>
        </w:rPr>
        <w:t>control + solvent:</w:t>
      </w:r>
    </w:p>
    <w:p w14:paraId="41533F36" w14:textId="1C298FCC" w:rsidR="002100F4" w:rsidRDefault="0032056E" w:rsidP="00B06AF0">
      <w:pPr>
        <w:pStyle w:val="ListParagraph"/>
        <w:numPr>
          <w:ilvl w:val="1"/>
          <w:numId w:val="4"/>
        </w:numPr>
        <w:spacing w:line="360" w:lineRule="auto"/>
      </w:pPr>
      <w:r>
        <w:lastRenderedPageBreak/>
        <w:t>4µl DMSO + 156µl media + 40µl yeast stock</w:t>
      </w:r>
    </w:p>
    <w:p w14:paraId="4D56EA13" w14:textId="37E1DE5A" w:rsidR="002100F4" w:rsidRPr="00B06AF0" w:rsidRDefault="002100F4" w:rsidP="00B06AF0">
      <w:pPr>
        <w:pStyle w:val="ListParagraph"/>
        <w:numPr>
          <w:ilvl w:val="0"/>
          <w:numId w:val="4"/>
        </w:numPr>
        <w:spacing w:line="360" w:lineRule="auto"/>
        <w:rPr>
          <w:b/>
          <w:bCs/>
        </w:rPr>
      </w:pPr>
      <w:r w:rsidRPr="00B06AF0">
        <w:rPr>
          <w:b/>
          <w:bCs/>
        </w:rPr>
        <w:t>control:</w:t>
      </w:r>
    </w:p>
    <w:p w14:paraId="6F1BF8C9" w14:textId="017E54FD" w:rsidR="002100F4" w:rsidRDefault="0032056E" w:rsidP="00B06AF0">
      <w:pPr>
        <w:pStyle w:val="ListParagraph"/>
        <w:numPr>
          <w:ilvl w:val="1"/>
          <w:numId w:val="4"/>
        </w:numPr>
        <w:spacing w:line="360" w:lineRule="auto"/>
      </w:pPr>
      <w:r>
        <w:t>160µl media + 40µl yeast stock</w:t>
      </w:r>
    </w:p>
    <w:p w14:paraId="47709EF1" w14:textId="77777777" w:rsidR="001B761D" w:rsidRPr="00B06AF0" w:rsidRDefault="002100F4" w:rsidP="00B06AF0">
      <w:pPr>
        <w:pStyle w:val="ListParagraph"/>
        <w:numPr>
          <w:ilvl w:val="0"/>
          <w:numId w:val="4"/>
        </w:numPr>
        <w:spacing w:line="360" w:lineRule="auto"/>
        <w:rPr>
          <w:b/>
          <w:bCs/>
        </w:rPr>
      </w:pPr>
      <w:r w:rsidRPr="00B06AF0">
        <w:rPr>
          <w:b/>
          <w:bCs/>
        </w:rPr>
        <w:t>blank:</w:t>
      </w:r>
    </w:p>
    <w:p w14:paraId="49B54AE8" w14:textId="6B30BA86" w:rsidR="002100F4" w:rsidRDefault="002100F4" w:rsidP="00B06AF0">
      <w:pPr>
        <w:pStyle w:val="ListParagraph"/>
        <w:numPr>
          <w:ilvl w:val="1"/>
          <w:numId w:val="4"/>
        </w:numPr>
        <w:spacing w:line="360" w:lineRule="auto"/>
      </w:pPr>
      <w:r>
        <w:t>200µl media</w:t>
      </w:r>
    </w:p>
    <w:p w14:paraId="7C358142" w14:textId="77777777" w:rsidR="002100F4" w:rsidRDefault="002100F4" w:rsidP="00AB0F9E">
      <w:pPr>
        <w:spacing w:line="360" w:lineRule="auto"/>
      </w:pPr>
    </w:p>
    <w:p w14:paraId="535FB4EB" w14:textId="77777777" w:rsidR="00041FD7" w:rsidRDefault="00041FD7" w:rsidP="00AB0F9E">
      <w:pPr>
        <w:spacing w:line="360" w:lineRule="auto"/>
      </w:pPr>
    </w:p>
    <w:p w14:paraId="2EA831C2" w14:textId="26D1A2CF" w:rsidR="00CB017A" w:rsidRDefault="006A25EF" w:rsidP="00AB0F9E">
      <w:pPr>
        <w:spacing w:line="360" w:lineRule="auto"/>
        <w:rPr>
          <w:u w:val="single"/>
        </w:rPr>
      </w:pPr>
      <w:r w:rsidRPr="006A25EF">
        <w:rPr>
          <w:u w:val="single"/>
        </w:rPr>
        <w:t>Correct Pipetting Technique</w:t>
      </w:r>
    </w:p>
    <w:p w14:paraId="10669AB4" w14:textId="6872F7A4" w:rsidR="006A25EF" w:rsidRDefault="006A25EF" w:rsidP="006A25EF">
      <w:pPr>
        <w:pStyle w:val="ListParagraph"/>
        <w:numPr>
          <w:ilvl w:val="0"/>
          <w:numId w:val="7"/>
        </w:numPr>
        <w:spacing w:line="360" w:lineRule="auto"/>
      </w:pPr>
      <w:r>
        <w:t xml:space="preserve">Aspiration </w:t>
      </w:r>
    </w:p>
    <w:p w14:paraId="1D933F0C" w14:textId="6F59CFDB" w:rsidR="006A25EF" w:rsidRDefault="006A25EF" w:rsidP="006A25EF">
      <w:pPr>
        <w:pStyle w:val="ListParagraph"/>
        <w:numPr>
          <w:ilvl w:val="1"/>
          <w:numId w:val="7"/>
        </w:numPr>
        <w:spacing w:line="360" w:lineRule="auto"/>
      </w:pPr>
      <w:r>
        <w:t>Attach tip</w:t>
      </w:r>
      <w:r w:rsidR="009A0A05">
        <w:t>.</w:t>
      </w:r>
    </w:p>
    <w:p w14:paraId="50D905FE" w14:textId="63880715" w:rsidR="006A25EF" w:rsidRDefault="006A25EF" w:rsidP="006A25EF">
      <w:pPr>
        <w:pStyle w:val="ListParagraph"/>
        <w:numPr>
          <w:ilvl w:val="1"/>
          <w:numId w:val="7"/>
        </w:numPr>
        <w:spacing w:line="360" w:lineRule="auto"/>
      </w:pPr>
      <w:r>
        <w:t>Press down to first setting</w:t>
      </w:r>
      <w:r w:rsidR="009A0A05">
        <w:t>.</w:t>
      </w:r>
    </w:p>
    <w:p w14:paraId="6339736B" w14:textId="165B406A" w:rsidR="006A25EF" w:rsidRDefault="009A0A05" w:rsidP="006A25EF">
      <w:pPr>
        <w:pStyle w:val="ListParagraph"/>
        <w:numPr>
          <w:ilvl w:val="1"/>
          <w:numId w:val="7"/>
        </w:numPr>
        <w:spacing w:line="360" w:lineRule="auto"/>
      </w:pPr>
      <w:r>
        <w:t>Keeping the pipette vertical, i</w:t>
      </w:r>
      <w:r w:rsidR="006A25EF">
        <w:t xml:space="preserve">nsert tip into fluid </w:t>
      </w:r>
      <w:r>
        <w:t xml:space="preserve">just </w:t>
      </w:r>
      <w:r w:rsidR="006A25EF">
        <w:t xml:space="preserve">enough to be submerged but no more. Pre-wet tip 2-3 times. Eject fluid onto side of Eppendorf at 25-40° angle. </w:t>
      </w:r>
    </w:p>
    <w:p w14:paraId="153A4846" w14:textId="172A0BDE" w:rsidR="006A25EF" w:rsidRDefault="009A0A05" w:rsidP="009A0A05">
      <w:pPr>
        <w:pStyle w:val="ListParagraph"/>
        <w:numPr>
          <w:ilvl w:val="1"/>
          <w:numId w:val="7"/>
        </w:numPr>
        <w:spacing w:line="360" w:lineRule="auto"/>
      </w:pPr>
      <w:r>
        <w:t>Press down to first setting, insert vertical tip and aspirate sample fluid.</w:t>
      </w:r>
    </w:p>
    <w:p w14:paraId="22B004FC" w14:textId="065FD197" w:rsidR="009A0A05" w:rsidRDefault="009A0A05" w:rsidP="009A0A05">
      <w:pPr>
        <w:pStyle w:val="ListParagraph"/>
        <w:numPr>
          <w:ilvl w:val="0"/>
          <w:numId w:val="7"/>
        </w:numPr>
        <w:spacing w:line="360" w:lineRule="auto"/>
      </w:pPr>
      <w:r>
        <w:t>Dispensing</w:t>
      </w:r>
    </w:p>
    <w:p w14:paraId="4D54D919" w14:textId="789DE90C" w:rsidR="009A0A05" w:rsidRDefault="009A0A05" w:rsidP="009A0A05">
      <w:pPr>
        <w:pStyle w:val="ListParagraph"/>
        <w:numPr>
          <w:ilvl w:val="1"/>
          <w:numId w:val="7"/>
        </w:numPr>
        <w:spacing w:line="360" w:lineRule="auto"/>
      </w:pPr>
      <w:r>
        <w:t xml:space="preserve">Angle pipette at 20-45°, place tip on vessel wall and press down to first setting, then second setting. </w:t>
      </w:r>
    </w:p>
    <w:p w14:paraId="3B269656" w14:textId="29DAE074" w:rsidR="006A25EF" w:rsidRDefault="009A0A05" w:rsidP="00AB0F9E">
      <w:pPr>
        <w:pStyle w:val="ListParagraph"/>
        <w:numPr>
          <w:ilvl w:val="1"/>
          <w:numId w:val="7"/>
        </w:numPr>
        <w:spacing w:line="360" w:lineRule="auto"/>
      </w:pPr>
      <w:r>
        <w:t>Eject tip.</w:t>
      </w:r>
    </w:p>
    <w:p w14:paraId="4CE18041" w14:textId="77777777" w:rsidR="009A0A05" w:rsidRPr="009A0A05" w:rsidRDefault="009A0A05" w:rsidP="009A0A05">
      <w:pPr>
        <w:spacing w:line="360" w:lineRule="auto"/>
      </w:pPr>
    </w:p>
    <w:p w14:paraId="1E86FA89" w14:textId="21C911CE" w:rsidR="006A25EF" w:rsidRPr="009A0A05" w:rsidRDefault="009A0A05" w:rsidP="00AB0F9E">
      <w:pPr>
        <w:spacing w:line="360" w:lineRule="auto"/>
        <w:rPr>
          <w:u w:val="single"/>
        </w:rPr>
      </w:pPr>
      <w:r w:rsidRPr="009A0A05">
        <w:rPr>
          <w:u w:val="single"/>
        </w:rPr>
        <w:t>References</w:t>
      </w:r>
    </w:p>
    <w:p w14:paraId="77CED822" w14:textId="7E5D4FFE"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sz w:val="20"/>
          <w:szCs w:val="20"/>
        </w:rPr>
        <w:fldChar w:fldCharType="begin" w:fldLock="1"/>
      </w:r>
      <w:r w:rsidRPr="00745E9E">
        <w:rPr>
          <w:sz w:val="20"/>
          <w:szCs w:val="20"/>
        </w:rPr>
        <w:instrText xml:space="preserve">ADDIN Mendeley Bibliography CSL_BIBLIOGRAPHY </w:instrText>
      </w:r>
      <w:r w:rsidRPr="00745E9E">
        <w:rPr>
          <w:sz w:val="20"/>
          <w:szCs w:val="20"/>
        </w:rPr>
        <w:fldChar w:fldCharType="separate"/>
      </w:r>
      <w:r w:rsidRPr="00745E9E">
        <w:rPr>
          <w:rFonts w:ascii="Calibri" w:hAnsi="Calibri" w:cs="Calibri"/>
          <w:noProof/>
          <w:sz w:val="20"/>
          <w:szCs w:val="20"/>
        </w:rPr>
        <w:t xml:space="preserve">1. </w:t>
      </w:r>
      <w:r w:rsidRPr="00745E9E">
        <w:rPr>
          <w:rFonts w:ascii="Calibri" w:hAnsi="Calibri" w:cs="Calibri"/>
          <w:noProof/>
          <w:sz w:val="20"/>
          <w:szCs w:val="20"/>
        </w:rPr>
        <w:tab/>
        <w:t xml:space="preserve">Justinić I, Katić A, Uršičić D, Ćurko-Cofek B, Blagović B, Čanadi Jurešić G. Combining proteomics and lipid analysis to unravel Confidor stress response in Saccharomyces cerevisiae. </w:t>
      </w:r>
      <w:r w:rsidRPr="00745E9E">
        <w:rPr>
          <w:rFonts w:ascii="Calibri" w:hAnsi="Calibri" w:cs="Calibri"/>
          <w:i/>
          <w:iCs/>
          <w:noProof/>
          <w:sz w:val="20"/>
          <w:szCs w:val="20"/>
        </w:rPr>
        <w:t>Environ Toxicol</w:t>
      </w:r>
      <w:r w:rsidRPr="00745E9E">
        <w:rPr>
          <w:rFonts w:ascii="Calibri" w:hAnsi="Calibri" w:cs="Calibri"/>
          <w:noProof/>
          <w:sz w:val="20"/>
          <w:szCs w:val="20"/>
        </w:rPr>
        <w:t>. 2020;35(3):346-358. doi:10.1002/tox.22870</w:t>
      </w:r>
    </w:p>
    <w:p w14:paraId="55467E1F" w14:textId="77777777"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rFonts w:ascii="Calibri" w:hAnsi="Calibri" w:cs="Calibri"/>
          <w:noProof/>
          <w:sz w:val="20"/>
          <w:szCs w:val="20"/>
        </w:rPr>
        <w:t xml:space="preserve">2. </w:t>
      </w:r>
      <w:r w:rsidRPr="00745E9E">
        <w:rPr>
          <w:rFonts w:ascii="Calibri" w:hAnsi="Calibri" w:cs="Calibri"/>
          <w:noProof/>
          <w:sz w:val="20"/>
          <w:szCs w:val="20"/>
        </w:rPr>
        <w:tab/>
        <w:t xml:space="preserve">Mattiazzi Ušaj M, Kaferle P, Toplak A, Trebše P, Petrovič U. Determination of toxicity of neonicotinoids on the genome level using chemogenomics in yeast. </w:t>
      </w:r>
      <w:r w:rsidRPr="00745E9E">
        <w:rPr>
          <w:rFonts w:ascii="Calibri" w:hAnsi="Calibri" w:cs="Calibri"/>
          <w:i/>
          <w:iCs/>
          <w:noProof/>
          <w:sz w:val="20"/>
          <w:szCs w:val="20"/>
        </w:rPr>
        <w:t>Chemosphere</w:t>
      </w:r>
      <w:r w:rsidRPr="00745E9E">
        <w:rPr>
          <w:rFonts w:ascii="Calibri" w:hAnsi="Calibri" w:cs="Calibri"/>
          <w:noProof/>
          <w:sz w:val="20"/>
          <w:szCs w:val="20"/>
        </w:rPr>
        <w:t>. 2014;104:91-96. doi:10.1016/j.chemosphere.2013.10.063</w:t>
      </w:r>
    </w:p>
    <w:p w14:paraId="0C614926" w14:textId="77777777"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rFonts w:ascii="Calibri" w:hAnsi="Calibri" w:cs="Calibri"/>
          <w:noProof/>
          <w:sz w:val="20"/>
          <w:szCs w:val="20"/>
        </w:rPr>
        <w:t xml:space="preserve">3. </w:t>
      </w:r>
      <w:r w:rsidRPr="00745E9E">
        <w:rPr>
          <w:rFonts w:ascii="Calibri" w:hAnsi="Calibri" w:cs="Calibri"/>
          <w:noProof/>
          <w:sz w:val="20"/>
          <w:szCs w:val="20"/>
        </w:rPr>
        <w:tab/>
        <w:t xml:space="preserve">Martelli F, Zhongyuan Z, Wang J, et al.  Low doses of the neonicotinoid insecticide imidacloprid induce ROS triggering neurological and metabolic impairments in Drosophila . </w:t>
      </w:r>
      <w:r w:rsidRPr="00745E9E">
        <w:rPr>
          <w:rFonts w:ascii="Calibri" w:hAnsi="Calibri" w:cs="Calibri"/>
          <w:i/>
          <w:iCs/>
          <w:noProof/>
          <w:sz w:val="20"/>
          <w:szCs w:val="20"/>
        </w:rPr>
        <w:t>Proc Natl Acad Sci</w:t>
      </w:r>
      <w:r w:rsidRPr="00745E9E">
        <w:rPr>
          <w:rFonts w:ascii="Calibri" w:hAnsi="Calibri" w:cs="Calibri"/>
          <w:noProof/>
          <w:sz w:val="20"/>
          <w:szCs w:val="20"/>
        </w:rPr>
        <w:t>. 2020;117(41):25840-25850. doi:10.1073/pnas.2011828117</w:t>
      </w:r>
    </w:p>
    <w:p w14:paraId="0B400123" w14:textId="77777777"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rFonts w:ascii="Calibri" w:hAnsi="Calibri" w:cs="Calibri"/>
          <w:noProof/>
          <w:sz w:val="20"/>
          <w:szCs w:val="20"/>
        </w:rPr>
        <w:t xml:space="preserve">4. </w:t>
      </w:r>
      <w:r w:rsidRPr="00745E9E">
        <w:rPr>
          <w:rFonts w:ascii="Calibri" w:hAnsi="Calibri" w:cs="Calibri"/>
          <w:noProof/>
          <w:sz w:val="20"/>
          <w:szCs w:val="20"/>
        </w:rPr>
        <w:tab/>
        <w:t>Confidor® 200 SC Insecticide Label and SDS | Bayer Crop Science. https://www.crop.bayer.com.au/find-crop-solutions/by-product/insecticides/confidor-200-sc-insecticide. Accessed November 10, 2020.</w:t>
      </w:r>
    </w:p>
    <w:p w14:paraId="31785663" w14:textId="77777777"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rFonts w:ascii="Calibri" w:hAnsi="Calibri" w:cs="Calibri"/>
          <w:noProof/>
          <w:sz w:val="20"/>
          <w:szCs w:val="20"/>
        </w:rPr>
        <w:t xml:space="preserve">5. </w:t>
      </w:r>
      <w:r w:rsidRPr="00745E9E">
        <w:rPr>
          <w:rFonts w:ascii="Calibri" w:hAnsi="Calibri" w:cs="Calibri"/>
          <w:noProof/>
          <w:sz w:val="20"/>
          <w:szCs w:val="20"/>
        </w:rPr>
        <w:tab/>
        <w:t xml:space="preserve">Jungwirth H, Kuchler K. Yeast ABC transporters - A tale of sex, stress, drugs and aging. </w:t>
      </w:r>
      <w:r w:rsidRPr="00745E9E">
        <w:rPr>
          <w:rFonts w:ascii="Calibri" w:hAnsi="Calibri" w:cs="Calibri"/>
          <w:i/>
          <w:iCs/>
          <w:noProof/>
          <w:sz w:val="20"/>
          <w:szCs w:val="20"/>
        </w:rPr>
        <w:t>FEBS Lett</w:t>
      </w:r>
      <w:r w:rsidRPr="00745E9E">
        <w:rPr>
          <w:rFonts w:ascii="Calibri" w:hAnsi="Calibri" w:cs="Calibri"/>
          <w:noProof/>
          <w:sz w:val="20"/>
          <w:szCs w:val="20"/>
        </w:rPr>
        <w:t xml:space="preserve">. </w:t>
      </w:r>
      <w:r w:rsidRPr="00745E9E">
        <w:rPr>
          <w:rFonts w:ascii="Calibri" w:hAnsi="Calibri" w:cs="Calibri"/>
          <w:noProof/>
          <w:sz w:val="20"/>
          <w:szCs w:val="20"/>
        </w:rPr>
        <w:lastRenderedPageBreak/>
        <w:t>2006;580(4):1131-1138. doi:10.1016/j.febslet.2005.12.050</w:t>
      </w:r>
    </w:p>
    <w:p w14:paraId="7096D00E" w14:textId="77777777" w:rsidR="00460137" w:rsidRPr="00745E9E" w:rsidRDefault="00460137" w:rsidP="00460137">
      <w:pPr>
        <w:widowControl w:val="0"/>
        <w:autoSpaceDE w:val="0"/>
        <w:autoSpaceDN w:val="0"/>
        <w:adjustRightInd w:val="0"/>
        <w:spacing w:line="360" w:lineRule="auto"/>
        <w:ind w:left="640" w:hanging="640"/>
        <w:rPr>
          <w:rFonts w:ascii="Calibri" w:hAnsi="Calibri" w:cs="Calibri"/>
          <w:noProof/>
          <w:sz w:val="20"/>
          <w:szCs w:val="20"/>
        </w:rPr>
      </w:pPr>
      <w:r w:rsidRPr="00745E9E">
        <w:rPr>
          <w:rFonts w:ascii="Calibri" w:hAnsi="Calibri" w:cs="Calibri"/>
          <w:noProof/>
          <w:sz w:val="20"/>
          <w:szCs w:val="20"/>
        </w:rPr>
        <w:t xml:space="preserve">6. </w:t>
      </w:r>
      <w:r w:rsidRPr="00745E9E">
        <w:rPr>
          <w:rFonts w:ascii="Calibri" w:hAnsi="Calibri" w:cs="Calibri"/>
          <w:noProof/>
          <w:sz w:val="20"/>
          <w:szCs w:val="20"/>
        </w:rPr>
        <w:tab/>
        <w:t xml:space="preserve">Mamnun YM, Schüller C, Kuchler K. Expression regulation of the yeast PDR5 ATP-binding cassette (ABC) transporter suggests a role in cellular detoxification during the exponential growth phase. </w:t>
      </w:r>
      <w:r w:rsidRPr="00745E9E">
        <w:rPr>
          <w:rFonts w:ascii="Calibri" w:hAnsi="Calibri" w:cs="Calibri"/>
          <w:i/>
          <w:iCs/>
          <w:noProof/>
          <w:sz w:val="20"/>
          <w:szCs w:val="20"/>
        </w:rPr>
        <w:t>FEBS Lett</w:t>
      </w:r>
      <w:r w:rsidRPr="00745E9E">
        <w:rPr>
          <w:rFonts w:ascii="Calibri" w:hAnsi="Calibri" w:cs="Calibri"/>
          <w:noProof/>
          <w:sz w:val="20"/>
          <w:szCs w:val="20"/>
        </w:rPr>
        <w:t>. 2004;559(1-3):111-117. doi:10.1016/S0014-5793(04)00046-8</w:t>
      </w:r>
    </w:p>
    <w:p w14:paraId="39C0487C" w14:textId="64B89CD9" w:rsidR="00CB017A" w:rsidRDefault="00460137" w:rsidP="00AB0F9E">
      <w:pPr>
        <w:spacing w:line="360" w:lineRule="auto"/>
      </w:pPr>
      <w:r w:rsidRPr="00745E9E">
        <w:rPr>
          <w:sz w:val="20"/>
          <w:szCs w:val="20"/>
        </w:rPr>
        <w:fldChar w:fldCharType="end"/>
      </w:r>
    </w:p>
    <w:p w14:paraId="588E3194" w14:textId="5016A215" w:rsidR="00AB0F9E" w:rsidRPr="00AB0F9E" w:rsidRDefault="00AB0F9E" w:rsidP="003B4132">
      <w:pPr>
        <w:spacing w:line="360" w:lineRule="auto"/>
      </w:pPr>
    </w:p>
    <w:sectPr w:rsidR="00AB0F9E" w:rsidRPr="00AB0F9E"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6641E"/>
    <w:multiLevelType w:val="hybridMultilevel"/>
    <w:tmpl w:val="4EF0C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C41998"/>
    <w:multiLevelType w:val="hybridMultilevel"/>
    <w:tmpl w:val="37FAC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402701"/>
    <w:multiLevelType w:val="hybridMultilevel"/>
    <w:tmpl w:val="1284BD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9639E"/>
    <w:multiLevelType w:val="hybridMultilevel"/>
    <w:tmpl w:val="F62A3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387842"/>
    <w:multiLevelType w:val="hybridMultilevel"/>
    <w:tmpl w:val="78AA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8E19DE"/>
    <w:multiLevelType w:val="hybridMultilevel"/>
    <w:tmpl w:val="0EECC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661952"/>
    <w:multiLevelType w:val="hybridMultilevel"/>
    <w:tmpl w:val="4E8CC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61"/>
    <w:rsid w:val="00041FD7"/>
    <w:rsid w:val="00042CF8"/>
    <w:rsid w:val="00065CAE"/>
    <w:rsid w:val="00081FAB"/>
    <w:rsid w:val="0010070C"/>
    <w:rsid w:val="00106987"/>
    <w:rsid w:val="0011519C"/>
    <w:rsid w:val="001365C9"/>
    <w:rsid w:val="001732B1"/>
    <w:rsid w:val="001B761D"/>
    <w:rsid w:val="001F25FF"/>
    <w:rsid w:val="002100F4"/>
    <w:rsid w:val="0022772D"/>
    <w:rsid w:val="00247E08"/>
    <w:rsid w:val="00253EC1"/>
    <w:rsid w:val="00280B67"/>
    <w:rsid w:val="002A1E8D"/>
    <w:rsid w:val="002E158A"/>
    <w:rsid w:val="0032056E"/>
    <w:rsid w:val="00370803"/>
    <w:rsid w:val="003A150A"/>
    <w:rsid w:val="003B4132"/>
    <w:rsid w:val="00435E11"/>
    <w:rsid w:val="00440935"/>
    <w:rsid w:val="00460137"/>
    <w:rsid w:val="00493147"/>
    <w:rsid w:val="004A5661"/>
    <w:rsid w:val="004C2B68"/>
    <w:rsid w:val="004E4614"/>
    <w:rsid w:val="005B044F"/>
    <w:rsid w:val="005F710D"/>
    <w:rsid w:val="00630825"/>
    <w:rsid w:val="006A25EF"/>
    <w:rsid w:val="00745E9E"/>
    <w:rsid w:val="00791617"/>
    <w:rsid w:val="00792A81"/>
    <w:rsid w:val="007951BE"/>
    <w:rsid w:val="007B0A0C"/>
    <w:rsid w:val="00805474"/>
    <w:rsid w:val="00835CE6"/>
    <w:rsid w:val="00836832"/>
    <w:rsid w:val="008F3614"/>
    <w:rsid w:val="00917195"/>
    <w:rsid w:val="00926A24"/>
    <w:rsid w:val="00952511"/>
    <w:rsid w:val="00975866"/>
    <w:rsid w:val="00997C66"/>
    <w:rsid w:val="009A0A05"/>
    <w:rsid w:val="009B121E"/>
    <w:rsid w:val="009D2182"/>
    <w:rsid w:val="00A04B35"/>
    <w:rsid w:val="00A32CBD"/>
    <w:rsid w:val="00A413A7"/>
    <w:rsid w:val="00A933A1"/>
    <w:rsid w:val="00AB0F9E"/>
    <w:rsid w:val="00AF44B1"/>
    <w:rsid w:val="00AF660D"/>
    <w:rsid w:val="00B06AF0"/>
    <w:rsid w:val="00C15EEF"/>
    <w:rsid w:val="00C415B4"/>
    <w:rsid w:val="00CB017A"/>
    <w:rsid w:val="00CF44B4"/>
    <w:rsid w:val="00D00675"/>
    <w:rsid w:val="00D34119"/>
    <w:rsid w:val="00D36926"/>
    <w:rsid w:val="00D869AA"/>
    <w:rsid w:val="00D95222"/>
    <w:rsid w:val="00E00A11"/>
    <w:rsid w:val="00E64E76"/>
    <w:rsid w:val="00EC7DB2"/>
    <w:rsid w:val="00EE7A29"/>
    <w:rsid w:val="00F00014"/>
    <w:rsid w:val="00F169B3"/>
    <w:rsid w:val="00FA4CF5"/>
    <w:rsid w:val="00FF0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2D01"/>
  <w15:chartTrackingRefBased/>
  <w15:docId w15:val="{976751F1-5330-1142-9C09-88470D88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61"/>
    <w:pPr>
      <w:ind w:left="720"/>
      <w:contextualSpacing/>
    </w:pPr>
  </w:style>
  <w:style w:type="table" w:styleId="TableGrid">
    <w:name w:val="Table Grid"/>
    <w:basedOn w:val="TableNormal"/>
    <w:uiPriority w:val="39"/>
    <w:rsid w:val="00791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58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8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19794-2B9D-6547-95AF-69723DD9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3476</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72</cp:revision>
  <cp:lastPrinted>2020-11-13T14:01:00Z</cp:lastPrinted>
  <dcterms:created xsi:type="dcterms:W3CDTF">2020-11-09T10:07:00Z</dcterms:created>
  <dcterms:modified xsi:type="dcterms:W3CDTF">2020-11-27T15:55:00Z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http://www.zotero.org/styles/american-medical-association</vt:lpwstr>
  </property>
</Properties>
</file>