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CFCD" w14:textId="21B8D549" w:rsidR="00D97AAA" w:rsidRDefault="00966FD6" w:rsidP="00966FD6">
      <w:pPr>
        <w:spacing w:line="360" w:lineRule="auto"/>
        <w:jc w:val="center"/>
        <w:rPr>
          <w:u w:val="single"/>
        </w:rPr>
      </w:pPr>
      <w:r w:rsidRPr="00966FD6">
        <w:rPr>
          <w:u w:val="single"/>
        </w:rPr>
        <w:t>Interaction Between NaCl and Insecticide</w:t>
      </w:r>
    </w:p>
    <w:p w14:paraId="4ADB1A46" w14:textId="30106182" w:rsidR="00966FD6" w:rsidRDefault="00966FD6" w:rsidP="00966FD6">
      <w:pPr>
        <w:pStyle w:val="ListParagraph"/>
        <w:numPr>
          <w:ilvl w:val="0"/>
          <w:numId w:val="1"/>
        </w:numPr>
        <w:spacing w:line="360" w:lineRule="auto"/>
      </w:pPr>
      <w:r>
        <w:t xml:space="preserve">Continuous dependent variable of total growth (AUC). </w:t>
      </w:r>
    </w:p>
    <w:p w14:paraId="7F797D3B" w14:textId="0A86AE68" w:rsidR="00966FD6" w:rsidRDefault="00966FD6" w:rsidP="00966FD6">
      <w:pPr>
        <w:pStyle w:val="ListParagraph"/>
        <w:numPr>
          <w:ilvl w:val="0"/>
          <w:numId w:val="1"/>
        </w:numPr>
        <w:spacing w:line="360" w:lineRule="auto"/>
      </w:pPr>
      <w:r>
        <w:t xml:space="preserve">Categorical independent variable (treatment). Treatments are levels in a factor. </w:t>
      </w:r>
    </w:p>
    <w:p w14:paraId="6BDD8B78" w14:textId="33BC8F49" w:rsidR="00966FD6" w:rsidRDefault="00966FD6" w:rsidP="00966FD6">
      <w:pPr>
        <w:pStyle w:val="ListParagraph"/>
        <w:numPr>
          <w:ilvl w:val="0"/>
          <w:numId w:val="1"/>
        </w:numPr>
        <w:spacing w:line="360" w:lineRule="auto"/>
      </w:pPr>
      <w:r>
        <w:t>Two insecticides, two concentrations for each (5</w:t>
      </w:r>
      <w:r w:rsidR="00034202">
        <w:t>µ</w:t>
      </w:r>
      <w:r>
        <w:t>M and 5mM), with and without salt. Also</w:t>
      </w:r>
      <w:r w:rsidR="00586331">
        <w:t>,</w:t>
      </w:r>
      <w:r>
        <w:t xml:space="preserve"> no salt (control) and salt. </w:t>
      </w:r>
    </w:p>
    <w:p w14:paraId="71DC99B2" w14:textId="602520D8" w:rsidR="00966FD6" w:rsidRDefault="00966FD6" w:rsidP="00966FD6">
      <w:pPr>
        <w:pStyle w:val="ListParagraph"/>
        <w:numPr>
          <w:ilvl w:val="0"/>
          <w:numId w:val="1"/>
        </w:numPr>
        <w:spacing w:line="360" w:lineRule="auto"/>
      </w:pPr>
      <w:r>
        <w:t xml:space="preserve">Salt is 0.5M NaCl. </w:t>
      </w:r>
    </w:p>
    <w:p w14:paraId="6D418D91" w14:textId="4DB9129B" w:rsidR="00966FD6" w:rsidRDefault="00966FD6" w:rsidP="00966FD6">
      <w:pPr>
        <w:pStyle w:val="ListParagraph"/>
        <w:numPr>
          <w:ilvl w:val="0"/>
          <w:numId w:val="1"/>
        </w:numPr>
        <w:spacing w:line="360" w:lineRule="auto"/>
      </w:pPr>
      <w:r>
        <w:t xml:space="preserve">Ten levels in factor </w:t>
      </w:r>
    </w:p>
    <w:p w14:paraId="500B947B" w14:textId="485E7789" w:rsidR="00966FD6" w:rsidRDefault="00966FD6" w:rsidP="00966FD6">
      <w:pPr>
        <w:pStyle w:val="ListParagraph"/>
        <w:numPr>
          <w:ilvl w:val="1"/>
          <w:numId w:val="1"/>
        </w:numPr>
        <w:spacing w:line="360" w:lineRule="auto"/>
      </w:pPr>
      <w:r>
        <w:t>salt</w:t>
      </w:r>
    </w:p>
    <w:p w14:paraId="6B1CA5F9" w14:textId="25DCB74A" w:rsidR="00966FD6" w:rsidRDefault="00966FD6" w:rsidP="00966FD6">
      <w:pPr>
        <w:pStyle w:val="ListParagraph"/>
        <w:numPr>
          <w:ilvl w:val="1"/>
          <w:numId w:val="1"/>
        </w:numPr>
        <w:spacing w:line="360" w:lineRule="auto"/>
      </w:pPr>
      <w:r>
        <w:t>no salt</w:t>
      </w:r>
    </w:p>
    <w:p w14:paraId="1F705B17" w14:textId="2717B1DB" w:rsidR="00966FD6" w:rsidRDefault="00966FD6" w:rsidP="00966FD6">
      <w:pPr>
        <w:pStyle w:val="ListParagraph"/>
        <w:numPr>
          <w:ilvl w:val="1"/>
          <w:numId w:val="1"/>
        </w:numPr>
        <w:spacing w:line="360" w:lineRule="auto"/>
      </w:pPr>
      <w:r>
        <w:t>thiacloprid 5</w:t>
      </w:r>
      <w:r w:rsidR="00034202">
        <w:t>µ</w:t>
      </w:r>
      <w:r>
        <w:t>M</w:t>
      </w:r>
      <w:r w:rsidR="00586331">
        <w:t xml:space="preserve"> (low)</w:t>
      </w:r>
    </w:p>
    <w:p w14:paraId="6DE651AA" w14:textId="76AE8192" w:rsidR="00966FD6" w:rsidRDefault="00966FD6" w:rsidP="00966FD6">
      <w:pPr>
        <w:pStyle w:val="ListParagraph"/>
        <w:numPr>
          <w:ilvl w:val="1"/>
          <w:numId w:val="1"/>
        </w:numPr>
        <w:spacing w:line="360" w:lineRule="auto"/>
      </w:pPr>
      <w:r>
        <w:t>thiacloprid 5mM</w:t>
      </w:r>
      <w:r w:rsidR="00586331">
        <w:t xml:space="preserve"> (high)</w:t>
      </w:r>
    </w:p>
    <w:p w14:paraId="7851E559" w14:textId="70C30F3F" w:rsidR="00966FD6" w:rsidRDefault="00966FD6" w:rsidP="00966FD6">
      <w:pPr>
        <w:pStyle w:val="ListParagraph"/>
        <w:numPr>
          <w:ilvl w:val="1"/>
          <w:numId w:val="1"/>
        </w:numPr>
        <w:spacing w:line="360" w:lineRule="auto"/>
      </w:pPr>
      <w:r>
        <w:t xml:space="preserve">acetamiprid </w:t>
      </w:r>
      <w:r w:rsidR="00034202">
        <w:t xml:space="preserve">5µM </w:t>
      </w:r>
      <w:r w:rsidR="00586331">
        <w:t>(low)</w:t>
      </w:r>
    </w:p>
    <w:p w14:paraId="6E3732C9" w14:textId="139B46E7" w:rsidR="00966FD6" w:rsidRDefault="00966FD6" w:rsidP="00966FD6">
      <w:pPr>
        <w:pStyle w:val="ListParagraph"/>
        <w:numPr>
          <w:ilvl w:val="1"/>
          <w:numId w:val="1"/>
        </w:numPr>
        <w:spacing w:line="360" w:lineRule="auto"/>
      </w:pPr>
      <w:r>
        <w:t>acetamiprid 5mM</w:t>
      </w:r>
      <w:r w:rsidR="00586331">
        <w:t xml:space="preserve"> (high)</w:t>
      </w:r>
    </w:p>
    <w:p w14:paraId="20D01087" w14:textId="79D59E6B" w:rsidR="00966FD6" w:rsidRDefault="00966FD6" w:rsidP="00966FD6">
      <w:pPr>
        <w:pStyle w:val="ListParagraph"/>
        <w:numPr>
          <w:ilvl w:val="1"/>
          <w:numId w:val="1"/>
        </w:numPr>
        <w:spacing w:line="360" w:lineRule="auto"/>
      </w:pPr>
      <w:r>
        <w:t xml:space="preserve">thiacloprid </w:t>
      </w:r>
      <w:r w:rsidR="00034202">
        <w:t xml:space="preserve">5µM </w:t>
      </w:r>
      <w:r>
        <w:t>+ salt</w:t>
      </w:r>
      <w:r w:rsidR="00586331">
        <w:t xml:space="preserve"> (low)</w:t>
      </w:r>
    </w:p>
    <w:p w14:paraId="0D5AC4CF" w14:textId="419446C1" w:rsidR="00966FD6" w:rsidRDefault="00966FD6" w:rsidP="00966FD6">
      <w:pPr>
        <w:pStyle w:val="ListParagraph"/>
        <w:numPr>
          <w:ilvl w:val="1"/>
          <w:numId w:val="1"/>
        </w:numPr>
        <w:spacing w:line="360" w:lineRule="auto"/>
      </w:pPr>
      <w:r>
        <w:t>thiacloprid 5mM + salt</w:t>
      </w:r>
      <w:r w:rsidR="00586331">
        <w:t xml:space="preserve"> (high)</w:t>
      </w:r>
    </w:p>
    <w:p w14:paraId="6E3D0087" w14:textId="76B4ABD7" w:rsidR="00966FD6" w:rsidRDefault="00966FD6" w:rsidP="00966FD6">
      <w:pPr>
        <w:pStyle w:val="ListParagraph"/>
        <w:numPr>
          <w:ilvl w:val="1"/>
          <w:numId w:val="1"/>
        </w:numPr>
        <w:spacing w:line="360" w:lineRule="auto"/>
      </w:pPr>
      <w:r>
        <w:t xml:space="preserve">acetamiprid </w:t>
      </w:r>
      <w:r w:rsidR="00034202">
        <w:t xml:space="preserve">5µM </w:t>
      </w:r>
      <w:r>
        <w:t>+ salt</w:t>
      </w:r>
      <w:r w:rsidR="00586331">
        <w:t xml:space="preserve"> (low)</w:t>
      </w:r>
    </w:p>
    <w:p w14:paraId="1D5162E2" w14:textId="5A649871" w:rsidR="00966FD6" w:rsidRDefault="00966FD6" w:rsidP="00966FD6">
      <w:pPr>
        <w:pStyle w:val="ListParagraph"/>
        <w:numPr>
          <w:ilvl w:val="1"/>
          <w:numId w:val="1"/>
        </w:numPr>
        <w:spacing w:line="360" w:lineRule="auto"/>
      </w:pPr>
      <w:r>
        <w:t>acetamiprid 5mM + salt</w:t>
      </w:r>
      <w:r w:rsidR="00586331">
        <w:t xml:space="preserve"> (high)</w:t>
      </w:r>
    </w:p>
    <w:p w14:paraId="4E04D68A" w14:textId="29D53B21" w:rsidR="00966FD6" w:rsidRDefault="00FD15CF" w:rsidP="00966FD6">
      <w:pPr>
        <w:pStyle w:val="ListParagraph"/>
        <w:numPr>
          <w:ilvl w:val="0"/>
          <w:numId w:val="1"/>
        </w:numPr>
        <w:spacing w:line="360" w:lineRule="auto"/>
      </w:pPr>
      <w:r>
        <w:t xml:space="preserve">With 9 replicates each the whole </w:t>
      </w:r>
      <w:proofErr w:type="spellStart"/>
      <w:r>
        <w:t>expt</w:t>
      </w:r>
      <w:proofErr w:type="spellEnd"/>
      <w:r>
        <w:t xml:space="preserve"> can fit all on one plate</w:t>
      </w:r>
      <w:r w:rsidR="00966FD6">
        <w:t xml:space="preserve">. </w:t>
      </w:r>
    </w:p>
    <w:p w14:paraId="127B4E7D" w14:textId="7BD64818" w:rsidR="00966FD6" w:rsidRDefault="00966FD6" w:rsidP="00966FD6">
      <w:pPr>
        <w:pStyle w:val="ListParagraph"/>
        <w:numPr>
          <w:ilvl w:val="0"/>
          <w:numId w:val="1"/>
        </w:numPr>
        <w:spacing w:line="360" w:lineRule="auto"/>
      </w:pPr>
      <w:r>
        <w:t xml:space="preserve">Do three blanks with media and three blanks with NaCl media. </w:t>
      </w:r>
    </w:p>
    <w:p w14:paraId="6698CA83" w14:textId="746A605E" w:rsidR="00966FD6" w:rsidRDefault="00966FD6" w:rsidP="00966FD6">
      <w:pPr>
        <w:spacing w:line="360" w:lineRule="auto"/>
      </w:pPr>
    </w:p>
    <w:p w14:paraId="2FFFF753" w14:textId="709FA203" w:rsidR="00045B29" w:rsidRDefault="00045B29" w:rsidP="00966FD6">
      <w:pPr>
        <w:spacing w:line="360" w:lineRule="auto"/>
      </w:pPr>
      <w:r>
        <w:t xml:space="preserve">Are the effects of the two stressors additive or synergistic? If the effects are synergistic this improves the viability of the metabolism screen. If synergistic, by combining salt with insecticide the effect of insecticide alone has been amplified. This amplification provides a larger effect </w:t>
      </w:r>
      <w:r w:rsidR="00E8516A">
        <w:t xml:space="preserve">to be reversed if insecticide metabolism by a recombinant pollinator enzyme occurs. </w:t>
      </w:r>
    </w:p>
    <w:p w14:paraId="37174161" w14:textId="1233FC7C" w:rsidR="00E8516A" w:rsidRDefault="00E8516A" w:rsidP="00966FD6">
      <w:pPr>
        <w:spacing w:line="360" w:lineRule="auto"/>
      </w:pPr>
    </w:p>
    <w:p w14:paraId="5FA5B128" w14:textId="74870026" w:rsidR="00E8516A" w:rsidRDefault="00E8516A" w:rsidP="00966FD6">
      <w:pPr>
        <w:spacing w:line="360" w:lineRule="auto"/>
      </w:pPr>
      <w:r w:rsidRPr="00E8516A">
        <w:rPr>
          <w:u w:val="single"/>
        </w:rPr>
        <w:t>Biological Interpretation</w:t>
      </w:r>
    </w:p>
    <w:p w14:paraId="7A1DA87D" w14:textId="01ACB0C0" w:rsidR="00E978D8" w:rsidRDefault="00E978D8" w:rsidP="00966FD6">
      <w:pPr>
        <w:spacing w:line="360" w:lineRule="auto"/>
      </w:pPr>
      <w:r>
        <w:t xml:space="preserve">The main question from my results is why don’t most of the insecticides have an effect? Is it </w:t>
      </w:r>
      <w:r w:rsidR="004F0D51">
        <w:t>due to a</w:t>
      </w:r>
      <w:r>
        <w:t xml:space="preserve"> lack of </w:t>
      </w:r>
      <w:r w:rsidR="004F0D51">
        <w:t>intracellular targets,</w:t>
      </w:r>
      <w:r>
        <w:t xml:space="preserve"> or because their effective intracellular concentration is low, resulting from</w:t>
      </w:r>
      <w:r w:rsidR="004F0D51">
        <w:t xml:space="preserve"> the action of</w:t>
      </w:r>
      <w:r>
        <w:t xml:space="preserve"> </w:t>
      </w:r>
      <w:r w:rsidR="00834430">
        <w:t>efflux pumps in the plasma membrane</w:t>
      </w:r>
      <w:r w:rsidR="004F0D51">
        <w:t>?</w:t>
      </w:r>
      <w:r w:rsidR="00946063">
        <w:t xml:space="preserve"> Can the proposed </w:t>
      </w:r>
      <w:r w:rsidR="00946063">
        <w:lastRenderedPageBreak/>
        <w:t>experiment lend support to either scenario?</w:t>
      </w:r>
      <w:r w:rsidR="00490D7B">
        <w:t xml:space="preserve"> Can the effects of insecticide alone</w:t>
      </w:r>
      <w:r w:rsidR="00E91CCD">
        <w:t xml:space="preserve"> </w:t>
      </w:r>
      <w:r w:rsidR="00490D7B">
        <w:t>be explained by studying their effect in combination with NaCl?</w:t>
      </w:r>
    </w:p>
    <w:p w14:paraId="6244382C" w14:textId="6E2BCADF" w:rsidR="00874573" w:rsidRDefault="00874573" w:rsidP="0034196B">
      <w:pPr>
        <w:spacing w:line="360" w:lineRule="auto"/>
        <w:jc w:val="center"/>
      </w:pPr>
    </w:p>
    <w:p w14:paraId="2112B384" w14:textId="6C433977" w:rsidR="00874573" w:rsidRDefault="00874573" w:rsidP="0034196B">
      <w:pPr>
        <w:spacing w:line="360" w:lineRule="auto"/>
        <w:jc w:val="center"/>
      </w:pPr>
      <w:r>
        <w:t>Outcomes</w:t>
      </w:r>
    </w:p>
    <w:p w14:paraId="6A006A5C" w14:textId="433421E1" w:rsidR="00874573" w:rsidRDefault="00874573" w:rsidP="0034196B">
      <w:pPr>
        <w:spacing w:line="360" w:lineRule="auto"/>
        <w:jc w:val="center"/>
      </w:pPr>
      <w:r>
        <w:t>Salt alone + insecticide alone = salt + insecticide together (additive)</w:t>
      </w:r>
    </w:p>
    <w:p w14:paraId="516A4152" w14:textId="7458D934" w:rsidR="00874573" w:rsidRDefault="00874573" w:rsidP="0034196B">
      <w:pPr>
        <w:spacing w:line="360" w:lineRule="auto"/>
        <w:jc w:val="center"/>
      </w:pPr>
    </w:p>
    <w:p w14:paraId="5D115492" w14:textId="0A25D5B6" w:rsidR="00874573" w:rsidRPr="00E978D8" w:rsidRDefault="00874573" w:rsidP="0034196B">
      <w:pPr>
        <w:spacing w:line="360" w:lineRule="auto"/>
        <w:jc w:val="center"/>
      </w:pPr>
      <w:r>
        <w:t>Salt alone + insecticide alone &lt; salt + insecticide together (synergistic)</w:t>
      </w:r>
    </w:p>
    <w:p w14:paraId="1A262DE0" w14:textId="45BAA75E" w:rsidR="00E8516A" w:rsidRDefault="00E8516A" w:rsidP="00966FD6">
      <w:pPr>
        <w:spacing w:line="360" w:lineRule="auto"/>
      </w:pPr>
    </w:p>
    <w:p w14:paraId="24B39572" w14:textId="6BE3640B" w:rsidR="00E8516A" w:rsidRDefault="00E8516A" w:rsidP="00966FD6">
      <w:pPr>
        <w:spacing w:line="360" w:lineRule="auto"/>
      </w:pPr>
      <w:r>
        <w:t xml:space="preserve">Yannick’s argument </w:t>
      </w:r>
      <w:r w:rsidR="002847A5">
        <w:t>–</w:t>
      </w:r>
      <w:r>
        <w:t xml:space="preserve"> </w:t>
      </w:r>
      <w:r w:rsidR="00E91CCD">
        <w:t>For insecticides that had no effect in isolation</w:t>
      </w:r>
      <w:r w:rsidR="00AB4D09">
        <w:t xml:space="preserve"> (</w:t>
      </w:r>
      <w:proofErr w:type="gramStart"/>
      <w:r w:rsidR="007E7CC7">
        <w:t>e.g.</w:t>
      </w:r>
      <w:proofErr w:type="gramEnd"/>
      <w:r w:rsidR="00AB4D09">
        <w:t xml:space="preserve"> acetamiprid)</w:t>
      </w:r>
    </w:p>
    <w:p w14:paraId="6C657423" w14:textId="77777777" w:rsidR="001B7C26" w:rsidRDefault="001B7C26" w:rsidP="00966FD6">
      <w:pPr>
        <w:spacing w:line="360" w:lineRule="auto"/>
      </w:pPr>
    </w:p>
    <w:p w14:paraId="4A8350A9" w14:textId="45F4A9A5" w:rsidR="00F665B8" w:rsidRPr="000468BF" w:rsidRDefault="00F665B8" w:rsidP="00966FD6">
      <w:pPr>
        <w:spacing w:line="360" w:lineRule="auto"/>
        <w:rPr>
          <w:i/>
          <w:iCs/>
        </w:rPr>
      </w:pPr>
      <w:r w:rsidRPr="000468BF">
        <w:rPr>
          <w:i/>
          <w:iCs/>
        </w:rPr>
        <w:t xml:space="preserve">If additive result, then </w:t>
      </w:r>
      <w:r w:rsidR="001B7C26" w:rsidRPr="000468BF">
        <w:rPr>
          <w:i/>
          <w:iCs/>
        </w:rPr>
        <w:t xml:space="preserve">this shows that the insecticide (alone) enters the cell but has no effect. </w:t>
      </w:r>
      <w:r w:rsidRPr="000468BF">
        <w:rPr>
          <w:i/>
          <w:iCs/>
        </w:rPr>
        <w:t xml:space="preserve"> </w:t>
      </w:r>
    </w:p>
    <w:p w14:paraId="2E612154" w14:textId="77777777" w:rsidR="00F665B8" w:rsidRPr="000468BF" w:rsidRDefault="00F665B8" w:rsidP="00966FD6">
      <w:pPr>
        <w:spacing w:line="360" w:lineRule="auto"/>
        <w:rPr>
          <w:i/>
          <w:iCs/>
        </w:rPr>
      </w:pPr>
    </w:p>
    <w:p w14:paraId="45533DE7" w14:textId="5C0D7091" w:rsidR="00F665B8" w:rsidRPr="000468BF" w:rsidRDefault="00F665B8" w:rsidP="00966FD6">
      <w:pPr>
        <w:spacing w:line="360" w:lineRule="auto"/>
        <w:rPr>
          <w:i/>
          <w:iCs/>
        </w:rPr>
      </w:pPr>
      <w:r w:rsidRPr="000468BF">
        <w:rPr>
          <w:i/>
          <w:iCs/>
        </w:rPr>
        <w:t>If synergistic result, then small, previously undetect</w:t>
      </w:r>
      <w:r w:rsidR="00681CBF" w:rsidRPr="000468BF">
        <w:rPr>
          <w:i/>
          <w:iCs/>
        </w:rPr>
        <w:t>ed</w:t>
      </w:r>
      <w:r w:rsidRPr="000468BF">
        <w:rPr>
          <w:i/>
          <w:iCs/>
        </w:rPr>
        <w:t xml:space="preserve"> insecticide </w:t>
      </w:r>
      <w:r w:rsidR="001B7C26" w:rsidRPr="000468BF">
        <w:rPr>
          <w:i/>
          <w:iCs/>
        </w:rPr>
        <w:t>(</w:t>
      </w:r>
      <w:r w:rsidRPr="000468BF">
        <w:rPr>
          <w:i/>
          <w:iCs/>
        </w:rPr>
        <w:t>alone</w:t>
      </w:r>
      <w:r w:rsidR="001B7C26" w:rsidRPr="000468BF">
        <w:rPr>
          <w:i/>
          <w:iCs/>
        </w:rPr>
        <w:t>)</w:t>
      </w:r>
      <w:r w:rsidRPr="000468BF">
        <w:rPr>
          <w:i/>
          <w:iCs/>
        </w:rPr>
        <w:t xml:space="preserve"> effect has been revealed through</w:t>
      </w:r>
      <w:r w:rsidR="00681CBF" w:rsidRPr="000468BF">
        <w:rPr>
          <w:i/>
          <w:iCs/>
        </w:rPr>
        <w:t xml:space="preserve"> its</w:t>
      </w:r>
      <w:r w:rsidRPr="000468BF">
        <w:rPr>
          <w:i/>
          <w:iCs/>
        </w:rPr>
        <w:t xml:space="preserve"> interaction with another stressor</w:t>
      </w:r>
      <w:r w:rsidR="00874573" w:rsidRPr="000468BF">
        <w:rPr>
          <w:i/>
          <w:iCs/>
        </w:rPr>
        <w:t>.</w:t>
      </w:r>
      <w:r w:rsidR="001B7C26" w:rsidRPr="000468BF">
        <w:rPr>
          <w:i/>
          <w:iCs/>
        </w:rPr>
        <w:t xml:space="preserve"> Shows that the </w:t>
      </w:r>
      <w:r w:rsidR="00681CBF" w:rsidRPr="000468BF">
        <w:rPr>
          <w:i/>
          <w:iCs/>
        </w:rPr>
        <w:t xml:space="preserve">small effect of the insecticide in isolation </w:t>
      </w:r>
      <w:r w:rsidR="001B7C26" w:rsidRPr="000468BF">
        <w:rPr>
          <w:i/>
          <w:iCs/>
        </w:rPr>
        <w:t>is due to efflux not a lack of intracellular targets.</w:t>
      </w:r>
    </w:p>
    <w:p w14:paraId="3E1C44E3" w14:textId="5D8B9466" w:rsidR="00D05C00" w:rsidRPr="000468BF" w:rsidRDefault="00D05C00" w:rsidP="00966FD6">
      <w:pPr>
        <w:spacing w:line="360" w:lineRule="auto"/>
        <w:rPr>
          <w:i/>
          <w:iCs/>
        </w:rPr>
      </w:pPr>
    </w:p>
    <w:p w14:paraId="4EC90863" w14:textId="467248F5" w:rsidR="00D05C00" w:rsidRDefault="001B7C26" w:rsidP="00966FD6">
      <w:pPr>
        <w:spacing w:line="360" w:lineRule="auto"/>
      </w:pPr>
      <w:r w:rsidRPr="000468BF">
        <w:rPr>
          <w:i/>
          <w:iCs/>
        </w:rPr>
        <w:t>Therefore, t</w:t>
      </w:r>
      <w:r w:rsidR="00D05C00" w:rsidRPr="000468BF">
        <w:rPr>
          <w:i/>
          <w:iCs/>
        </w:rPr>
        <w:t xml:space="preserve">his experiment is an indirect way of looking at intracellular </w:t>
      </w:r>
      <w:r w:rsidRPr="000468BF">
        <w:rPr>
          <w:i/>
          <w:iCs/>
        </w:rPr>
        <w:t>effect</w:t>
      </w:r>
      <w:r w:rsidR="00681CBF" w:rsidRPr="000468BF">
        <w:rPr>
          <w:i/>
          <w:iCs/>
        </w:rPr>
        <w:t xml:space="preserve"> of the insecticide in isolation</w:t>
      </w:r>
      <w:r w:rsidRPr="000468BF">
        <w:rPr>
          <w:i/>
          <w:iCs/>
        </w:rPr>
        <w:t>.</w:t>
      </w:r>
      <w:r w:rsidR="00D05C00" w:rsidRPr="000468BF">
        <w:rPr>
          <w:i/>
          <w:iCs/>
        </w:rPr>
        <w:t xml:space="preserve"> </w:t>
      </w:r>
    </w:p>
    <w:p w14:paraId="2965AAE8" w14:textId="3C5A6032" w:rsidR="000468BF" w:rsidRDefault="000468BF" w:rsidP="00966FD6">
      <w:pPr>
        <w:spacing w:line="360" w:lineRule="auto"/>
      </w:pPr>
    </w:p>
    <w:p w14:paraId="25C1096C" w14:textId="1585F872" w:rsidR="000468BF" w:rsidRPr="000468BF" w:rsidRDefault="000468BF" w:rsidP="00966FD6">
      <w:pPr>
        <w:spacing w:line="360" w:lineRule="auto"/>
      </w:pPr>
      <w:r>
        <w:t xml:space="preserve">This wasn’t his argument. I misunderstood. It was simply that if there is a synergistic effect between NaCl and insecticide then insecticide is having some form of effect (albeit in tandem with another stressor). </w:t>
      </w:r>
    </w:p>
    <w:p w14:paraId="7924AB48" w14:textId="0ECBDF2C" w:rsidR="00874573" w:rsidRDefault="00874573" w:rsidP="00966FD6">
      <w:pPr>
        <w:spacing w:line="360" w:lineRule="auto"/>
      </w:pPr>
    </w:p>
    <w:p w14:paraId="3E3D51C2" w14:textId="34E338AA" w:rsidR="00874573" w:rsidRDefault="00874573" w:rsidP="00966FD6">
      <w:pPr>
        <w:spacing w:line="360" w:lineRule="auto"/>
      </w:pPr>
      <w:r>
        <w:t xml:space="preserve">My argument – </w:t>
      </w:r>
    </w:p>
    <w:p w14:paraId="0C01A575" w14:textId="363528DC" w:rsidR="00333FE3" w:rsidRDefault="00333FE3" w:rsidP="00966FD6">
      <w:pPr>
        <w:spacing w:line="360" w:lineRule="auto"/>
      </w:pPr>
    </w:p>
    <w:p w14:paraId="306D51F8" w14:textId="278389D5" w:rsidR="00333FE3" w:rsidRDefault="00333FE3" w:rsidP="00966FD6">
      <w:pPr>
        <w:spacing w:line="360" w:lineRule="auto"/>
      </w:pPr>
      <w:r>
        <w:t xml:space="preserve">If additive result, this only shows that there is no interaction between NaCl and insecticide stress. Nothing regarding the insecticide only intracellular effect can be concluded from this result. </w:t>
      </w:r>
    </w:p>
    <w:p w14:paraId="7F0524A1" w14:textId="035B25DC" w:rsidR="00333FE3" w:rsidRDefault="00333FE3" w:rsidP="00966FD6">
      <w:pPr>
        <w:spacing w:line="360" w:lineRule="auto"/>
      </w:pPr>
    </w:p>
    <w:p w14:paraId="5AC815A7" w14:textId="1B445C14" w:rsidR="00333FE3" w:rsidRDefault="00333FE3" w:rsidP="00966FD6">
      <w:pPr>
        <w:spacing w:line="360" w:lineRule="auto"/>
      </w:pPr>
      <w:r>
        <w:t>If synergistic result, this only shows there is an interaction between the two stressors. Again</w:t>
      </w:r>
      <w:r w:rsidR="0080333E">
        <w:t xml:space="preserve">, </w:t>
      </w:r>
      <w:r>
        <w:t xml:space="preserve">nothing can be inferred about the intracellular </w:t>
      </w:r>
      <w:r w:rsidR="00EF774C">
        <w:t xml:space="preserve">status of yeast </w:t>
      </w:r>
      <w:r w:rsidR="0080333E">
        <w:t>for</w:t>
      </w:r>
      <w:r w:rsidR="00D70DA8">
        <w:t xml:space="preserve"> the</w:t>
      </w:r>
      <w:r w:rsidR="00EF774C">
        <w:t xml:space="preserve"> insecticide only treatment. </w:t>
      </w:r>
    </w:p>
    <w:p w14:paraId="5D00F622" w14:textId="08EF6373" w:rsidR="00EF774C" w:rsidRDefault="00EF774C" w:rsidP="00966FD6">
      <w:pPr>
        <w:spacing w:line="360" w:lineRule="auto"/>
      </w:pPr>
    </w:p>
    <w:p w14:paraId="2278F510" w14:textId="67DF09E8" w:rsidR="00B36D83" w:rsidRDefault="00EF774C" w:rsidP="00966FD6">
      <w:pPr>
        <w:spacing w:line="360" w:lineRule="auto"/>
      </w:pPr>
      <w:r>
        <w:t xml:space="preserve">My reasoning – There </w:t>
      </w:r>
      <w:r w:rsidR="00B36D83">
        <w:t>is an</w:t>
      </w:r>
      <w:r>
        <w:t xml:space="preserve"> alternative explanation</w:t>
      </w:r>
      <w:r w:rsidR="00A0291B">
        <w:t xml:space="preserve"> </w:t>
      </w:r>
      <w:r>
        <w:t xml:space="preserve">to </w:t>
      </w:r>
      <w:proofErr w:type="spellStart"/>
      <w:r>
        <w:t>yannick’s</w:t>
      </w:r>
      <w:proofErr w:type="spellEnd"/>
      <w:r>
        <w:t xml:space="preserve">. </w:t>
      </w:r>
      <w:r w:rsidR="00B36D83">
        <w:t>For</w:t>
      </w:r>
      <w:r w:rsidR="0080333E">
        <w:t xml:space="preserve"> the synergistic result</w:t>
      </w:r>
      <w:r w:rsidR="00B36D83">
        <w:t xml:space="preserve">, this </w:t>
      </w:r>
      <w:r w:rsidR="0080333E">
        <w:t>wouldn’t necessarily be uncovering a previously undetect</w:t>
      </w:r>
      <w:r w:rsidR="00A0291B">
        <w:t>ed</w:t>
      </w:r>
      <w:r w:rsidR="00105F7A">
        <w:t>, but present</w:t>
      </w:r>
      <w:r w:rsidR="002A1A30">
        <w:t>/potential</w:t>
      </w:r>
      <w:r w:rsidR="00105F7A">
        <w:t>,</w:t>
      </w:r>
      <w:r w:rsidR="0080333E">
        <w:t xml:space="preserve"> insecticide only effect. </w:t>
      </w:r>
      <w:r w:rsidR="00105F7A">
        <w:t>The insecticide</w:t>
      </w:r>
      <w:r w:rsidR="00B36D83">
        <w:t xml:space="preserve"> in isolation</w:t>
      </w:r>
      <w:r w:rsidR="00105F7A">
        <w:t xml:space="preserve"> may be present at high intracellular concentrations</w:t>
      </w:r>
      <w:r w:rsidR="00B36D83">
        <w:t xml:space="preserve"> and be benign</w:t>
      </w:r>
      <w:r w:rsidR="00105F7A">
        <w:t xml:space="preserve">, and only have an effect when combined with NaCl. </w:t>
      </w:r>
      <w:r w:rsidR="00373D40">
        <w:t xml:space="preserve">There are multiple examples of </w:t>
      </w:r>
      <w:r w:rsidR="00384AEF">
        <w:t xml:space="preserve">where two </w:t>
      </w:r>
      <w:r w:rsidR="00645119">
        <w:t>substances</w:t>
      </w:r>
      <w:r w:rsidR="00384AEF">
        <w:t xml:space="preserve"> in isolation are harmless, but when combined are toxic, </w:t>
      </w:r>
      <w:r w:rsidR="00373D40">
        <w:t>in the literature</w:t>
      </w:r>
      <w:r w:rsidR="00373D40">
        <w:fldChar w:fldCharType="begin" w:fldLock="1"/>
      </w:r>
      <w:r w:rsidR="00AF55F4">
        <w:instrText>ADDIN CSL_CITATION {"citationItems":[{"id":"ITEM-1","itemData":{"DOI":"10.1016/j.toxrep.2018.10.010","ISSN":"22147500","abstract":"This editorial addresses the effects of toxic stimuli combinations on determination of safe Exposure Limits. Examination of thousands of Medline abstracts showed typically that combinations of toxic stimuli can produce damage even when the exposure level of each member of the combination is less than the lowest exposure level of the member that produced damage when tested in isolation. The synergy of the toxic stimuli in combination means less of each component stimulus is required to cause damage compared to exposure levels when tested in isolation. This Editorial concludes there is no reason to believe today that the Exposure Limits on potentially toxic stimuli that have been set by the regulatory agencies are fully protective against serious adverse health effects in all real life exposure scenarios. The conclusion is applicable to essentially all potential contributing factors to disease amenable to Exposure Limits, including not only chemicals but other types of exposures such as radiofrequency radiation (RFR).","author":[{"dropping-particle":"","family":"Kostoff","given":"Ronald N.","non-dropping-particle":"","parse-names":false,"suffix":""},{"dropping-particle":"","family":"Goumenou","given":"Marina","non-dropping-particle":"","parse-names":false,"suffix":""},{"dropping-particle":"","family":"Tsatsakis","given":"Aristidis","non-dropping-particle":"","parse-names":false,"suffix":""}],"container-title":"Toxicology Reports","id":"ITEM-1","issue":"October","issued":{"date-parts":[["2018"]]},"page":"1169-1172","title":"The role of toxic stimuli combinations in determining safe exposure limits","type":"article-journal","volume":"5"},"uris":["http://www.mendeley.com/documents/?uuid=a2f18419-ed0a-43f7-8022-c9af411c842d"]}],"mendeley":{"formattedCitation":"&lt;sup&gt;1&lt;/sup&gt;","plainTextFormattedCitation":"1","previouslyFormattedCitation":"&lt;sup&gt;1&lt;/sup&gt;"},"properties":{"noteIndex":0},"schema":"https://github.com/citation-style-language/schema/raw/master/csl-citation.json"}</w:instrText>
      </w:r>
      <w:r w:rsidR="00373D40">
        <w:fldChar w:fldCharType="separate"/>
      </w:r>
      <w:r w:rsidR="00373D40" w:rsidRPr="00373D40">
        <w:rPr>
          <w:noProof/>
          <w:vertAlign w:val="superscript"/>
        </w:rPr>
        <w:t>1</w:t>
      </w:r>
      <w:r w:rsidR="00373D40">
        <w:fldChar w:fldCharType="end"/>
      </w:r>
      <w:r w:rsidR="00373D40">
        <w:t>.</w:t>
      </w:r>
      <w:r w:rsidR="00B96075">
        <w:t xml:space="preserve"> </w:t>
      </w:r>
      <w:r w:rsidR="00206CAF">
        <w:t xml:space="preserve">It’s possible that treatment with the insecticide in isolation leads to a low intracellular concentration (due to poor influx or rapid efflux) and a small effect, and combination with NaCl either facilitates insecticide entry or heightens the existing effects driven by </w:t>
      </w:r>
      <w:r w:rsidR="005C5555">
        <w:t xml:space="preserve">the </w:t>
      </w:r>
      <w:r w:rsidR="00206CAF">
        <w:t xml:space="preserve">low </w:t>
      </w:r>
      <w:r w:rsidR="005C5555">
        <w:t xml:space="preserve">intracellular </w:t>
      </w:r>
      <w:r w:rsidR="00206CAF">
        <w:t xml:space="preserve">insecticide concentration. But this isn’t the only explanation. </w:t>
      </w:r>
      <w:r w:rsidR="00123E8B">
        <w:t xml:space="preserve">Furthermore, the additive result would also be inconclusive: </w:t>
      </w:r>
      <w:r w:rsidR="004B26EB">
        <w:t xml:space="preserve">maybe, on treatment with only the insecticide, intracellular insecticide concentration isn’t reflective of the media concentration due to poor influx, and NaCl treatment doesn’t remedy this. In this case, the insecticide in combination with NaCl would still have no effect but may if it was present intracellularly. </w:t>
      </w:r>
      <w:r w:rsidR="00852154">
        <w:t>An alternative explanation is the</w:t>
      </w:r>
      <w:r w:rsidR="00C408CC">
        <w:t xml:space="preserve"> insecticide in isolation treatment results in a low intracellular concentration (due to poor influx or rapid efflux) and a small, undetectable effect, but there is no interaction between this and the effect of NaCl. </w:t>
      </w:r>
    </w:p>
    <w:p w14:paraId="758AEF98" w14:textId="6E1686F0" w:rsidR="00C14464" w:rsidRDefault="00C14464" w:rsidP="00966FD6">
      <w:pPr>
        <w:spacing w:line="360" w:lineRule="auto"/>
      </w:pPr>
    </w:p>
    <w:p w14:paraId="7143949A" w14:textId="6C8A1A8B" w:rsidR="00C14464" w:rsidRDefault="00C14464" w:rsidP="00966FD6">
      <w:pPr>
        <w:spacing w:line="360" w:lineRule="auto"/>
      </w:pPr>
      <w:r>
        <w:t xml:space="preserve">An alternative/additional experiment would be to try and measure intracellular insecticide concentration using quantitative mass spec. This would at least clarify if the lack of effect for most insecticides </w:t>
      </w:r>
      <w:r w:rsidR="005C5555">
        <w:t>is</w:t>
      </w:r>
      <w:r>
        <w:t xml:space="preserve"> due to </w:t>
      </w:r>
      <w:r w:rsidR="005C5555">
        <w:t xml:space="preserve">a </w:t>
      </w:r>
      <w:r>
        <w:t xml:space="preserve">low intracellular concentration. Of course, if their intracellular concentration </w:t>
      </w:r>
      <w:r w:rsidR="005C5555">
        <w:t>is</w:t>
      </w:r>
      <w:r>
        <w:t xml:space="preserve"> low this wouldn’t answer if they would have an effect </w:t>
      </w:r>
      <w:r w:rsidR="005C5555">
        <w:t xml:space="preserve">if </w:t>
      </w:r>
      <w:r>
        <w:t xml:space="preserve">it </w:t>
      </w:r>
      <w:r w:rsidR="005C5555">
        <w:t>were</w:t>
      </w:r>
      <w:r>
        <w:t xml:space="preserve"> high. </w:t>
      </w:r>
      <w:r w:rsidR="00F22B15">
        <w:t>Moreover, my results would more relevant if there was only a low intracellular concentration. For example, with Thiacloprid I could then argue that the concentrations tested were relevant as the intracellular concentration was actually similar to those encountered in agricultural settings</w:t>
      </w:r>
      <w:r w:rsidR="00974A8B">
        <w:t xml:space="preserve"> (for soil microbes at least)</w:t>
      </w:r>
      <w:r w:rsidR="00F22B15">
        <w:t>. Of course, a counter argument exists where the concentrations encountered in field realistic settings are actually present at much lower levels intracellularly</w:t>
      </w:r>
      <w:r w:rsidR="00974A8B">
        <w:t xml:space="preserve"> too</w:t>
      </w:r>
      <w:r w:rsidR="00F22B15">
        <w:t xml:space="preserve">. </w:t>
      </w:r>
    </w:p>
    <w:p w14:paraId="2658D922" w14:textId="398EA4F3" w:rsidR="00D84C17" w:rsidRDefault="00D84C17" w:rsidP="00966FD6">
      <w:pPr>
        <w:spacing w:line="360" w:lineRule="auto"/>
      </w:pPr>
    </w:p>
    <w:p w14:paraId="2B53D39F" w14:textId="77777777" w:rsidR="003A5171" w:rsidRDefault="00D84C17" w:rsidP="00966FD6">
      <w:pPr>
        <w:spacing w:line="360" w:lineRule="auto"/>
      </w:pPr>
      <w:r w:rsidRPr="003A5171">
        <w:rPr>
          <w:u w:val="single"/>
        </w:rPr>
        <w:t>Response to gene expression study</w:t>
      </w:r>
    </w:p>
    <w:p w14:paraId="4B1415E1" w14:textId="5076EF44" w:rsidR="00C4238D" w:rsidRDefault="00D84C17" w:rsidP="00966FD6">
      <w:pPr>
        <w:pBdr>
          <w:bottom w:val="single" w:sz="12" w:space="1" w:color="auto"/>
        </w:pBdr>
        <w:spacing w:line="360" w:lineRule="auto"/>
      </w:pPr>
      <w:r>
        <w:t xml:space="preserve">Yannick mentioned performing it anyway with </w:t>
      </w:r>
      <w:proofErr w:type="spellStart"/>
      <w:r>
        <w:t>yeast+NaCl</w:t>
      </w:r>
      <w:proofErr w:type="spellEnd"/>
      <w:r>
        <w:t xml:space="preserve"> as a control and </w:t>
      </w:r>
      <w:proofErr w:type="spellStart"/>
      <w:r>
        <w:t>yeast+NaCl+insecticide</w:t>
      </w:r>
      <w:proofErr w:type="spellEnd"/>
      <w:r>
        <w:t xml:space="preserve"> as the treatment. This wouldn’t necessarily inform on insecticide </w:t>
      </w:r>
      <w:r>
        <w:lastRenderedPageBreak/>
        <w:t xml:space="preserve">only effects. The observed effects may only be present in the combination of the two stressors. </w:t>
      </w:r>
      <w:r w:rsidR="00C4238D">
        <w:t xml:space="preserve">The interaction between insecticide and salt is only interesting for marine fungi. This isn’t what I’m interested in. </w:t>
      </w:r>
    </w:p>
    <w:p w14:paraId="7DC5F092" w14:textId="77777777" w:rsidR="00644115" w:rsidRDefault="00644115" w:rsidP="00966FD6">
      <w:pPr>
        <w:pBdr>
          <w:bottom w:val="single" w:sz="12" w:space="1" w:color="auto"/>
        </w:pBdr>
        <w:spacing w:line="360" w:lineRule="auto"/>
      </w:pPr>
    </w:p>
    <w:p w14:paraId="7DE1CE06" w14:textId="5AA9B32A" w:rsidR="00644115" w:rsidRDefault="00644115" w:rsidP="00966FD6">
      <w:pPr>
        <w:spacing w:line="360" w:lineRule="auto"/>
      </w:pPr>
    </w:p>
    <w:p w14:paraId="58C749E4" w14:textId="765E9221" w:rsidR="00644115" w:rsidRDefault="00644115" w:rsidP="00966FD6">
      <w:pPr>
        <w:spacing w:line="360" w:lineRule="auto"/>
        <w:rPr>
          <w:b/>
          <w:bCs/>
        </w:rPr>
      </w:pPr>
      <w:r>
        <w:rPr>
          <w:b/>
          <w:bCs/>
        </w:rPr>
        <w:t xml:space="preserve">Above was a criticism of something Yannick didn’t mean. Useful if it comes up again but otherwise ignore. </w:t>
      </w:r>
    </w:p>
    <w:p w14:paraId="2518E0D8" w14:textId="467684D4" w:rsidR="00644115" w:rsidRDefault="00644115" w:rsidP="00966FD6">
      <w:pPr>
        <w:pBdr>
          <w:bottom w:val="single" w:sz="12" w:space="1" w:color="auto"/>
        </w:pBdr>
        <w:spacing w:line="360" w:lineRule="auto"/>
        <w:rPr>
          <w:b/>
          <w:bCs/>
        </w:rPr>
      </w:pPr>
    </w:p>
    <w:p w14:paraId="31D21298" w14:textId="77777777" w:rsidR="00644115" w:rsidRPr="00644115" w:rsidRDefault="00644115" w:rsidP="00966FD6">
      <w:pPr>
        <w:spacing w:line="360" w:lineRule="auto"/>
        <w:rPr>
          <w:b/>
          <w:bCs/>
        </w:rPr>
      </w:pPr>
    </w:p>
    <w:p w14:paraId="7F8CAD50" w14:textId="5022333A" w:rsidR="007337E5" w:rsidRDefault="005413BE" w:rsidP="00966FD6">
      <w:pPr>
        <w:spacing w:line="360" w:lineRule="auto"/>
        <w:rPr>
          <w:u w:val="single"/>
        </w:rPr>
      </w:pPr>
      <w:r>
        <w:rPr>
          <w:u w:val="single"/>
        </w:rPr>
        <w:t>Other Options for Investigating Off Target Effects</w:t>
      </w:r>
    </w:p>
    <w:p w14:paraId="6208A948" w14:textId="6A900702" w:rsidR="007337E5" w:rsidRDefault="007337E5" w:rsidP="00966FD6">
      <w:pPr>
        <w:spacing w:line="360" w:lineRule="auto"/>
      </w:pPr>
      <w:r>
        <w:t>Choose an insect cell line</w:t>
      </w:r>
      <w:r w:rsidR="00B13ECD">
        <w:t xml:space="preserve"> (potentially Sf9</w:t>
      </w:r>
      <w:r w:rsidR="00F6292D">
        <w:t xml:space="preserve"> (Sf21 </w:t>
      </w:r>
      <w:proofErr w:type="spellStart"/>
      <w:r w:rsidR="00F6292D">
        <w:t>substrain</w:t>
      </w:r>
      <w:proofErr w:type="spellEnd"/>
      <w:r w:rsidR="00F6292D">
        <w:t>)</w:t>
      </w:r>
      <w:r w:rsidR="00B2305A">
        <w:t xml:space="preserve"> derived from </w:t>
      </w:r>
      <w:r w:rsidR="00B2305A" w:rsidRPr="00B2305A">
        <w:rPr>
          <w:i/>
          <w:iCs/>
        </w:rPr>
        <w:t xml:space="preserve">Spodoptera </w:t>
      </w:r>
      <w:proofErr w:type="spellStart"/>
      <w:r w:rsidR="00B2305A" w:rsidRPr="00B2305A">
        <w:rPr>
          <w:i/>
          <w:iCs/>
        </w:rPr>
        <w:t>frugiperda</w:t>
      </w:r>
      <w:proofErr w:type="spellEnd"/>
      <w:r w:rsidR="00B2305A">
        <w:t>, fall army worm moth</w:t>
      </w:r>
      <w:r w:rsidR="00B2305A" w:rsidRPr="00B2305A">
        <w:rPr>
          <w:i/>
          <w:iCs/>
        </w:rPr>
        <w:t>)</w:t>
      </w:r>
      <w:r w:rsidR="00B13ECD" w:rsidRPr="00B2305A">
        <w:rPr>
          <w:i/>
          <w:iCs/>
        </w:rPr>
        <w:t xml:space="preserve"> </w:t>
      </w:r>
      <w:r w:rsidR="00B13ECD">
        <w:t>or High Five</w:t>
      </w:r>
      <w:r w:rsidR="00DA07BF">
        <w:t xml:space="preserve"> (or another cell line derived from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B2305A">
        <w:t>, cabbage looper</w:t>
      </w:r>
      <w:r w:rsidR="00B13ECD">
        <w:t>)</w:t>
      </w:r>
      <w:r>
        <w:t xml:space="preserve"> that doesn’t express nAchR</w:t>
      </w:r>
      <w:r w:rsidR="00644115">
        <w:t xml:space="preserve"> (check existing RNA-</w:t>
      </w:r>
      <w:proofErr w:type="spellStart"/>
      <w:r w:rsidR="00644115">
        <w:t>seq</w:t>
      </w:r>
      <w:proofErr w:type="spellEnd"/>
      <w:r w:rsidR="00644115">
        <w:t xml:space="preserve"> data to see if nAchR expressed)</w:t>
      </w:r>
      <w:r w:rsidR="00C12A3F">
        <w:t>.</w:t>
      </w:r>
      <w:r w:rsidR="0056525B">
        <w:t xml:space="preserve"> </w:t>
      </w:r>
      <w:r>
        <w:t xml:space="preserve">Closer taxonomically to species of interest and </w:t>
      </w:r>
      <w:r w:rsidR="00A91A83">
        <w:t xml:space="preserve">(probably) </w:t>
      </w:r>
      <w:r>
        <w:t xml:space="preserve">won’t possess </w:t>
      </w:r>
      <w:r w:rsidR="00A91A83">
        <w:t xml:space="preserve">detoxification </w:t>
      </w:r>
      <w:r>
        <w:t>battery of plasma membrane transporters</w:t>
      </w:r>
      <w:r w:rsidR="00A91A83">
        <w:t xml:space="preserve">. Yeast are single cell organisms and require efficient detoxication mechanisms. </w:t>
      </w:r>
      <w:r w:rsidR="00BC0AC5">
        <w:t>Insect cell lines</w:t>
      </w:r>
      <w:r w:rsidR="00A91A83">
        <w:t xml:space="preserve">, </w:t>
      </w:r>
      <w:r w:rsidR="00BC0AC5">
        <w:t xml:space="preserve">on the other hand, </w:t>
      </w:r>
      <w:r w:rsidR="00A91A83">
        <w:t>unless derived from tissues associated with detoxification, wouldn’t be expected to</w:t>
      </w:r>
      <w:r>
        <w:t xml:space="preserve">. </w:t>
      </w:r>
      <w:r w:rsidR="0054378E">
        <w:t>For Sf9 there is a whole genome sequence available</w:t>
      </w:r>
      <w:r w:rsidR="00317F7F">
        <w:t xml:space="preserve"> and suspension culture </w:t>
      </w:r>
      <w:r w:rsidR="00DA07BF">
        <w:t xml:space="preserve">is </w:t>
      </w:r>
      <w:r w:rsidR="00317F7F">
        <w:t>possible</w:t>
      </w:r>
      <w:r w:rsidR="00317F7F">
        <w:fldChar w:fldCharType="begin" w:fldLock="1"/>
      </w:r>
      <w:r w:rsidR="00DA07BF">
        <w:instrText>ADDIN CSL_CITATION {"citationItems":[{"id":"ITEM-1","itemData":{"DOI":"10.1128/genomeA.00829-17","ISSN":"21698287","abstract":"The draft whole-genome sequence of the Spodoptera frugiperda Sf9 insect cell line was obtained using long-read PacBio sequence technology and Canu assembly. The final assembled genome consisted of 451 Mbp in 4,577 contigs, with 12,716× mean coverage and a G+C content of 36.53%.","author":[{"dropping-particle":"","family":"Nandakumar","given":"Subhiksha","non-dropping-particle":"","parse-names":false,"suffix":""},{"dropping-particle":"","family":"Ma","given":"Hailun","non-dropping-particle":"","parse-names":false,"suffix":""},{"dropping-particle":"","family":"Khan","given":"Arifa S.","non-dropping-particle":"","parse-names":false,"suffix":""}],"container-title":"Genome Announcements","id":"ITEM-1","issue":"34","issued":{"date-parts":[["2017"]]},"page":"9-10","title":"Whole-genome sequence of the Spodoptera frugiperda Sf9 insect cell line","type":"article-journal","volume":"5"},"uris":["http://www.mendeley.com/documents/?uuid=2f6f791a-d544-4bf3-a282-e2f1ee180633"]},{"id":"ITEM-2","itemData":{"abstract":"High Five Cells (BTI-TN-5B1-4) are a clonal isolate derived from the parental Trichoplusia ni cell line (cabbage looper ovary) and are commonly used for the expression of recombinant proteins using the Baculovirus Expression Vector System (BEVS). High Five Insect Cells are adapted to serum-free cult","author":[{"dropping-particle":"","family":"Scientific","given":"Thermo Fisher","non-dropping-particle":"","parse-names":false,"suffix":""}],"id":"ITEM-2","issued":{"date-parts":[["2016"]]},"title":"High Five Cells in Express Five Medium - Thermo Fisher Scientific","type":"article-journal"},"uris":["http://www.mendeley.com/documents/?uuid=82cbbef7-3072-4ff9-af53-b941f2051a99"]}],"mendeley":{"formattedCitation":"&lt;sup&gt;3,4&lt;/sup&gt;","plainTextFormattedCitation":"3,4","previouslyFormattedCitation":"&lt;sup&gt;3,4&lt;/sup&gt;"},"properties":{"noteIndex":0},"schema":"https://github.com/citation-style-language/schema/raw/master/csl-citation.json"}</w:instrText>
      </w:r>
      <w:r w:rsidR="00317F7F">
        <w:fldChar w:fldCharType="separate"/>
      </w:r>
      <w:r w:rsidR="00317F7F" w:rsidRPr="00317F7F">
        <w:rPr>
          <w:noProof/>
          <w:vertAlign w:val="superscript"/>
        </w:rPr>
        <w:t>3,4</w:t>
      </w:r>
      <w:r w:rsidR="00317F7F">
        <w:fldChar w:fldCharType="end"/>
      </w:r>
      <w:r w:rsidR="00AF55F4">
        <w:t>.</w:t>
      </w:r>
      <w:r w:rsidR="00DA07BF">
        <w:t xml:space="preserve"> Genome assembly for </w:t>
      </w:r>
      <w:proofErr w:type="spellStart"/>
      <w:r w:rsidR="00DA07BF" w:rsidRPr="00DA07BF">
        <w:rPr>
          <w:i/>
          <w:iCs/>
        </w:rPr>
        <w:t>Trichoplusia</w:t>
      </w:r>
      <w:proofErr w:type="spellEnd"/>
      <w:r w:rsidR="00DA07BF" w:rsidRPr="00DA07BF">
        <w:rPr>
          <w:i/>
          <w:iCs/>
        </w:rPr>
        <w:t xml:space="preserve"> </w:t>
      </w:r>
      <w:proofErr w:type="spellStart"/>
      <w:r w:rsidR="00DA07BF" w:rsidRPr="00DA07BF">
        <w:rPr>
          <w:i/>
          <w:iCs/>
        </w:rPr>
        <w:t>ni</w:t>
      </w:r>
      <w:proofErr w:type="spellEnd"/>
      <w:r w:rsidR="00DA07BF" w:rsidRPr="00DA07BF">
        <w:t xml:space="preserve"> </w:t>
      </w:r>
      <w:proofErr w:type="spellStart"/>
      <w:r w:rsidR="00DA07BF" w:rsidRPr="00DA07BF">
        <w:t>Tni</w:t>
      </w:r>
      <w:proofErr w:type="spellEnd"/>
      <w:r w:rsidR="00DA07BF" w:rsidRPr="00DA07BF">
        <w:t xml:space="preserve">-FNL </w:t>
      </w:r>
      <w:r w:rsidR="00DA07BF">
        <w:t>i</w:t>
      </w:r>
      <w:r w:rsidR="00DA07BF" w:rsidRPr="00DA07BF">
        <w:t xml:space="preserve">nsect </w:t>
      </w:r>
      <w:r w:rsidR="00DA07BF">
        <w:t>c</w:t>
      </w:r>
      <w:r w:rsidR="00DA07BF" w:rsidRPr="00DA07BF">
        <w:t xml:space="preserve">ell </w:t>
      </w:r>
      <w:r w:rsidR="00DA07BF">
        <w:t>l</w:t>
      </w:r>
      <w:r w:rsidR="00DA07BF" w:rsidRPr="00DA07BF">
        <w:t>ine</w:t>
      </w:r>
      <w:r w:rsidR="00DA07BF">
        <w:t xml:space="preserve"> available and </w:t>
      </w:r>
      <w:r w:rsidR="00DA07BF" w:rsidRPr="00DA07BF">
        <w:t>was</w:t>
      </w:r>
      <w:r w:rsidR="00F849D6">
        <w:t xml:space="preserve"> originally</w:t>
      </w:r>
      <w:r w:rsidR="00DA07BF" w:rsidRPr="00DA07BF">
        <w:t xml:space="preserve"> selected for suspension growth</w:t>
      </w:r>
      <w:r w:rsidR="00DA07BF">
        <w:fldChar w:fldCharType="begin" w:fldLock="1"/>
      </w:r>
      <w:r w:rsidR="00FD61A4">
        <w:instrText>ADDIN CSL_CITATION {"citationItems":[{"id":"ITEM-1","itemData":{"DOI":"10.3390/genes10020079","ISSN":"20734425","abstract":"Background: Trichoplusia ni derived cell lines are commonly used to enable recombinant protein expression via baculovirus infection to generate materials approved for clinical use and in clinical trials. In order to develop systems biology and genome engineering tools to improve protein expression in this host, we performed de novo genome assembly of the Trichoplusia ni-derived cell line Tni-FNL. Methods: By integration of PacBio single-molecule sequencing, Bionano optical mapping, and 10X Genomics linked-reads data, we have produced a draft genome assembly of Tni-FNL. Results: Our assembly contains 280 scaffolds, with a N50 scaffold size of 2.3 Mb and a total length of 359 Mb. Annotation of the Tni-FNL genome resulted in 14,101 predicted genes and 93.2% of the predicted proteome contained recognizable protein domains. Ortholog searches within the superorder Holometabola provided further evidence of high accuracy and completeness of the Tni-FNL genome assembly. Conclusions: This first draft Tni-FNL genome assembly was enabled by complementary long-read technologies and represents a high-quality, well-annotated genome that provides novel insight into the complexity of this insect cell line and can serve as a reference for future large-scale genome engineering work in this and other similar recombinant protein production hosts.","author":[{"dropping-particle":"","family":"Talsania","given":"Keyur","non-dropping-particle":"","parse-names":false,"suffix":""},{"dropping-particle":"","family":"Mehta","given":"Monika","non-dropping-particle":"","parse-names":false,"suffix":""},{"dropping-particle":"","family":"Raley","given":"Castle","non-dropping-particle":"","parse-names":false,"suffix":""},{"dropping-particle":"","family":"Kriga","given":"Yuliya","non-dropping-particle":"","parse-names":false,"suffix":""},{"dropping-particle":"","family":"Gowda","given":"Sujatha","non-dropping-particle":"","parse-names":false,"suffix":""},{"dropping-particle":"","family":"Grose","given":"Carissa","non-dropping-particle":"","parse-names":false,"suffix":""},{"dropping-particle":"","family":"Drew","given":"Matthew","non-dropping-particle":"","parse-names":false,"suffix":""},{"dropping-particle":"","family":"Roberts","given":"Veronica","non-dropping-particle":"","parse-names":false,"suffix":""},{"dropping-particle":"","family":"Cheng","given":"Kwong Tai","non-dropping-particle":"","parse-names":false,"suffix":""},{"dropping-particle":"","family":"Burkett","given":"Sandra","non-dropping-particle":"","parse-names":false,"suffix":""},{"dropping-particle":"","family":"Oeser","given":"Steffen","non-dropping-particle":"","parse-names":false,"suffix":""},{"dropping-particle":"","family":"Stephens","given":"Robert","non-dropping-particle":"","parse-names":false,"suffix":""},{"dropping-particle":"","family":"Soppet","given":"Daniel","non-dropping-particle":"","parse-names":false,"suffix":""},{"dropping-particle":"","family":"Chen","given":"Xiongfeng","non-dropping-particle":"","parse-names":false,"suffix":""},{"dropping-particle":"","family":"Kumar","given":"Parimal","non-dropping-particle":"","parse-names":false,"suffix":""},{"dropping-particle":"","family":"German","given":"Oksana","non-dropping-particle":"","parse-names":false,"suffix":""},{"dropping-particle":"","family":"Smirnova","given":"Tatyana","non-dropping-particle":"","parse-names":false,"suffix":""},{"dropping-particle":"","family":"Hautman","given":"Christopher","non-dropping-particle":"","parse-names":false,"suffix":""},{"dropping-particle":"","family":"Shetty","given":"Jyoti","non-dropping-particle":"","parse-names":false,"suffix":""},{"dropping-particle":"","family":"Tran","given":"Bao","non-dropping-particle":"","parse-names":false,"suffix":""},{"dropping-particle":"","family":"Zhao","given":"Yongmei","non-dropping-particle":"","parse-names":false,"suffix":""},{"dropping-particle":"","family":"Esposito","given":"Dominic","non-dropping-particle":"","parse-names":false,"suffix":""}],"container-title":"Genes","id":"ITEM-1","issue":"2","issued":{"date-parts":[["2019"]]},"title":"Genome assembly and annotation of the trichoplusia ni Tni-FNL insect cell line enabled by long-read technologies","type":"article-journal","volume":"10"},"uris":["http://www.mendeley.com/documents/?uuid=4745c5e2-7d29-4250-8487-3333420d0a76"]}],"mendeley":{"formattedCitation":"&lt;sup&gt;5&lt;/sup&gt;","plainTextFormattedCitation":"5","previouslyFormattedCitation":"&lt;sup&gt;5&lt;/sup&gt;"},"properties":{"noteIndex":0},"schema":"https://github.com/citation-style-language/schema/raw/master/csl-citation.json"}</w:instrText>
      </w:r>
      <w:r w:rsidR="00DA07BF">
        <w:fldChar w:fldCharType="separate"/>
      </w:r>
      <w:r w:rsidR="00DA07BF" w:rsidRPr="00DA07BF">
        <w:rPr>
          <w:noProof/>
          <w:vertAlign w:val="superscript"/>
        </w:rPr>
        <w:t>5</w:t>
      </w:r>
      <w:r w:rsidR="00DA07BF">
        <w:fldChar w:fldCharType="end"/>
      </w:r>
      <w:r w:rsidR="00DA07BF">
        <w:t>.</w:t>
      </w:r>
      <w:r w:rsidR="00F123AC">
        <w:t xml:space="preserve"> Suspension important for growth measurements using a spectrophotometer. </w:t>
      </w:r>
      <w:r w:rsidR="00172CC3">
        <w:t xml:space="preserve">Even this isn’t a very strong idea (see below). </w:t>
      </w:r>
    </w:p>
    <w:p w14:paraId="37B20224" w14:textId="4308FD0A" w:rsidR="00644115" w:rsidRDefault="00644115" w:rsidP="00966FD6">
      <w:pPr>
        <w:spacing w:line="360" w:lineRule="auto"/>
      </w:pPr>
    </w:p>
    <w:p w14:paraId="06857CC7" w14:textId="3521C8C2" w:rsidR="00644115" w:rsidRDefault="00644115" w:rsidP="00966FD6">
      <w:pPr>
        <w:spacing w:line="360" w:lineRule="auto"/>
      </w:pPr>
      <w:r>
        <w:t xml:space="preserve">Look at effects in </w:t>
      </w:r>
      <w:proofErr w:type="spellStart"/>
      <w:proofErr w:type="gramStart"/>
      <w:r>
        <w:rPr>
          <w:i/>
          <w:iCs/>
        </w:rPr>
        <w:t>S.pombe</w:t>
      </w:r>
      <w:proofErr w:type="spellEnd"/>
      <w:proofErr w:type="gramEnd"/>
      <w:r>
        <w:t xml:space="preserve">. Evolutionary distance between </w:t>
      </w:r>
      <w:proofErr w:type="spellStart"/>
      <w:proofErr w:type="gramStart"/>
      <w:r w:rsidRPr="00727CB9">
        <w:rPr>
          <w:i/>
          <w:iCs/>
        </w:rPr>
        <w:t>S.pombe</w:t>
      </w:r>
      <w:proofErr w:type="spellEnd"/>
      <w:proofErr w:type="gramEnd"/>
      <w:r>
        <w:t xml:space="preserve"> and </w:t>
      </w:r>
      <w:r w:rsidRPr="00727CB9">
        <w:rPr>
          <w:i/>
          <w:iCs/>
        </w:rPr>
        <w:t>S.cerevisiae</w:t>
      </w:r>
      <w:r>
        <w:t xml:space="preserve"> similar to that of either one to mammals (Hoffman 2015 Genetics). For </w:t>
      </w:r>
      <w:proofErr w:type="spellStart"/>
      <w:proofErr w:type="gramStart"/>
      <w:r w:rsidR="00727CB9" w:rsidRPr="00727CB9">
        <w:rPr>
          <w:i/>
          <w:iCs/>
        </w:rPr>
        <w:t>S.</w:t>
      </w:r>
      <w:r w:rsidRPr="00727CB9">
        <w:rPr>
          <w:i/>
          <w:iCs/>
        </w:rPr>
        <w:t>pombe</w:t>
      </w:r>
      <w:proofErr w:type="spellEnd"/>
      <w:proofErr w:type="gramEnd"/>
      <w:r>
        <w:t xml:space="preserve">, 338 proteins conserved in vertebrates but absent in </w:t>
      </w:r>
      <w:r w:rsidR="00727CB9" w:rsidRPr="00727CB9">
        <w:rPr>
          <w:i/>
          <w:iCs/>
        </w:rPr>
        <w:t>S.</w:t>
      </w:r>
      <w:r w:rsidRPr="00727CB9">
        <w:rPr>
          <w:i/>
          <w:iCs/>
        </w:rPr>
        <w:t>cerevisiae</w:t>
      </w:r>
      <w:r>
        <w:t xml:space="preserve">. In comparison, 179 genes conserved between </w:t>
      </w:r>
      <w:proofErr w:type="gramStart"/>
      <w:r w:rsidR="00727CB9" w:rsidRPr="00727CB9">
        <w:rPr>
          <w:i/>
          <w:iCs/>
        </w:rPr>
        <w:t>S.</w:t>
      </w:r>
      <w:r w:rsidRPr="00727CB9">
        <w:rPr>
          <w:i/>
          <w:iCs/>
        </w:rPr>
        <w:t>cerevisiae</w:t>
      </w:r>
      <w:proofErr w:type="gramEnd"/>
      <w:r>
        <w:t xml:space="preserve"> and vertebrates that are absent from </w:t>
      </w:r>
      <w:proofErr w:type="spellStart"/>
      <w:r w:rsidR="00727CB9" w:rsidRPr="00727CB9">
        <w:rPr>
          <w:i/>
          <w:iCs/>
        </w:rPr>
        <w:t>S.</w:t>
      </w:r>
      <w:r w:rsidRPr="00727CB9">
        <w:rPr>
          <w:i/>
          <w:iCs/>
        </w:rPr>
        <w:t>pombe</w:t>
      </w:r>
      <w:proofErr w:type="spellEnd"/>
      <w:r>
        <w:t xml:space="preserve">. </w:t>
      </w:r>
      <w:r w:rsidR="00727CB9">
        <w:t xml:space="preserve">Do a similar analysis to above but for </w:t>
      </w:r>
      <w:proofErr w:type="spellStart"/>
      <w:proofErr w:type="gramStart"/>
      <w:r w:rsidR="00727CB9" w:rsidRPr="00727CB9">
        <w:rPr>
          <w:i/>
          <w:iCs/>
        </w:rPr>
        <w:t>B.terrestris</w:t>
      </w:r>
      <w:proofErr w:type="spellEnd"/>
      <w:proofErr w:type="gramEnd"/>
      <w:r w:rsidR="00727CB9">
        <w:t xml:space="preserve"> and </w:t>
      </w:r>
      <w:proofErr w:type="spellStart"/>
      <w:r w:rsidR="00727CB9" w:rsidRPr="00727CB9">
        <w:rPr>
          <w:i/>
          <w:iCs/>
        </w:rPr>
        <w:t>A.mellifera</w:t>
      </w:r>
      <w:proofErr w:type="spellEnd"/>
      <w:r w:rsidR="00727CB9">
        <w:t xml:space="preserve"> instead of vertebrates.</w:t>
      </w:r>
    </w:p>
    <w:p w14:paraId="6C1F9A15" w14:textId="13670F25" w:rsidR="00B6424D" w:rsidRDefault="00B6424D" w:rsidP="00966FD6">
      <w:pPr>
        <w:spacing w:line="360" w:lineRule="auto"/>
      </w:pPr>
    </w:p>
    <w:p w14:paraId="73BCA720" w14:textId="6F2D8648" w:rsidR="00B6424D" w:rsidRPr="00644115" w:rsidRDefault="00B6424D" w:rsidP="00966FD6">
      <w:pPr>
        <w:spacing w:line="360" w:lineRule="auto"/>
      </w:pPr>
      <w:r>
        <w:t xml:space="preserve">Measure intracellular concentration to display concentration causing observed effect. </w:t>
      </w:r>
    </w:p>
    <w:p w14:paraId="00286B2A" w14:textId="29A3DEB6" w:rsidR="00D4264D" w:rsidRDefault="00D4264D" w:rsidP="00966FD6">
      <w:pPr>
        <w:spacing w:line="360" w:lineRule="auto"/>
      </w:pPr>
    </w:p>
    <w:p w14:paraId="0EA3A54B" w14:textId="1D710A22" w:rsidR="00D4264D" w:rsidRDefault="00D4264D" w:rsidP="00966FD6">
      <w:pPr>
        <w:spacing w:line="360" w:lineRule="auto"/>
      </w:pPr>
      <w:r>
        <w:lastRenderedPageBreak/>
        <w:t xml:space="preserve">Explore the differences between formulations and active ingredients in yeast. If active formulations inhibit growth more than the active ingredients alone then there are some </w:t>
      </w:r>
      <w:r w:rsidR="004D38D5">
        <w:t>off-target</w:t>
      </w:r>
      <w:r>
        <w:t xml:space="preserve"> effects driven by the additives. </w:t>
      </w:r>
      <w:r w:rsidR="004D38D5" w:rsidRPr="00B12E7E">
        <w:rPr>
          <w:highlight w:val="yellow"/>
        </w:rPr>
        <w:t xml:space="preserve">I could also perform a study like this in bees, which would be my preference if I’m honest. </w:t>
      </w:r>
      <w:r w:rsidR="002A4002" w:rsidRPr="00B12E7E">
        <w:rPr>
          <w:highlight w:val="yellow"/>
        </w:rPr>
        <w:t>There is evidence that formulations are more toxic to bees than pure insecticides</w:t>
      </w:r>
      <w:r w:rsidR="00FD61A4" w:rsidRPr="00B12E7E">
        <w:rPr>
          <w:highlight w:val="yellow"/>
        </w:rPr>
        <w:fldChar w:fldCharType="begin" w:fldLock="1"/>
      </w:r>
      <w:r w:rsidR="005A2DC5" w:rsidRPr="00B12E7E">
        <w:rPr>
          <w:highlight w:val="yellow"/>
        </w:rPr>
        <w:instrText>ADDIN CSL_CITATION {"citationItems":[{"id":"ITEM-1","itemData":{"DOI":"10.1016/j.pestbp.2014.12.026","ISSN":"10959939","PMID":"25987217","abstract":"Dr. Fumio Matsumura's legacy embraced a passion for exploring environmental impacts of agrochemicals on non-target species such as bees. Why most formulations are more toxic to bees than respective active ingredients and how pesticides interact to cause pollinator decline cannot be answered without understanding the prevailing environmental chemical background to which bees are exposed. Modern pesticide formulations and seed treatments, particularly when multiple active ingredients are blended, require proprietary adjuvants and inert ingredients to achieve high efficacy for targeted pests. Although we have found over 130 different pesticides and metabolites in beehive samples, no individual pesticide or amount correlates with recent bee declines. Recently we have shown that honey bees are sensitive to organosilicone surfactants, nonylphenol polyethoxylates and the solvent N-methyl-2-pyrrolidone (NMP), widespread co-formulants used in agrochemicals and frequent pollutants within the beehive. Effects include learning impairment for adult bees and chronic toxicity in larval feeding bioassays. Multi-billion pounds of formulation ingredients like NMP are used and released into US environments. These synthetic organic chemicals are generally recognized as safe, have no mandated tolerances, and residues remain largely unmonitored. In contrast to finding about 70% of the pesticide active ingredients searched for in our pesticide analysis of beehive samples, we have found 100% of the other formulation ingredients targeted for analysis. These 'inerts' overwhelm the chemical burden from active pesticide, drug and personal care ingredients with which they are formulated. Honey bees serve as an optimal terrestrial bioindicator to determine if 'the formulation and not just the dose makes the poison'.","author":[{"dropping-particle":"","family":"Mullin","given":"Christopher A.","non-dropping-particle":"","parse-names":false,"suffix":""},{"dropping-particle":"","family":"Chen","given":"Jing","non-dropping-particle":"","parse-names":false,"suffix":""},{"dropping-particle":"","family":"Fine","given":"Julia D.","non-dropping-particle":"","parse-names":false,"suffix":""},{"dropping-particle":"","family":"Frazier","given":"Maryann T.","non-dropping-particle":"","parse-names":false,"suffix":""},{"dropping-particle":"","family":"Frazier","given":"James L.","non-dropping-particle":"","parse-names":false,"suffix":""}],"container-title":"Pesticide Biochemistry and Physiology","id":"ITEM-1","issued":{"date-parts":[["2015"]]},"page":"27-35","publisher":"Elsevier Inc.","title":"The formulation makes the honey bee poison","type":"article-journal","volume":"120"},"uris":["http://www.mendeley.com/documents/?uuid=c3671c00-5f0d-4639-b5e6-be55946664f3"]},{"id":"ITEM-2","itemData":{"DOI":"10.1016/j.cois.2015.05.006","ISSN":"22145753","abstract":"Honey bees are sensitive to widespread co-formulants used in agrochemicals, and evaluation of the role of these 'inerts or inactives' in pollinator decline is only in its formative stages. Lack of disclosure of formulation ingredients in major products and lack of adequate methods for their analysis constrain the assessment of total chemical load and agrochemical exposures on bees. Most studies to document pesticide effects on honey bees are performed without the formulation or other relevant spray adjuvant components used to environmentally apply the toxicant. Formulations are generally more toxic than active ingredients, particularly fungicides, by up to 26,000-fold based on published literature. Some 'inactive' candidates for future risk assessment for pollinators include the organosilicone surfactants and the co-solvent N-methyl-2-pyrrolidone.","author":[{"dropping-particle":"","family":"Mullin","given":"Christopher A.","non-dropping-particle":"","parse-names":false,"suffix":""}],"container-title":"Current Opinion in Insect Science","id":"ITEM-2","issued":{"date-parts":[["2015"]]},"page":"194-200","publisher":"Elsevier Inc","title":"Effects of 'inactive' ingredients on bees","type":"article-journal","volume":"10"},"uris":["http://www.mendeley.com/documents/?uuid=4b9c24ac-30e2-4d3c-ad81-241411d2030e"]},{"id":"ITEM-3","itemData":{"DOI":"10.1016/j.scitotenv.2017.08.175","ISSN":"18791026","PMID":"28863372","abstract":"Organosilicon surfactants are the most potent adjuvants available for formulating and applying agricultural pesticides and fertilizers, household cleaning and personal care products, dental impressions and medicines. Risk assessment of pesticides, drugs or personal care products that takes into account only active ingredients without the other formulation ingredients and adjuvants commonly used in their application will miss important toxicity outcomes detrimental to non-target species including pollinators and humans. Over a billion pounds of organosilicon surfactants from all uses are produced globally per year, making this a major component of the chemical landscape to which bees and humans are exposed. These silicones, like most “inerts”, are generally recognized as safe, have no mandated tolerances, and their residues are largely unmonitored. Lack of their public disclosure and adequate analytical methods constrains evaluation of their risk. Organosilicon surfactants, the most super-spreading and -penetrating adjuvants available, at relevant exposure levels impair honey bee learning, are acutely toxic, and in combination with bee viruses cause synergistic mortality. Organosilicon surfactants need to be regulated as a separate class of “inerts” from the more common silicones. In turn, impacts of organosilicon surfactant exposures on humans need to be evaluated. Silicones in their great diversity probably represent the single most ubiquitous environmental class of global synthetic pollutants. Do honey bees, a model environmental indicator organism, forewarn of hidden risks to humans of ubiquitous silicone exposures?","author":[{"dropping-particle":"","family":"Chen","given":"Jing","non-dropping-particle":"","parse-names":false,"suffix":""},{"dropping-particle":"","family":"Fine","given":"Julia D.","non-dropping-particle":"","parse-names":false,"suffix":""},{"dropping-particle":"","family":"Mullin","given":"Christopher A.","non-dropping-particle":"","parse-names":false,"suffix":""}],"container-title":"Science of the Total Environment","id":"ITEM-3","issued":{"date-parts":[["2018"]]},"page":"415-421","publisher":"Elsevier B.V.","title":"Are organosilicon surfactants safe for bees or humans?","type":"article-journal","volume":"612"},"uris":["http://www.mendeley.com/documents/?uuid=da973d49-1442-4874-9342-0e13e2856acf"]}],"mendeley":{"formattedCitation":"&lt;sup&gt;6–8&lt;/sup&gt;","plainTextFormattedCitation":"6–8","previouslyFormattedCitation":"&lt;sup&gt;6–8&lt;/sup&gt;"},"properties":{"noteIndex":0},"schema":"https://github.com/citation-style-language/schema/raw/master/csl-citation.json"}</w:instrText>
      </w:r>
      <w:r w:rsidR="00FD61A4" w:rsidRPr="00B12E7E">
        <w:rPr>
          <w:highlight w:val="yellow"/>
        </w:rPr>
        <w:fldChar w:fldCharType="separate"/>
      </w:r>
      <w:r w:rsidR="00FD61A4" w:rsidRPr="00B12E7E">
        <w:rPr>
          <w:noProof/>
          <w:highlight w:val="yellow"/>
          <w:vertAlign w:val="superscript"/>
        </w:rPr>
        <w:t>6–8</w:t>
      </w:r>
      <w:r w:rsidR="00FD61A4" w:rsidRPr="00B12E7E">
        <w:rPr>
          <w:highlight w:val="yellow"/>
        </w:rPr>
        <w:fldChar w:fldCharType="end"/>
      </w:r>
      <w:r w:rsidR="002A4002" w:rsidRPr="00B12E7E">
        <w:rPr>
          <w:highlight w:val="yellow"/>
        </w:rPr>
        <w:t>. Investigating</w:t>
      </w:r>
      <w:r w:rsidR="006076B9" w:rsidRPr="00B12E7E">
        <w:rPr>
          <w:highlight w:val="yellow"/>
        </w:rPr>
        <w:t xml:space="preserve"> </w:t>
      </w:r>
      <w:r w:rsidR="002A4002" w:rsidRPr="00B12E7E">
        <w:rPr>
          <w:highlight w:val="yellow"/>
        </w:rPr>
        <w:t>this at the transcriptomic level would uncover the additional effects</w:t>
      </w:r>
      <w:r w:rsidR="006076B9" w:rsidRPr="00B12E7E">
        <w:rPr>
          <w:highlight w:val="yellow"/>
        </w:rPr>
        <w:t>,</w:t>
      </w:r>
      <w:r w:rsidR="002A4002" w:rsidRPr="00B12E7E">
        <w:rPr>
          <w:highlight w:val="yellow"/>
        </w:rPr>
        <w:t xml:space="preserve"> driven by “inert” additives</w:t>
      </w:r>
      <w:r w:rsidR="00B8391B" w:rsidRPr="00B12E7E">
        <w:rPr>
          <w:highlight w:val="yellow"/>
        </w:rPr>
        <w:t>/co-formulants</w:t>
      </w:r>
      <w:r w:rsidR="006076B9" w:rsidRPr="00B12E7E">
        <w:rPr>
          <w:highlight w:val="yellow"/>
        </w:rPr>
        <w:t>, responsible for the toxicity gap</w:t>
      </w:r>
      <w:r w:rsidR="002A4002" w:rsidRPr="00B12E7E">
        <w:rPr>
          <w:highlight w:val="yellow"/>
        </w:rPr>
        <w:t>.</w:t>
      </w:r>
      <w:r w:rsidR="002A4002">
        <w:t xml:space="preserve"> </w:t>
      </w:r>
    </w:p>
    <w:p w14:paraId="55B4251F" w14:textId="7B00F15F" w:rsidR="00476351" w:rsidRDefault="00476351" w:rsidP="00966FD6">
      <w:pPr>
        <w:spacing w:line="360" w:lineRule="auto"/>
      </w:pPr>
    </w:p>
    <w:p w14:paraId="6E38C4EB" w14:textId="536676CE" w:rsidR="00476351" w:rsidRPr="00476351" w:rsidRDefault="00476351" w:rsidP="00966FD6">
      <w:pPr>
        <w:spacing w:line="360" w:lineRule="auto"/>
        <w:rPr>
          <w:u w:val="single"/>
        </w:rPr>
      </w:pPr>
      <w:r w:rsidRPr="00476351">
        <w:rPr>
          <w:u w:val="single"/>
        </w:rPr>
        <w:t>Acute field realistic exposure compared to my concentrations</w:t>
      </w:r>
    </w:p>
    <w:p w14:paraId="57A873FA" w14:textId="5EF6DC85" w:rsidR="005A2DC5" w:rsidRDefault="00476351" w:rsidP="00966FD6">
      <w:pPr>
        <w:spacing w:line="360" w:lineRule="auto"/>
      </w:pPr>
      <w:proofErr w:type="spellStart"/>
      <w:r>
        <w:t>Alicja’s</w:t>
      </w:r>
      <w:proofErr w:type="spellEnd"/>
      <w:r>
        <w:t xml:space="preserve"> experiment is using an acute dose of 25ppb. </w:t>
      </w:r>
      <w:r w:rsidR="00D96DFA">
        <w:t>I have found that Thiacloprid causes small but significant growth inhibition in yeast</w:t>
      </w:r>
      <w:r w:rsidR="005A2DC5">
        <w:t xml:space="preserve"> at 5mM. 5mM = 1263600 ppb. </w:t>
      </w:r>
      <w:r w:rsidR="00DF3A6E">
        <w:t>So,</w:t>
      </w:r>
      <w:r w:rsidR="005A2DC5">
        <w:t xml:space="preserve"> I am testing approximately x50000 the concentration of the acute, field realistic dose. Therefore, if intracellular concentration was 1% of the media concentration, it would still be x500 the acute, field realistic dose. This isn’t environmentally relevant. One study has already looked at the effects of insecticides on an insecticide cell line, Sf9. </w:t>
      </w:r>
      <w:r w:rsidR="00090A8C">
        <w:t>They reported a IC</w:t>
      </w:r>
      <w:r w:rsidR="00090A8C">
        <w:rPr>
          <w:vertAlign w:val="subscript"/>
        </w:rPr>
        <w:t>20</w:t>
      </w:r>
      <w:r w:rsidR="00090A8C">
        <w:t xml:space="preserve"> of 61.6µM for acetamiprid</w:t>
      </w:r>
      <w:r w:rsidR="005A2DC5">
        <w:fldChar w:fldCharType="begin" w:fldLock="1"/>
      </w:r>
      <w:r w:rsidR="00443481">
        <w:instrText>ADDIN CSL_CITATION {"citationItems":[{"id":"ITEM-1","itemData":{"abstract":"The toxic effect of three insecticides: dimethoate (organophosphate insecticide), acetamiprid (neonicotinoid insecticide) and deltamethrin (pyrethroid insecticide) were evaluated in vitro on cultured Sf9 cell line. Cell growth inhibition was measured by the 3-(4,5-dimethylthiazol-2-yl)-2,5-diphenyl tetrazolium bromide (MTT) assay. Regression Analysis was used to estimate the 20% inhibition of cells growth (IC 20). The IC 20 values obtained for deltamethrin, acetamiprid and dimethoate were: 46.8, 61.6 and 68.9 µM, respectively. The proportion of phagocytic cells was positively correlated with the applied concentrations of the insecticides.","author":[{"dropping-particle":"","family":"Saleh","given":"Manal","non-dropping-particle":"","parse-names":false,"suffix":""},{"dropping-particle":"","family":"Hajjar","given":"Jamal","non-dropping-particle":"","parse-names":false,"suffix":""},{"dropping-particle":"","family":"Rahmo","given":"Abdulkader","non-dropping-particle":"","parse-names":false,"suffix":""}],"container-title":"Lebanese Science Journal","id":"ITEM-1","issue":"2","issued":{"date-parts":[["2013"]]},"page":"115-121","title":"Effect of Selected Insecticides on Sf9 Insect Cell Line","type":"article-journal","volume":"14"},"uris":["http://www.mendeley.com/documents/?uuid=7fe22d8e-5613-4a9f-a54b-f0e458c36e3a"]}],"mendeley":{"formattedCitation":"&lt;sup&gt;9&lt;/sup&gt;","plainTextFormattedCitation":"9","previouslyFormattedCitation":"&lt;sup&gt;9&lt;/sup&gt;"},"properties":{"noteIndex":0},"schema":"https://github.com/citation-style-language/schema/raw/master/csl-citation.json"}</w:instrText>
      </w:r>
      <w:r w:rsidR="005A2DC5">
        <w:fldChar w:fldCharType="separate"/>
      </w:r>
      <w:r w:rsidR="005A2DC5" w:rsidRPr="005A2DC5">
        <w:rPr>
          <w:noProof/>
          <w:vertAlign w:val="superscript"/>
        </w:rPr>
        <w:t>9</w:t>
      </w:r>
      <w:r w:rsidR="005A2DC5">
        <w:fldChar w:fldCharType="end"/>
      </w:r>
      <w:r w:rsidR="00090A8C">
        <w:t xml:space="preserve">. This is equal to 13710ppb. A 20% growth inhibition required a concentration x548.4 greater than the acute dose in </w:t>
      </w:r>
      <w:proofErr w:type="spellStart"/>
      <w:r w:rsidR="00090A8C">
        <w:t>Alicja’s</w:t>
      </w:r>
      <w:proofErr w:type="spellEnd"/>
      <w:r w:rsidR="00090A8C">
        <w:t xml:space="preserve"> experiment. Taken together, the results imply that the </w:t>
      </w:r>
      <w:r w:rsidR="00DF3A6E">
        <w:t>off-target</w:t>
      </w:r>
      <w:r w:rsidR="00090A8C">
        <w:t xml:space="preserve"> effects of neonicotinoids are negligible at field realistic exposures</w:t>
      </w:r>
      <w:r w:rsidR="00DF3A6E">
        <w:t xml:space="preserve"> and aren’t worthy of further investigation. </w:t>
      </w:r>
    </w:p>
    <w:p w14:paraId="3F76BC9F" w14:textId="492F0597" w:rsidR="00B44950" w:rsidRDefault="00B44950" w:rsidP="00966FD6">
      <w:pPr>
        <w:spacing w:line="360" w:lineRule="auto"/>
      </w:pPr>
    </w:p>
    <w:p w14:paraId="2BF645ED" w14:textId="3FF0D224" w:rsidR="00B44950" w:rsidRDefault="00B44950" w:rsidP="00966FD6">
      <w:pPr>
        <w:spacing w:line="360" w:lineRule="auto"/>
        <w:rPr>
          <w:u w:val="single"/>
        </w:rPr>
      </w:pPr>
      <w:r>
        <w:rPr>
          <w:u w:val="single"/>
        </w:rPr>
        <w:t xml:space="preserve">Response to Yannick Wanting to Use Yeast for Further </w:t>
      </w:r>
      <w:proofErr w:type="spellStart"/>
      <w:r>
        <w:rPr>
          <w:u w:val="single"/>
        </w:rPr>
        <w:t>Expts</w:t>
      </w:r>
      <w:proofErr w:type="spellEnd"/>
    </w:p>
    <w:p w14:paraId="14BA85A0" w14:textId="40856ADF" w:rsidR="00B44950" w:rsidRDefault="00B44950" w:rsidP="00966FD6">
      <w:pPr>
        <w:spacing w:line="360" w:lineRule="auto"/>
      </w:pPr>
      <w:r>
        <w:t xml:space="preserve"> Yeast was useful for separating off target effects from those mediated through the primary molecular target. For any further experiments this would no longer be the aim. Instead, if the effects of co-formulants was explored in more detail (formulations vs active ingredients), using yeast would be counterintuitive because not all the effects in the species of interest would be detected. To study the effects of formulations and how they differ from active ingredients in isolation, the aim is to characterise the difference in overall effects between the two, including those mediated through nAchR (or </w:t>
      </w:r>
      <w:proofErr w:type="gramStart"/>
      <w:r>
        <w:t>other</w:t>
      </w:r>
      <w:proofErr w:type="gramEnd"/>
      <w:r>
        <w:t xml:space="preserve"> primary molecular target). Therefore, testing on yeast would yield an incomplete picture. In fact, </w:t>
      </w:r>
      <w:r w:rsidR="00710AD1">
        <w:t>the very reason yeast was selected in the first place (lack of nAchR) is what makes it unsuitable for any subsequent studies that are interested in effects as a whole, not just off target effects.</w:t>
      </w:r>
      <w:r w:rsidR="00F24B4F">
        <w:t xml:space="preserve"> </w:t>
      </w:r>
      <w:r w:rsidR="00F24B4F">
        <w:lastRenderedPageBreak/>
        <w:t>M</w:t>
      </w:r>
      <w:r>
        <w:t xml:space="preserve">y previous experiment suggests there are essentially no </w:t>
      </w:r>
      <w:r w:rsidR="00710AD1">
        <w:t xml:space="preserve">insecticide </w:t>
      </w:r>
      <w:r>
        <w:t xml:space="preserve">effects in yeast, making this model organism unsuitable for further insecticide testing. </w:t>
      </w:r>
    </w:p>
    <w:p w14:paraId="5961CA72" w14:textId="17A064AA" w:rsidR="00B6424D" w:rsidRDefault="00B6424D" w:rsidP="00966FD6">
      <w:pPr>
        <w:spacing w:line="360" w:lineRule="auto"/>
      </w:pPr>
    </w:p>
    <w:p w14:paraId="7F427AC9" w14:textId="03317F00" w:rsidR="00B6424D" w:rsidRDefault="00B6424D" w:rsidP="00966FD6">
      <w:pPr>
        <w:spacing w:line="360" w:lineRule="auto"/>
      </w:pPr>
      <w:r>
        <w:t xml:space="preserve">Interested in the overall effect on active ingredient in isolation vs overall effect of formulation. The difference between the two is co-formulants + the interaction between co-formulants and insecticide. </w:t>
      </w:r>
      <w:r w:rsidR="00B169DE">
        <w:t xml:space="preserve">What are the gene expression changes caused by co-formulants + the interaction between co-formulants and insecticide? Link to fitness effects as well. </w:t>
      </w:r>
      <w:r w:rsidR="00F5630B">
        <w:t xml:space="preserve">TYPE UP REST OF </w:t>
      </w:r>
      <w:proofErr w:type="gramStart"/>
      <w:r w:rsidR="00F5630B">
        <w:t>HAND WRITTEN</w:t>
      </w:r>
      <w:proofErr w:type="gramEnd"/>
      <w:r w:rsidR="00F5630B">
        <w:t xml:space="preserve"> NOTES.</w:t>
      </w:r>
    </w:p>
    <w:p w14:paraId="7A92A2EA" w14:textId="6680DAB9" w:rsidR="00283F13" w:rsidRDefault="00283F13" w:rsidP="00966FD6">
      <w:pPr>
        <w:spacing w:line="360" w:lineRule="auto"/>
      </w:pPr>
    </w:p>
    <w:p w14:paraId="7853E4D0" w14:textId="17BD5A43" w:rsidR="00283F13" w:rsidRDefault="00283F13" w:rsidP="00966FD6">
      <w:pPr>
        <w:spacing w:line="360" w:lineRule="auto"/>
        <w:rPr>
          <w:u w:val="single"/>
        </w:rPr>
      </w:pPr>
      <w:r w:rsidRPr="00283F13">
        <w:rPr>
          <w:u w:val="single"/>
        </w:rPr>
        <w:t>Related Points</w:t>
      </w:r>
    </w:p>
    <w:p w14:paraId="563C7F1A" w14:textId="310EA487" w:rsidR="00283F13" w:rsidRDefault="00283F13" w:rsidP="00966FD6">
      <w:pPr>
        <w:spacing w:line="360" w:lineRule="auto"/>
      </w:pPr>
      <w:r>
        <w:t xml:space="preserve"> </w:t>
      </w:r>
      <w:r w:rsidR="00216423">
        <w:t xml:space="preserve">The power of the metabolism screen lies in being able to screen many insecticides across one enzyme. Not many enzymes across one insecticide. This would cost more, take longer (cloning) and less interesting questions could be answered. Also, if yeast is sensitive to many insecticides, we know that we can expand the number of enzymes in the screen. Insecticides are the big if. </w:t>
      </w:r>
      <w:r w:rsidR="00246FAC">
        <w:t xml:space="preserve">For synergistic interactions between insecticides and salt to be useful they have to present for many insecticides and be strong enough to produce a large, reversible effect. </w:t>
      </w:r>
    </w:p>
    <w:p w14:paraId="19CA8BF6" w14:textId="0A6829B2" w:rsidR="00246FAC" w:rsidRDefault="00246FAC" w:rsidP="00966FD6">
      <w:pPr>
        <w:spacing w:line="360" w:lineRule="auto"/>
      </w:pPr>
    </w:p>
    <w:p w14:paraId="4BD4E4CA" w14:textId="60509DD5" w:rsidR="00246FAC" w:rsidRDefault="00246FAC" w:rsidP="00966FD6">
      <w:pPr>
        <w:spacing w:line="360" w:lineRule="auto"/>
      </w:pPr>
      <w:r>
        <w:t xml:space="preserve">In relation to off target effects, if no more experiments are undertaken, the negative result is more conclusive. From the current experiment can strongly suggest that there are no off target effects relating to biological processes conserved between yeast and metazoans. There may still be off target effects in pollinators, but these don’t involve processes conserved between yeast and metazoans. If there had been effects there was nothing to say the </w:t>
      </w:r>
      <w:proofErr w:type="spellStart"/>
      <w:r>
        <w:t>MoA</w:t>
      </w:r>
      <w:proofErr w:type="spellEnd"/>
      <w:r>
        <w:t xml:space="preserve"> involved conserved processes, instead it could have been a yeast specific toxicity. Also, the thiacloprid effect suggests intracellular activity. How could thiacloprid exert an extracellular effect? Potentially osmotic stress, but if this were true then surely this would have been observed for other insecticides at the same concentration. If thiacloprid intracellular, likely other insecticides with similar structures also entered the cell. Therefore, their </w:t>
      </w:r>
      <w:proofErr w:type="spellStart"/>
      <w:r>
        <w:t>intracellulars</w:t>
      </w:r>
      <w:proofErr w:type="spellEnd"/>
      <w:r>
        <w:t xml:space="preserve"> concentrations had no effect and didn’t perturb fundamental, ancient eukaryotic pathways. </w:t>
      </w:r>
    </w:p>
    <w:p w14:paraId="31A00D89" w14:textId="64341789" w:rsidR="00246FAC" w:rsidRDefault="00246FAC" w:rsidP="00966FD6">
      <w:pPr>
        <w:spacing w:line="360" w:lineRule="auto"/>
      </w:pPr>
    </w:p>
    <w:p w14:paraId="3D77C9A6" w14:textId="723EB5FD" w:rsidR="00246FAC" w:rsidRDefault="00246FAC" w:rsidP="00966FD6">
      <w:pPr>
        <w:spacing w:line="360" w:lineRule="auto"/>
      </w:pPr>
      <w:r>
        <w:lastRenderedPageBreak/>
        <w:t>How does insecticide discovery work? Screen compounds against target. How do they test for off target effects?</w:t>
      </w:r>
    </w:p>
    <w:p w14:paraId="27E98508" w14:textId="44A13AD4" w:rsidR="00673369" w:rsidRDefault="00673369" w:rsidP="00966FD6">
      <w:pPr>
        <w:spacing w:line="360" w:lineRule="auto"/>
      </w:pPr>
    </w:p>
    <w:p w14:paraId="785AB652" w14:textId="1AEB5D17" w:rsidR="00673369" w:rsidRPr="00673369" w:rsidRDefault="00673369" w:rsidP="00966FD6">
      <w:pPr>
        <w:spacing w:line="360" w:lineRule="auto"/>
        <w:rPr>
          <w:u w:val="single"/>
        </w:rPr>
      </w:pPr>
      <w:r w:rsidRPr="00673369">
        <w:rPr>
          <w:u w:val="single"/>
        </w:rPr>
        <w:t>Next Steps</w:t>
      </w:r>
    </w:p>
    <w:p w14:paraId="1D889D12" w14:textId="4E63D59B" w:rsidR="00443481" w:rsidRDefault="00673369" w:rsidP="00966FD6">
      <w:pPr>
        <w:spacing w:line="360" w:lineRule="auto"/>
      </w:pPr>
      <w:r>
        <w:t xml:space="preserve">Look at yeast sensitivity to insecticides in another way through a </w:t>
      </w:r>
      <w:r w:rsidR="00052E98">
        <w:t>H</w:t>
      </w:r>
      <w:r>
        <w:t xml:space="preserve">alo assay. Large volumes of high insecticide concentrations required is prohibitive for a spot test. Becomes so expensive you may as well conduct mass spec. </w:t>
      </w:r>
    </w:p>
    <w:p w14:paraId="3E527A86" w14:textId="7D333CEB" w:rsidR="00673369" w:rsidRDefault="00673369" w:rsidP="00966FD6">
      <w:pPr>
        <w:spacing w:line="360" w:lineRule="auto"/>
      </w:pPr>
    </w:p>
    <w:p w14:paraId="31B50632" w14:textId="0E3E0354" w:rsidR="00673369" w:rsidRDefault="00673369" w:rsidP="00966FD6">
      <w:pPr>
        <w:spacing w:line="360" w:lineRule="auto"/>
      </w:pPr>
      <w:r>
        <w:t xml:space="preserve">Repeat sensitivity test with PDR1/PDR3 knockout. Is there a larger effect to reverse regards the metabolism screen? At what concentration range are effects now seen? Much lower and therefore potentially relevant to </w:t>
      </w:r>
      <w:r w:rsidRPr="00673369">
        <w:rPr>
          <w:i/>
          <w:iCs/>
        </w:rPr>
        <w:t>in vivo</w:t>
      </w:r>
      <w:r>
        <w:t xml:space="preserve"> exposure? </w:t>
      </w:r>
    </w:p>
    <w:p w14:paraId="7C125A65" w14:textId="6722CD53" w:rsidR="00673369" w:rsidRDefault="00673369" w:rsidP="00966FD6">
      <w:pPr>
        <w:spacing w:line="360" w:lineRule="auto"/>
      </w:pPr>
    </w:p>
    <w:p w14:paraId="040C3DC0" w14:textId="77777777" w:rsidR="000046B4" w:rsidRDefault="000046B4" w:rsidP="00966FD6">
      <w:pPr>
        <w:spacing w:line="360" w:lineRule="auto"/>
      </w:pPr>
      <w:r>
        <w:t>A worry for the metabolism screen is the reaction rate of the enzyme won’t be fast enough to change intracellular insecticide concentrations in comparison to the wildtype. Is there a way to calculate this? Would need to know insecticide influx rate. If much larger than enzyme reaction rate, then the enzyme will have little effect on intracellular insecticide concentrations. If, however, it is comparable to influx it will lower intracellular insecticide concentrations. Another issue is the enzyme product could be as toxic to yeast as the substrate!</w:t>
      </w:r>
    </w:p>
    <w:p w14:paraId="692779EB" w14:textId="77777777" w:rsidR="000046B4" w:rsidRDefault="000046B4" w:rsidP="00966FD6">
      <w:pPr>
        <w:spacing w:line="360" w:lineRule="auto"/>
      </w:pPr>
    </w:p>
    <w:p w14:paraId="2AA4A966" w14:textId="77777777" w:rsidR="000046B4" w:rsidRDefault="000046B4" w:rsidP="00966FD6">
      <w:pPr>
        <w:spacing w:line="360" w:lineRule="auto"/>
      </w:pPr>
      <w:r>
        <w:t xml:space="preserve">If the metabolism screen does </w:t>
      </w:r>
      <w:proofErr w:type="gramStart"/>
      <w:r>
        <w:t>work</w:t>
      </w:r>
      <w:proofErr w:type="gramEnd"/>
      <w:r>
        <w:t xml:space="preserve"> then some really interesting questions can be answered. Could synthesise transgenic yeast each containing an ortholog of a detoxification enzyme. Could then compare the substrate profiles of the orthologs and see if there is a correlation between substrate profile similarity and evolutionary distance. Also, could assess how transferable results in one species are to close relatives. Could even lead to a prediction model if there was enough data (semi-quantitative too). </w:t>
      </w:r>
    </w:p>
    <w:p w14:paraId="7F3A83B2" w14:textId="77777777" w:rsidR="000046B4" w:rsidRDefault="000046B4" w:rsidP="00966FD6">
      <w:pPr>
        <w:spacing w:line="360" w:lineRule="auto"/>
      </w:pPr>
    </w:p>
    <w:p w14:paraId="080992C7" w14:textId="5FD7BCF4" w:rsidR="000046B4" w:rsidRDefault="000046B4" w:rsidP="00966FD6">
      <w:pPr>
        <w:spacing w:line="360" w:lineRule="auto"/>
      </w:pPr>
      <w:proofErr w:type="spellStart"/>
      <w:r>
        <w:t>Flytox</w:t>
      </w:r>
      <w:proofErr w:type="spellEnd"/>
      <w:r>
        <w:t xml:space="preserve"> is an issue but this would have higher throughput if successful. </w:t>
      </w:r>
    </w:p>
    <w:p w14:paraId="7278C46A" w14:textId="1E14064E" w:rsidR="000046B4" w:rsidRDefault="000046B4" w:rsidP="00966FD6">
      <w:pPr>
        <w:spacing w:line="360" w:lineRule="auto"/>
      </w:pPr>
    </w:p>
    <w:p w14:paraId="0142921E" w14:textId="77777777" w:rsidR="000046B4" w:rsidRDefault="000046B4" w:rsidP="00966FD6">
      <w:pPr>
        <w:spacing w:line="360" w:lineRule="auto"/>
      </w:pPr>
    </w:p>
    <w:p w14:paraId="167797F3" w14:textId="77777777" w:rsidR="000046B4" w:rsidRDefault="000046B4" w:rsidP="00966FD6">
      <w:pPr>
        <w:spacing w:line="360" w:lineRule="auto"/>
      </w:pPr>
    </w:p>
    <w:p w14:paraId="3D2BD413" w14:textId="725087D3" w:rsidR="00673369" w:rsidRDefault="000046B4" w:rsidP="00966FD6">
      <w:pPr>
        <w:spacing w:line="360" w:lineRule="auto"/>
      </w:pPr>
      <w:r>
        <w:t xml:space="preserve"> </w:t>
      </w:r>
    </w:p>
    <w:p w14:paraId="1569BE1F" w14:textId="77777777" w:rsidR="000046B4" w:rsidRPr="000046B4" w:rsidRDefault="000046B4" w:rsidP="00966FD6">
      <w:pPr>
        <w:spacing w:line="360" w:lineRule="auto"/>
      </w:pPr>
    </w:p>
    <w:p w14:paraId="6ACA1D88" w14:textId="3F341F96" w:rsidR="00443481" w:rsidRPr="00443481" w:rsidRDefault="00443481" w:rsidP="00966FD6">
      <w:pPr>
        <w:spacing w:line="360" w:lineRule="auto"/>
        <w:rPr>
          <w:u w:val="single"/>
        </w:rPr>
      </w:pPr>
      <w:r w:rsidRPr="00443481">
        <w:rPr>
          <w:u w:val="single"/>
        </w:rPr>
        <w:t>References</w:t>
      </w:r>
    </w:p>
    <w:p w14:paraId="0BB5D663" w14:textId="059A5A6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443481">
        <w:rPr>
          <w:rFonts w:ascii="Calibri" w:hAnsi="Calibri" w:cs="Calibri"/>
          <w:noProof/>
        </w:rPr>
        <w:t xml:space="preserve">1. </w:t>
      </w:r>
      <w:r w:rsidRPr="00443481">
        <w:rPr>
          <w:rFonts w:ascii="Calibri" w:hAnsi="Calibri" w:cs="Calibri"/>
          <w:noProof/>
        </w:rPr>
        <w:tab/>
        <w:t xml:space="preserve">Kostoff RN, Goumenou M, Tsatsakis A. The role of toxic stimuli combinations in determining safe exposure limits. </w:t>
      </w:r>
      <w:r w:rsidRPr="00443481">
        <w:rPr>
          <w:rFonts w:ascii="Calibri" w:hAnsi="Calibri" w:cs="Calibri"/>
          <w:i/>
          <w:iCs/>
          <w:noProof/>
        </w:rPr>
        <w:t>Toxicol Reports</w:t>
      </w:r>
      <w:r w:rsidRPr="00443481">
        <w:rPr>
          <w:rFonts w:ascii="Calibri" w:hAnsi="Calibri" w:cs="Calibri"/>
          <w:noProof/>
        </w:rPr>
        <w:t>. 2018;5(October):1169-1172. doi:10.1016/j.toxrep.2018.10.010</w:t>
      </w:r>
    </w:p>
    <w:p w14:paraId="59EE3DD9"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2. </w:t>
      </w:r>
      <w:r w:rsidRPr="00443481">
        <w:rPr>
          <w:rFonts w:ascii="Calibri" w:hAnsi="Calibri" w:cs="Calibri"/>
          <w:noProof/>
        </w:rPr>
        <w:tab/>
        <w:t xml:space="preserve">Fisher DI, Mayr LM, Roth RG. </w:t>
      </w:r>
      <w:r w:rsidRPr="00443481">
        <w:rPr>
          <w:rFonts w:ascii="Calibri" w:hAnsi="Calibri" w:cs="Calibri"/>
          <w:i/>
          <w:iCs/>
          <w:noProof/>
        </w:rPr>
        <w:t>Expression Systems</w:t>
      </w:r>
      <w:r w:rsidRPr="00443481">
        <w:rPr>
          <w:rFonts w:ascii="Calibri" w:hAnsi="Calibri" w:cs="Calibri"/>
          <w:noProof/>
        </w:rPr>
        <w:t>. Vol 1. Elsevier Ltd.; 2016. doi:10.1016/B978-0-12-394447-4.10009-4</w:t>
      </w:r>
    </w:p>
    <w:p w14:paraId="23C79C47"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3. </w:t>
      </w:r>
      <w:r w:rsidRPr="00443481">
        <w:rPr>
          <w:rFonts w:ascii="Calibri" w:hAnsi="Calibri" w:cs="Calibri"/>
          <w:noProof/>
        </w:rPr>
        <w:tab/>
        <w:t xml:space="preserve">Nandakumar S, Ma H, Khan AS. Whole-genome sequence of the Spodoptera frugiperda Sf9 insect cell line. </w:t>
      </w:r>
      <w:r w:rsidRPr="00443481">
        <w:rPr>
          <w:rFonts w:ascii="Calibri" w:hAnsi="Calibri" w:cs="Calibri"/>
          <w:i/>
          <w:iCs/>
          <w:noProof/>
        </w:rPr>
        <w:t>Genome Announc</w:t>
      </w:r>
      <w:r w:rsidRPr="00443481">
        <w:rPr>
          <w:rFonts w:ascii="Calibri" w:hAnsi="Calibri" w:cs="Calibri"/>
          <w:noProof/>
        </w:rPr>
        <w:t>. 2017;5(34):9-10. doi:10.1128/genomeA.00829-17</w:t>
      </w:r>
    </w:p>
    <w:p w14:paraId="3BC31F98" w14:textId="77777777" w:rsidR="00443481" w:rsidRPr="00443481" w:rsidRDefault="00443481" w:rsidP="00B2305A">
      <w:pPr>
        <w:widowControl w:val="0"/>
        <w:autoSpaceDE w:val="0"/>
        <w:autoSpaceDN w:val="0"/>
        <w:adjustRightInd w:val="0"/>
        <w:spacing w:line="360" w:lineRule="auto"/>
        <w:ind w:left="720" w:hanging="720"/>
        <w:rPr>
          <w:rFonts w:ascii="Calibri" w:hAnsi="Calibri" w:cs="Calibri"/>
          <w:noProof/>
        </w:rPr>
      </w:pPr>
      <w:r w:rsidRPr="00443481">
        <w:rPr>
          <w:rFonts w:ascii="Calibri" w:hAnsi="Calibri" w:cs="Calibri"/>
          <w:noProof/>
        </w:rPr>
        <w:t xml:space="preserve">4. </w:t>
      </w:r>
      <w:r w:rsidRPr="00443481">
        <w:rPr>
          <w:rFonts w:ascii="Calibri" w:hAnsi="Calibri" w:cs="Calibri"/>
          <w:noProof/>
        </w:rPr>
        <w:tab/>
        <w:t>Scientific TF. High Five Cells in Express Five Medium - Thermo Fisher Scientific. 2016. https://www.thermofisher.com/order/catalog/product/B85502?ICID=search-product LB  - lFM3.</w:t>
      </w:r>
    </w:p>
    <w:p w14:paraId="479FCEDA"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5. </w:t>
      </w:r>
      <w:r w:rsidRPr="00443481">
        <w:rPr>
          <w:rFonts w:ascii="Calibri" w:hAnsi="Calibri" w:cs="Calibri"/>
          <w:noProof/>
        </w:rPr>
        <w:tab/>
        <w:t xml:space="preserve">Talsania K, Mehta M, Raley C, et al. Genome assembly and annotation of the trichoplusia ni Tni-FNL insect cell line enabled by long-read technologies. </w:t>
      </w:r>
      <w:r w:rsidRPr="00443481">
        <w:rPr>
          <w:rFonts w:ascii="Calibri" w:hAnsi="Calibri" w:cs="Calibri"/>
          <w:i/>
          <w:iCs/>
          <w:noProof/>
        </w:rPr>
        <w:t>Genes (Basel)</w:t>
      </w:r>
      <w:r w:rsidRPr="00443481">
        <w:rPr>
          <w:rFonts w:ascii="Calibri" w:hAnsi="Calibri" w:cs="Calibri"/>
          <w:noProof/>
        </w:rPr>
        <w:t>. 2019;10(2). doi:10.3390/genes10020079</w:t>
      </w:r>
    </w:p>
    <w:p w14:paraId="58CF69B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6. </w:t>
      </w:r>
      <w:r w:rsidRPr="00443481">
        <w:rPr>
          <w:rFonts w:ascii="Calibri" w:hAnsi="Calibri" w:cs="Calibri"/>
          <w:noProof/>
        </w:rPr>
        <w:tab/>
        <w:t xml:space="preserve">Mullin CA, Chen J, Fine JD, Frazier MT, Frazier JL. The formulation makes the honey bee poison. </w:t>
      </w:r>
      <w:r w:rsidRPr="00443481">
        <w:rPr>
          <w:rFonts w:ascii="Calibri" w:hAnsi="Calibri" w:cs="Calibri"/>
          <w:i/>
          <w:iCs/>
          <w:noProof/>
        </w:rPr>
        <w:t>Pestic Biochem Physiol</w:t>
      </w:r>
      <w:r w:rsidRPr="00443481">
        <w:rPr>
          <w:rFonts w:ascii="Calibri" w:hAnsi="Calibri" w:cs="Calibri"/>
          <w:noProof/>
        </w:rPr>
        <w:t>. 2015;120:27-35. doi:10.1016/j.pestbp.2014.12.026</w:t>
      </w:r>
    </w:p>
    <w:p w14:paraId="2817A098"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7. </w:t>
      </w:r>
      <w:r w:rsidRPr="00443481">
        <w:rPr>
          <w:rFonts w:ascii="Calibri" w:hAnsi="Calibri" w:cs="Calibri"/>
          <w:noProof/>
        </w:rPr>
        <w:tab/>
        <w:t xml:space="preserve">Mullin CA. Effects of “inactive” ingredients on bees. </w:t>
      </w:r>
      <w:r w:rsidRPr="00443481">
        <w:rPr>
          <w:rFonts w:ascii="Calibri" w:hAnsi="Calibri" w:cs="Calibri"/>
          <w:i/>
          <w:iCs/>
          <w:noProof/>
        </w:rPr>
        <w:t>Curr Opin Insect Sci</w:t>
      </w:r>
      <w:r w:rsidRPr="00443481">
        <w:rPr>
          <w:rFonts w:ascii="Calibri" w:hAnsi="Calibri" w:cs="Calibri"/>
          <w:noProof/>
        </w:rPr>
        <w:t>. 2015;10:194-200. doi:10.1016/j.cois.2015.05.006</w:t>
      </w:r>
    </w:p>
    <w:p w14:paraId="2D78BE83"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8. </w:t>
      </w:r>
      <w:r w:rsidRPr="00443481">
        <w:rPr>
          <w:rFonts w:ascii="Calibri" w:hAnsi="Calibri" w:cs="Calibri"/>
          <w:noProof/>
        </w:rPr>
        <w:tab/>
        <w:t xml:space="preserve">Chen J, Fine JD, Mullin CA. Are organosilicon surfactants safe for bees or humans? </w:t>
      </w:r>
      <w:r w:rsidRPr="00443481">
        <w:rPr>
          <w:rFonts w:ascii="Calibri" w:hAnsi="Calibri" w:cs="Calibri"/>
          <w:i/>
          <w:iCs/>
          <w:noProof/>
        </w:rPr>
        <w:t>Sci Total Environ</w:t>
      </w:r>
      <w:r w:rsidRPr="00443481">
        <w:rPr>
          <w:rFonts w:ascii="Calibri" w:hAnsi="Calibri" w:cs="Calibri"/>
          <w:noProof/>
        </w:rPr>
        <w:t>. 2018;612:415-421. doi:10.1016/j.scitotenv.2017.08.175</w:t>
      </w:r>
    </w:p>
    <w:p w14:paraId="0C317286" w14:textId="77777777" w:rsidR="00443481" w:rsidRPr="00443481" w:rsidRDefault="00443481" w:rsidP="00443481">
      <w:pPr>
        <w:widowControl w:val="0"/>
        <w:autoSpaceDE w:val="0"/>
        <w:autoSpaceDN w:val="0"/>
        <w:adjustRightInd w:val="0"/>
        <w:spacing w:line="360" w:lineRule="auto"/>
        <w:ind w:left="640" w:hanging="640"/>
        <w:rPr>
          <w:rFonts w:ascii="Calibri" w:hAnsi="Calibri" w:cs="Calibri"/>
          <w:noProof/>
        </w:rPr>
      </w:pPr>
      <w:r w:rsidRPr="00443481">
        <w:rPr>
          <w:rFonts w:ascii="Calibri" w:hAnsi="Calibri" w:cs="Calibri"/>
          <w:noProof/>
        </w:rPr>
        <w:t xml:space="preserve">9. </w:t>
      </w:r>
      <w:r w:rsidRPr="00443481">
        <w:rPr>
          <w:rFonts w:ascii="Calibri" w:hAnsi="Calibri" w:cs="Calibri"/>
          <w:noProof/>
        </w:rPr>
        <w:tab/>
        <w:t xml:space="preserve">Saleh M, Hajjar J, Rahmo A. Effect of Selected Insecticides on Sf9 Insect Cell Line. </w:t>
      </w:r>
      <w:r w:rsidRPr="00443481">
        <w:rPr>
          <w:rFonts w:ascii="Calibri" w:hAnsi="Calibri" w:cs="Calibri"/>
          <w:i/>
          <w:iCs/>
          <w:noProof/>
        </w:rPr>
        <w:t>Leban Sci J</w:t>
      </w:r>
      <w:r w:rsidRPr="00443481">
        <w:rPr>
          <w:rFonts w:ascii="Calibri" w:hAnsi="Calibri" w:cs="Calibri"/>
          <w:noProof/>
        </w:rPr>
        <w:t>. 2013;14(2):115-121.</w:t>
      </w:r>
    </w:p>
    <w:p w14:paraId="508FD85C" w14:textId="6003245E" w:rsidR="004D38D5" w:rsidRPr="007337E5" w:rsidRDefault="00443481" w:rsidP="00966FD6">
      <w:pPr>
        <w:spacing w:line="360" w:lineRule="auto"/>
      </w:pPr>
      <w:r>
        <w:fldChar w:fldCharType="end"/>
      </w:r>
    </w:p>
    <w:p w14:paraId="58E95A9C" w14:textId="77777777" w:rsidR="00B36D83" w:rsidRDefault="00B36D83" w:rsidP="00966FD6">
      <w:pPr>
        <w:spacing w:line="360" w:lineRule="auto"/>
      </w:pPr>
    </w:p>
    <w:p w14:paraId="172CF122" w14:textId="77777777" w:rsidR="00B36D83" w:rsidRDefault="00B36D83" w:rsidP="00966FD6">
      <w:pPr>
        <w:spacing w:line="360" w:lineRule="auto"/>
      </w:pPr>
    </w:p>
    <w:p w14:paraId="019B378E" w14:textId="77777777" w:rsidR="00874573" w:rsidRPr="00E8516A" w:rsidRDefault="00874573" w:rsidP="00966FD6">
      <w:pPr>
        <w:spacing w:line="360" w:lineRule="auto"/>
      </w:pPr>
    </w:p>
    <w:p w14:paraId="2CEC0B14" w14:textId="77777777" w:rsidR="00966FD6" w:rsidRPr="00966FD6" w:rsidRDefault="00966FD6" w:rsidP="00966FD6">
      <w:pPr>
        <w:spacing w:line="360" w:lineRule="auto"/>
      </w:pPr>
    </w:p>
    <w:sectPr w:rsidR="00966FD6" w:rsidRPr="00966FD6"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59D9"/>
    <w:multiLevelType w:val="hybridMultilevel"/>
    <w:tmpl w:val="CE96DB2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D6"/>
    <w:rsid w:val="000046B4"/>
    <w:rsid w:val="00034202"/>
    <w:rsid w:val="00044278"/>
    <w:rsid w:val="00045B29"/>
    <w:rsid w:val="000468BF"/>
    <w:rsid w:val="00052E98"/>
    <w:rsid w:val="00090A8C"/>
    <w:rsid w:val="00105F7A"/>
    <w:rsid w:val="00123E8B"/>
    <w:rsid w:val="00172CC3"/>
    <w:rsid w:val="001B7C26"/>
    <w:rsid w:val="00206CAF"/>
    <w:rsid w:val="00216423"/>
    <w:rsid w:val="00216FB6"/>
    <w:rsid w:val="0022772D"/>
    <w:rsid w:val="00246FAC"/>
    <w:rsid w:val="00283F13"/>
    <w:rsid w:val="002847A5"/>
    <w:rsid w:val="002972B9"/>
    <w:rsid w:val="002A1A30"/>
    <w:rsid w:val="002A4002"/>
    <w:rsid w:val="00317F7F"/>
    <w:rsid w:val="0032321B"/>
    <w:rsid w:val="00333FE3"/>
    <w:rsid w:val="0034196B"/>
    <w:rsid w:val="00373D40"/>
    <w:rsid w:val="00384AEF"/>
    <w:rsid w:val="003A5171"/>
    <w:rsid w:val="00443481"/>
    <w:rsid w:val="00476351"/>
    <w:rsid w:val="00490D7B"/>
    <w:rsid w:val="004B26EB"/>
    <w:rsid w:val="004D38D5"/>
    <w:rsid w:val="004F0D51"/>
    <w:rsid w:val="005413BE"/>
    <w:rsid w:val="0054378E"/>
    <w:rsid w:val="0056525B"/>
    <w:rsid w:val="00586331"/>
    <w:rsid w:val="005A2DC5"/>
    <w:rsid w:val="005C5555"/>
    <w:rsid w:val="005D1A01"/>
    <w:rsid w:val="006076B9"/>
    <w:rsid w:val="0062684E"/>
    <w:rsid w:val="00644115"/>
    <w:rsid w:val="00645119"/>
    <w:rsid w:val="00673369"/>
    <w:rsid w:val="00681CBF"/>
    <w:rsid w:val="006C1CB8"/>
    <w:rsid w:val="00710AD1"/>
    <w:rsid w:val="00727CB9"/>
    <w:rsid w:val="007337E5"/>
    <w:rsid w:val="007E7CC7"/>
    <w:rsid w:val="0080333E"/>
    <w:rsid w:val="00834430"/>
    <w:rsid w:val="00852154"/>
    <w:rsid w:val="00874573"/>
    <w:rsid w:val="00946063"/>
    <w:rsid w:val="00966FD6"/>
    <w:rsid w:val="00974A8B"/>
    <w:rsid w:val="009B6586"/>
    <w:rsid w:val="00A0291B"/>
    <w:rsid w:val="00A91A83"/>
    <w:rsid w:val="00AB4D09"/>
    <w:rsid w:val="00AF55F4"/>
    <w:rsid w:val="00B12E7E"/>
    <w:rsid w:val="00B13ECD"/>
    <w:rsid w:val="00B169DE"/>
    <w:rsid w:val="00B2305A"/>
    <w:rsid w:val="00B36D83"/>
    <w:rsid w:val="00B44950"/>
    <w:rsid w:val="00B6424D"/>
    <w:rsid w:val="00B8391B"/>
    <w:rsid w:val="00B96075"/>
    <w:rsid w:val="00BC0AC5"/>
    <w:rsid w:val="00C12A3F"/>
    <w:rsid w:val="00C14464"/>
    <w:rsid w:val="00C408CC"/>
    <w:rsid w:val="00C4238D"/>
    <w:rsid w:val="00CE4CA0"/>
    <w:rsid w:val="00D05C00"/>
    <w:rsid w:val="00D2004B"/>
    <w:rsid w:val="00D26090"/>
    <w:rsid w:val="00D4264D"/>
    <w:rsid w:val="00D70DA8"/>
    <w:rsid w:val="00D84C17"/>
    <w:rsid w:val="00D96DFA"/>
    <w:rsid w:val="00D97AAA"/>
    <w:rsid w:val="00DA07BF"/>
    <w:rsid w:val="00DF3A6E"/>
    <w:rsid w:val="00E8516A"/>
    <w:rsid w:val="00E91CCD"/>
    <w:rsid w:val="00E978D8"/>
    <w:rsid w:val="00EF774C"/>
    <w:rsid w:val="00F123AC"/>
    <w:rsid w:val="00F22B15"/>
    <w:rsid w:val="00F24B4F"/>
    <w:rsid w:val="00F5630B"/>
    <w:rsid w:val="00F6292D"/>
    <w:rsid w:val="00F665B8"/>
    <w:rsid w:val="00F849D6"/>
    <w:rsid w:val="00FD15CF"/>
    <w:rsid w:val="00FD61A4"/>
    <w:rsid w:val="00FF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564F"/>
  <w15:chartTrackingRefBased/>
  <w15:docId w15:val="{9B7E6B6A-BECA-A346-8AB7-6DB93C67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D6"/>
    <w:pPr>
      <w:ind w:left="720"/>
      <w:contextualSpacing/>
    </w:pPr>
  </w:style>
  <w:style w:type="paragraph" w:styleId="BalloonText">
    <w:name w:val="Balloon Text"/>
    <w:basedOn w:val="Normal"/>
    <w:link w:val="BalloonTextChar"/>
    <w:uiPriority w:val="99"/>
    <w:semiHidden/>
    <w:unhideWhenUsed/>
    <w:rsid w:val="00E978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8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525D-6E8C-FD48-A323-3BC24C29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148</cp:revision>
  <dcterms:created xsi:type="dcterms:W3CDTF">2020-11-17T09:01:00Z</dcterms:created>
  <dcterms:modified xsi:type="dcterms:W3CDTF">2020-12-03T09:22:00Z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http://www.zotero.org/styles/american-medical-association</vt:lpwstr>
  </property>
</Properties>
</file>