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6C350FB8">
      <w:pPr>
        <w:jc w:val="center"/>
      </w:pPr>
      <w:r>
        <w:rPr>
          <w:rFonts w:ascii="Times New Roman" w:hAnsi="Times New Roman" w:eastAsia="ＭＳ 明朝" w:cs="Times New Roman" w:eastAsiaTheme="minorEastAsia"/>
          <w:b/>
          <w:bCs/>
          <w:color w:val="222222"/>
          <w:sz w:val="28"/>
          <w:szCs w:val="28"/>
        </w:rPr>
        <w:t>Міністерство освіти і науки України</w:t>
      </w:r>
    </w:p>
    <w:p w14:paraId="30EF765F">
      <w:pPr>
        <w:spacing w:after="80" w:line="276" w:lineRule="auto"/>
      </w:pPr>
      <w:r>
        <w:rPr>
          <w:rFonts w:ascii="Times New Roman" w:hAnsi="Times New Roman" w:eastAsia="ＭＳ 明朝" w:cs="Times New Roman" w:eastAsiaTheme="minorEastAsia" w:csTheme="minorBidi"/>
          <w:color w:val="222222"/>
          <w:sz w:val="24"/>
          <w:szCs w:val="22"/>
        </w:rPr>
        <w:t xml:space="preserve"> </w:t>
      </w:r>
    </w:p>
    <w:p w14:paraId="1C9618A7">
      <w:pPr>
        <w:spacing w:after="80" w:line="257" w:lineRule="auto"/>
        <w:jc w:val="center"/>
      </w:pPr>
      <w:r>
        <w:rPr>
          <w:rFonts w:ascii="Times New Roman" w:hAnsi="Times New Roman" w:eastAsia="ＭＳ 明朝" w:cs="Times New Roman" w:eastAsiaTheme="minorEastAsia"/>
          <w:b/>
          <w:bCs/>
          <w:color w:val="222222"/>
          <w:sz w:val="28"/>
          <w:szCs w:val="28"/>
        </w:rPr>
        <w:t>Національний технічний університет України</w:t>
      </w:r>
    </w:p>
    <w:p w14:paraId="3675F764">
      <w:pPr>
        <w:spacing w:after="80" w:line="257" w:lineRule="auto"/>
        <w:jc w:val="center"/>
      </w:pPr>
      <w:r>
        <w:rPr>
          <w:rFonts w:ascii="Times New Roman" w:hAnsi="Times New Roman" w:eastAsia="ＭＳ 明朝" w:cs="Times New Roman" w:eastAsiaTheme="minorEastAsia"/>
          <w:b/>
          <w:bCs/>
          <w:color w:val="222222"/>
          <w:sz w:val="28"/>
          <w:szCs w:val="28"/>
        </w:rPr>
        <w:t>«Київський політехнічний інститут імені Ігоря Сікорського»</w:t>
      </w:r>
    </w:p>
    <w:p w14:paraId="16A33EFD">
      <w:pPr>
        <w:spacing w:after="80" w:line="257" w:lineRule="auto"/>
        <w:jc w:val="center"/>
      </w:pPr>
      <w:r>
        <w:rPr>
          <w:rFonts w:ascii="Times New Roman" w:hAnsi="Times New Roman" w:eastAsia="ＭＳ 明朝" w:cs="Times New Roman" w:eastAsiaTheme="minorEastAsia"/>
          <w:b/>
          <w:bCs/>
          <w:color w:val="222222"/>
          <w:sz w:val="28"/>
          <w:szCs w:val="28"/>
        </w:rPr>
        <w:t>Факультет інформатики та обчислювальної техніки</w:t>
      </w:r>
    </w:p>
    <w:p w14:paraId="1482CDF7">
      <w:pPr>
        <w:spacing w:after="80" w:line="257" w:lineRule="auto"/>
        <w:jc w:val="center"/>
      </w:pPr>
      <w:r>
        <w:rPr>
          <w:rFonts w:ascii="Times New Roman" w:hAnsi="Times New Roman" w:eastAsia="ＭＳ 明朝" w:cs="Times New Roman" w:eastAsiaTheme="minorEastAsia"/>
          <w:b/>
          <w:bCs/>
          <w:color w:val="222222"/>
          <w:sz w:val="28"/>
          <w:szCs w:val="28"/>
        </w:rPr>
        <w:t>Кафедра обчислювальної техніки</w:t>
      </w:r>
    </w:p>
    <w:p w14:paraId="0D6FB022">
      <w:pPr>
        <w:spacing w:after="80" w:line="276" w:lineRule="auto"/>
      </w:pPr>
      <w:r>
        <w:rPr>
          <w:rFonts w:ascii="Times New Roman" w:hAnsi="Times New Roman" w:eastAsia="ＭＳ 明朝" w:cs="Times New Roman" w:eastAsiaTheme="minorEastAsia"/>
          <w:b/>
          <w:bCs/>
          <w:color w:val="222222"/>
          <w:sz w:val="28"/>
          <w:szCs w:val="28"/>
        </w:rPr>
        <w:t> </w:t>
      </w:r>
    </w:p>
    <w:p w14:paraId="2FE8A9CD">
      <w:pPr>
        <w:spacing w:after="80" w:line="276" w:lineRule="auto"/>
      </w:pPr>
      <w:r>
        <w:rPr>
          <w:rFonts w:ascii="Times New Roman" w:hAnsi="Times New Roman" w:eastAsia="ＭＳ 明朝" w:cs="Times New Roman" w:eastAsiaTheme="minorEastAsia"/>
          <w:color w:val="222222"/>
          <w:sz w:val="28"/>
          <w:szCs w:val="28"/>
        </w:rPr>
        <w:t> </w:t>
      </w:r>
    </w:p>
    <w:p w14:paraId="54052F5C">
      <w:pPr>
        <w:spacing w:after="80" w:line="276" w:lineRule="auto"/>
      </w:pPr>
      <w:r>
        <w:rPr>
          <w:rFonts w:ascii="Times New Roman" w:hAnsi="Times New Roman" w:eastAsia="ＭＳ 明朝" w:cs="Times New Roman" w:eastAsiaTheme="minorEastAsia"/>
          <w:color w:val="222222"/>
          <w:sz w:val="28"/>
          <w:szCs w:val="28"/>
        </w:rPr>
        <w:t> </w:t>
      </w:r>
    </w:p>
    <w:p w14:paraId="2CEEF32E">
      <w:pPr>
        <w:spacing w:after="80" w:line="276" w:lineRule="auto"/>
        <w:jc w:val="center"/>
      </w:pPr>
      <w:r>
        <w:rPr>
          <w:rFonts w:ascii="Times New Roman" w:hAnsi="Times New Roman" w:eastAsia="ＭＳ 明朝" w:cs="Times New Roman" w:eastAsiaTheme="minorEastAsia"/>
          <w:b/>
          <w:bCs/>
          <w:color w:val="222222"/>
          <w:sz w:val="28"/>
          <w:szCs w:val="28"/>
        </w:rPr>
        <w:t>Лабораторна робота №1</w:t>
      </w:r>
    </w:p>
    <w:p w14:paraId="045F6859">
      <w:pPr>
        <w:spacing w:after="80" w:line="276" w:lineRule="auto"/>
        <w:jc w:val="center"/>
      </w:pPr>
      <w:r>
        <w:rPr>
          <w:rFonts w:ascii="Times New Roman" w:hAnsi="Times New Roman" w:eastAsia="ＭＳ 明朝" w:cs="Times New Roman" w:eastAsiaTheme="minorEastAsia"/>
          <w:color w:val="222222"/>
          <w:sz w:val="28"/>
          <w:szCs w:val="28"/>
        </w:rPr>
        <w:t>з дисципліни «Основи Науки про Дані» на тему</w:t>
      </w:r>
    </w:p>
    <w:p w14:paraId="068FCFA6">
      <w:pPr>
        <w:spacing w:after="80" w:line="276" w:lineRule="auto"/>
        <w:jc w:val="center"/>
      </w:pPr>
      <w:r>
        <w:rPr>
          <w:rFonts w:ascii="Times New Roman" w:hAnsi="Times New Roman" w:eastAsia="ＭＳ 明朝" w:cs="Times New Roman" w:eastAsiaTheme="minorEastAsia"/>
          <w:color w:val="222222"/>
          <w:sz w:val="28"/>
          <w:szCs w:val="28"/>
        </w:rPr>
        <w:t>«</w:t>
      </w:r>
      <w:r>
        <w:rPr>
          <w:rFonts w:ascii="Times New Roman" w:hAnsi="Times New Roman" w:eastAsia="ＭＳ 明朝" w:cs="Times New Roman" w:eastAsiaTheme="minorEastAsia"/>
          <w:color w:val="222222"/>
          <w:sz w:val="24"/>
          <w:szCs w:val="24"/>
        </w:rPr>
        <w:t>Підсумкові функції та відображення даних</w:t>
      </w:r>
      <w:r>
        <w:rPr>
          <w:rFonts w:ascii="Times New Roman" w:hAnsi="Times New Roman" w:eastAsia="ＭＳ 明朝" w:cs="Times New Roman" w:eastAsiaTheme="minorEastAsia"/>
          <w:color w:val="222222"/>
          <w:sz w:val="28"/>
          <w:szCs w:val="28"/>
        </w:rPr>
        <w:t>»</w:t>
      </w:r>
    </w:p>
    <w:p w14:paraId="2D206896">
      <w:pPr>
        <w:spacing w:after="80" w:line="276" w:lineRule="auto"/>
      </w:pPr>
      <w:r>
        <w:rPr>
          <w:rFonts w:ascii="Times New Roman" w:hAnsi="Times New Roman" w:eastAsia="ＭＳ 明朝" w:cs="Times New Roman" w:eastAsiaTheme="minorEastAsia"/>
          <w:color w:val="222222"/>
          <w:sz w:val="28"/>
          <w:szCs w:val="28"/>
        </w:rPr>
        <w:t> </w:t>
      </w:r>
    </w:p>
    <w:p w14:paraId="507FDB3B">
      <w:pPr>
        <w:spacing w:after="80" w:line="276" w:lineRule="auto"/>
      </w:pPr>
      <w:r>
        <w:rPr>
          <w:rFonts w:ascii="Times New Roman" w:hAnsi="Times New Roman" w:eastAsia="ＭＳ 明朝" w:cs="Times New Roman" w:eastAsiaTheme="minorEastAsia"/>
          <w:color w:val="222222"/>
          <w:sz w:val="28"/>
          <w:szCs w:val="28"/>
        </w:rPr>
        <w:t> </w:t>
      </w:r>
    </w:p>
    <w:p w14:paraId="6A8C5D70">
      <w:pPr>
        <w:spacing w:after="80" w:line="276" w:lineRule="auto"/>
      </w:pPr>
      <w:r>
        <w:rPr>
          <w:rFonts w:ascii="Times New Roman" w:hAnsi="Times New Roman" w:eastAsia="ＭＳ 明朝" w:cs="Times New Roman" w:eastAsiaTheme="minorEastAsia"/>
          <w:color w:val="222222"/>
          <w:sz w:val="28"/>
          <w:szCs w:val="28"/>
        </w:rPr>
        <w:t> </w:t>
      </w:r>
    </w:p>
    <w:p w14:paraId="0A735DA0">
      <w:pPr>
        <w:spacing w:after="80" w:line="276" w:lineRule="auto"/>
      </w:pPr>
      <w:r>
        <w:rPr>
          <w:rFonts w:ascii="Times New Roman" w:hAnsi="Times New Roman" w:eastAsia="ＭＳ 明朝" w:cs="Times New Roman" w:eastAsiaTheme="minorEastAsia"/>
          <w:color w:val="222222"/>
          <w:sz w:val="28"/>
          <w:szCs w:val="28"/>
        </w:rPr>
        <w:t> </w:t>
      </w:r>
    </w:p>
    <w:p w14:paraId="04A5BA49">
      <w:pPr>
        <w:spacing w:after="80" w:line="276" w:lineRule="auto"/>
      </w:pPr>
      <w:r>
        <w:rPr>
          <w:rFonts w:ascii="Times New Roman" w:hAnsi="Times New Roman" w:eastAsia="ＭＳ 明朝" w:cs="Times New Roman" w:eastAsiaTheme="minorEastAsia"/>
          <w:color w:val="222222"/>
          <w:sz w:val="28"/>
          <w:szCs w:val="28"/>
        </w:rPr>
        <w:t> </w:t>
      </w:r>
    </w:p>
    <w:p w14:paraId="4F36BD65">
      <w:pPr>
        <w:spacing w:after="80" w:line="276" w:lineRule="auto"/>
      </w:pPr>
      <w:r>
        <w:rPr>
          <w:rFonts w:ascii="Times New Roman" w:hAnsi="Times New Roman" w:eastAsia="ＭＳ 明朝" w:cs="Times New Roman" w:eastAsiaTheme="minorEastAsia"/>
          <w:color w:val="222222"/>
          <w:sz w:val="28"/>
          <w:szCs w:val="28"/>
        </w:rPr>
        <w:t> </w:t>
      </w:r>
    </w:p>
    <w:p w14:paraId="6CAD6E42">
      <w:pPr>
        <w:spacing w:after="80"/>
      </w:pPr>
      <w:r>
        <w:rPr>
          <w:rFonts w:ascii="Times New Roman" w:hAnsi="Times New Roman" w:eastAsia="ＭＳ 明朝" w:cs="Times New Roman" w:eastAsiaTheme="minorEastAsia"/>
          <w:color w:val="222222"/>
          <w:sz w:val="28"/>
          <w:szCs w:val="28"/>
        </w:rPr>
        <w:t>Виконав:                                                                           Перевірив:</w:t>
      </w:r>
    </w:p>
    <w:p w14:paraId="52CA7A69">
      <w:pPr>
        <w:spacing w:after="80"/>
      </w:pPr>
      <w:r>
        <w:rPr>
          <w:rFonts w:ascii="Times New Roman" w:hAnsi="Times New Roman" w:eastAsia="ＭＳ 明朝" w:cs="Times New Roman" w:eastAsiaTheme="minorEastAsia"/>
          <w:color w:val="222222"/>
          <w:sz w:val="28"/>
          <w:szCs w:val="28"/>
        </w:rPr>
        <w:t>Студент групи ІМ-44                                                      Новотарський М.А     </w:t>
      </w:r>
    </w:p>
    <w:p w14:paraId="335B3CBA">
      <w:pPr>
        <w:spacing w:after="80"/>
      </w:pPr>
      <w:r>
        <w:rPr>
          <w:rFonts w:ascii="Times New Roman" w:hAnsi="Times New Roman" w:eastAsia="ＭＳ 明朝" w:cs="Times New Roman" w:eastAsiaTheme="minorEastAsia"/>
          <w:color w:val="222222"/>
          <w:sz w:val="28"/>
          <w:szCs w:val="28"/>
        </w:rPr>
        <w:t>Осипенко Гліб Костянтинович</w:t>
      </w:r>
    </w:p>
    <w:p w14:paraId="6DB1DA57">
      <w:pPr>
        <w:spacing w:after="80"/>
      </w:pPr>
      <w:r>
        <w:rPr>
          <w:rFonts w:ascii="Times New Roman" w:hAnsi="Times New Roman" w:eastAsia="ＭＳ 明朝" w:cs="Times New Roman" w:eastAsiaTheme="minorEastAsia"/>
          <w:color w:val="222222"/>
          <w:sz w:val="28"/>
          <w:szCs w:val="28"/>
        </w:rPr>
        <w:t>номер в списку групи: 20</w:t>
      </w:r>
    </w:p>
    <w:p w14:paraId="0865A71B">
      <w:pPr>
        <w:spacing w:after="80" w:line="276" w:lineRule="auto"/>
        <w:jc w:val="center"/>
      </w:pPr>
      <w:r>
        <w:rPr>
          <w:rFonts w:ascii="Times New Roman" w:hAnsi="Times New Roman" w:eastAsia="ＭＳ 明朝" w:cs="Times New Roman" w:eastAsiaTheme="minorEastAsia"/>
          <w:color w:val="222222"/>
          <w:sz w:val="28"/>
          <w:szCs w:val="28"/>
        </w:rPr>
        <w:t> </w:t>
      </w:r>
    </w:p>
    <w:p w14:paraId="00A2356A">
      <w:pPr>
        <w:spacing w:after="80" w:line="276" w:lineRule="auto"/>
        <w:jc w:val="center"/>
      </w:pPr>
      <w:r>
        <w:rPr>
          <w:rFonts w:ascii="Times New Roman" w:hAnsi="Times New Roman" w:eastAsia="ＭＳ 明朝" w:cs="Times New Roman" w:eastAsiaTheme="minorEastAsia"/>
          <w:color w:val="222222"/>
          <w:sz w:val="28"/>
          <w:szCs w:val="28"/>
        </w:rPr>
        <w:t> </w:t>
      </w:r>
    </w:p>
    <w:p w14:paraId="55066539">
      <w:pPr>
        <w:spacing w:after="80" w:line="276" w:lineRule="auto"/>
        <w:jc w:val="center"/>
      </w:pPr>
      <w:r>
        <w:rPr>
          <w:rFonts w:ascii="Times New Roman" w:hAnsi="Times New Roman" w:eastAsia="ＭＳ 明朝" w:cs="Times New Roman" w:eastAsiaTheme="minorEastAsia"/>
          <w:color w:val="222222"/>
          <w:sz w:val="28"/>
          <w:szCs w:val="28"/>
        </w:rPr>
        <w:t> </w:t>
      </w:r>
    </w:p>
    <w:p w14:paraId="1E24E764">
      <w:pPr>
        <w:spacing w:after="80" w:line="276" w:lineRule="auto"/>
        <w:jc w:val="center"/>
      </w:pPr>
      <w:r>
        <w:rPr>
          <w:rFonts w:ascii="Times New Roman" w:hAnsi="Times New Roman" w:eastAsia="ＭＳ 明朝" w:cs="Times New Roman" w:eastAsiaTheme="minorEastAsia"/>
          <w:color w:val="222222"/>
          <w:sz w:val="28"/>
          <w:szCs w:val="28"/>
        </w:rPr>
        <w:t> </w:t>
      </w:r>
    </w:p>
    <w:p w14:paraId="5D438E57">
      <w:pPr>
        <w:spacing w:after="80" w:line="276" w:lineRule="auto"/>
        <w:jc w:val="center"/>
      </w:pPr>
      <w:r>
        <w:rPr>
          <w:rFonts w:ascii="Times New Roman" w:hAnsi="Times New Roman" w:eastAsia="ＭＳ 明朝" w:cs="Times New Roman" w:eastAsiaTheme="minorEastAsia"/>
          <w:color w:val="222222"/>
          <w:sz w:val="28"/>
          <w:szCs w:val="28"/>
        </w:rPr>
        <w:t>Київ 2026</w:t>
      </w:r>
      <w:r>
        <w:br w:type="textWrapping"/>
      </w:r>
    </w:p>
    <w:p w14:paraId="0B2FE55C">
      <w:pPr>
        <w:pageBreakBefore/>
        <w:spacing w:after="80" w:line="276" w:lineRule="auto"/>
      </w:pPr>
      <w:r/>
    </w:p>
    <w:p w14:paraId="46112ECE">
      <w:pPr>
        <w:spacing w:after="240"/>
        <w:jc w:val="center"/>
      </w:pPr>
      <w:r>
        <w:rPr>
          <w:rFonts w:ascii="Times New Roman" w:hAnsi="Times New Roman" w:eastAsia="ＭＳ 明朝" w:cs="Times New Roman" w:eastAsiaTheme="minorEastAsia"/>
          <w:b/>
          <w:bCs/>
          <w:color w:val="1B365D"/>
          <w:sz w:val="32"/>
          <w:szCs w:val="22"/>
        </w:rPr>
        <w:t>ЗВІТ</w:t>
      </w:r>
      <w:r>
        <w:br w:type="textWrapping"/>
      </w:r>
      <w:r>
        <w:rPr>
          <w:rFonts w:ascii="Times New Roman" w:hAnsi="Times New Roman" w:eastAsia="ＭＳ 明朝" w:cs="Times New Roman" w:eastAsiaTheme="minorEastAsia"/>
          <w:b/>
          <w:bCs/>
          <w:color w:val="1B365D"/>
          <w:sz w:val="32"/>
          <w:szCs w:val="22"/>
        </w:rPr>
        <w:t>про виконання лабораторної роботи №1</w:t>
      </w:r>
      <w:r>
        <w:br w:type="textWrapping"/>
      </w:r>
      <w:r>
        <w:rPr>
          <w:rFonts w:ascii="Times New Roman" w:hAnsi="Times New Roman" w:eastAsia="ＭＳ 明朝" w:cs="Times New Roman" w:eastAsiaTheme="minorEastAsia"/>
          <w:b/>
          <w:bCs/>
          <w:color w:val="1B365D"/>
          <w:sz w:val="32"/>
          <w:szCs w:val="22"/>
        </w:rPr>
        <w:t>з дисципліни «Основи науки про дані»</w:t>
      </w:r>
    </w:p>
    <w:p w14:paraId="576F1E61">
      <w:pPr>
        <w:jc w:val="both"/>
      </w:pPr>
      <w:r>
        <w:rPr>
          <w:rFonts w:ascii="Times New Roman" w:hAnsi="Times New Roman" w:eastAsia="ＭＳ 明朝" w:cs="Times New Roman" w:eastAsiaTheme="minorEastAsia"/>
          <w:b/>
          <w:bCs/>
          <w:color w:val="222222"/>
          <w:sz w:val="24"/>
          <w:szCs w:val="22"/>
        </w:rPr>
        <w:t>Тема:</w:t>
      </w:r>
      <w:r>
        <w:rPr>
          <w:rFonts w:ascii="Times New Roman" w:hAnsi="Times New Roman" w:eastAsia="ＭＳ 明朝" w:cs="Times New Roman" w:eastAsiaTheme="minorEastAsia"/>
          <w:color w:val="222222"/>
          <w:sz w:val="24"/>
          <w:szCs w:val="22"/>
        </w:rPr>
        <w:t xml:space="preserve"> Підсумкові функції та відображення даних.</w:t>
      </w:r>
    </w:p>
    <w:p w14:paraId="40DCE028">
      <w:pPr>
        <w:jc w:val="both"/>
      </w:pPr>
      <w:r>
        <w:rPr>
          <w:rFonts w:ascii="Times New Roman" w:hAnsi="Times New Roman" w:eastAsia="ＭＳ 明朝" w:cs="Times New Roman" w:eastAsiaTheme="minorEastAsia"/>
          <w:b/>
          <w:bCs/>
          <w:color w:val="222222"/>
          <w:sz w:val="24"/>
          <w:szCs w:val="22"/>
        </w:rPr>
        <w:t>Мета:</w:t>
      </w:r>
      <w:r>
        <w:rPr>
          <w:rFonts w:ascii="Times New Roman" w:hAnsi="Times New Roman" w:eastAsia="ＭＳ 明朝" w:cs="Times New Roman" w:eastAsiaTheme="minorEastAsia"/>
          <w:color w:val="222222"/>
          <w:sz w:val="24"/>
          <w:szCs w:val="22"/>
        </w:rPr>
        <w:t xml:space="preserve"> Опанувати практичні навички роботи зі структурами даних DataFrame та Series у бібліотеці Pandas: навчитися вибирати відповідні дані, застосовувати підсумкові (зведені) функції для первинного статистичного аналізу, використовувати методи відображень (map, apply) для модифікації та перерахунку ознак, а також порівняти їхню швидкодію з вбудованими векторизованими операціями.</w:t>
      </w:r>
    </w:p>
    <w:p w14:paraId="02EA5BC2">
      <w:pPr>
        <w:keepNext/>
        <w:spacing w:before="240" w:after="120"/>
        <w:jc w:val="left"/>
      </w:pPr>
      <w:r>
        <w:rPr>
          <w:rFonts w:ascii="Times New Roman" w:hAnsi="Times New Roman" w:eastAsia="ＭＳ 明朝" w:cs="Times New Roman" w:eastAsiaTheme="minorEastAsia"/>
          <w:b/>
          <w:bCs/>
          <w:color w:val="1B365D"/>
          <w:sz w:val="30"/>
          <w:szCs w:val="22"/>
        </w:rPr>
        <w:t>1. Короткі теоретичні відомості</w:t>
      </w:r>
    </w:p>
    <w:p w14:paraId="6DCE87A6">
      <w:pPr>
        <w:jc w:val="both"/>
      </w:pPr>
      <w:r>
        <w:rPr>
          <w:rFonts w:ascii="Times New Roman" w:hAnsi="Times New Roman" w:eastAsia="ＭＳ 明朝" w:cs="Times New Roman" w:eastAsiaTheme="minorEastAsia"/>
          <w:color w:val="222222"/>
          <w:sz w:val="24"/>
          <w:szCs w:val="22"/>
        </w:rPr>
        <w:t>Для первинного знайомства з датасетом та розвідувального аналізу даних (EDA) у бібліотеці Pandas використовуються підсумкові функції та засоби відображень. Основні теоретичні положення базуються на навчальному посібнику проф. Новотарського М. А. «Основи науки про дані» (КПІ, 2022).</w:t>
      </w:r>
    </w:p>
    <w:p w14:paraId="6BCAFCFC">
      <w:pPr>
        <w:pStyle w:val="ListBullet"/>
        <w:spacing w:after="60"/>
        <w:ind w:left="360" w:hanging="360"/>
        <w:jc w:val="both"/>
      </w:pPr>
      <w:r>
        <w:rPr>
          <w:rFonts w:ascii="Times New Roman" w:hAnsi="Times New Roman" w:eastAsia="ＭＳ 明朝" w:cs="Times New Roman" w:eastAsiaTheme="minorEastAsia"/>
          <w:b/>
          <w:bCs/>
          <w:color w:val="222222"/>
          <w:sz w:val="24"/>
          <w:szCs w:val="22"/>
        </w:rPr>
        <w:t>Метод describe():</w:t>
      </w:r>
      <w:r>
        <w:rPr>
          <w:rFonts w:ascii="Times New Roman" w:hAnsi="Times New Roman" w:eastAsia="ＭＳ 明朝" w:cs="Times New Roman" w:eastAsiaTheme="minorEastAsia"/>
          <w:color w:val="222222"/>
          <w:sz w:val="24"/>
          <w:szCs w:val="22"/>
        </w:rPr>
        <w:t xml:space="preserve"> Метод генерує зведену описову статистику. Для числових ознак він автоматично обчислює кількість ненульових значень, середнє арифметичне (mean), стандартне відхилення , мінімальне та максимальне значення, а також 25%, 50% і 75% квартилі. Для категоріальних стовпців метод виводить загальну кількість записів, число унікальних значень, найбільш часте значення та його абсолютну частоту.</w:t>
      </w:r>
    </w:p>
    <w:p w14:paraId="7A75F5F5">
      <w:pPr>
        <w:pStyle w:val="ListBullet"/>
        <w:spacing w:after="60"/>
        <w:ind w:left="360" w:hanging="360"/>
        <w:jc w:val="both"/>
      </w:pPr>
      <w:r>
        <w:rPr>
          <w:rFonts w:ascii="Times New Roman" w:hAnsi="Times New Roman" w:eastAsia="ＭＳ 明朝" w:cs="Times New Roman" w:eastAsiaTheme="minorEastAsia"/>
          <w:b/>
          <w:bCs/>
          <w:color w:val="222222"/>
          <w:sz w:val="24"/>
          <w:szCs w:val="22"/>
        </w:rPr>
        <w:t>Метод mean():</w:t>
      </w:r>
      <w:r>
        <w:rPr>
          <w:rFonts w:ascii="Times New Roman" w:hAnsi="Times New Roman" w:eastAsia="ＭＳ 明朝" w:cs="Times New Roman" w:eastAsiaTheme="minorEastAsia"/>
          <w:color w:val="222222"/>
          <w:sz w:val="24"/>
          <w:szCs w:val="22"/>
        </w:rPr>
        <w:t xml:space="preserve"> Обчислює середнє значення для числового стовпця. Дозволяє швидко отримати центральну тенденцію розподілу величини.</w:t>
      </w:r>
    </w:p>
    <w:p w14:paraId="7FC02024">
      <w:pPr>
        <w:pStyle w:val="ListBullet"/>
        <w:spacing w:after="60"/>
        <w:ind w:left="360" w:hanging="360"/>
        <w:jc w:val="both"/>
      </w:pPr>
      <w:r>
        <w:rPr>
          <w:rFonts w:ascii="Times New Roman" w:hAnsi="Times New Roman" w:eastAsia="ＭＳ 明朝" w:cs="Times New Roman" w:eastAsiaTheme="minorEastAsia"/>
          <w:b/>
          <w:bCs/>
          <w:color w:val="222222"/>
          <w:sz w:val="24"/>
          <w:szCs w:val="22"/>
        </w:rPr>
        <w:t>Метод unique():</w:t>
      </w:r>
      <w:r>
        <w:rPr>
          <w:rFonts w:ascii="Times New Roman" w:hAnsi="Times New Roman" w:eastAsia="ＭＳ 明朝" w:cs="Times New Roman" w:eastAsiaTheme="minorEastAsia"/>
          <w:color w:val="222222"/>
          <w:sz w:val="24"/>
          <w:szCs w:val="22"/>
        </w:rPr>
        <w:t xml:space="preserve"> Повертає масив або список усіх неповторюваних значень стовпця. Застосовується як для категоріальних, так і для числових даних для розуміння різноманітності записів.</w:t>
      </w:r>
    </w:p>
    <w:p w14:paraId="7D45820F">
      <w:pPr>
        <w:pStyle w:val="ListBullet"/>
        <w:spacing w:after="60"/>
        <w:ind w:left="360" w:hanging="360"/>
        <w:jc w:val="both"/>
      </w:pPr>
      <w:r>
        <w:rPr>
          <w:rFonts w:ascii="Times New Roman" w:hAnsi="Times New Roman" w:eastAsia="ＭＳ 明朝" w:cs="Times New Roman" w:eastAsiaTheme="minorEastAsia"/>
          <w:b/>
          <w:bCs/>
          <w:color w:val="222222"/>
          <w:sz w:val="24"/>
          <w:szCs w:val="22"/>
        </w:rPr>
        <w:t>Метод value_counts():</w:t>
      </w:r>
      <w:r>
        <w:rPr>
          <w:rFonts w:ascii="Times New Roman" w:hAnsi="Times New Roman" w:eastAsia="ＭＳ 明朝" w:cs="Times New Roman" w:eastAsiaTheme="minorEastAsia"/>
          <w:color w:val="222222"/>
          <w:sz w:val="24"/>
          <w:szCs w:val="22"/>
        </w:rPr>
        <w:t xml:space="preserve"> Підраховує, скільки разів кожне унікальне значення зустрічається у вибраному стовпці, і за замовчуванням сортує їх за спаданням частоти.</w:t>
      </w:r>
    </w:p>
    <w:p w14:paraId="07E8DED3">
      <w:pPr>
        <w:pStyle w:val="ListBullet"/>
        <w:spacing w:after="60"/>
        <w:ind w:left="360" w:hanging="360"/>
        <w:jc w:val="both"/>
      </w:pPr>
      <w:r>
        <w:rPr>
          <w:rFonts w:ascii="Times New Roman" w:hAnsi="Times New Roman" w:eastAsia="ＭＳ 明朝" w:cs="Times New Roman" w:eastAsiaTheme="minorEastAsia"/>
          <w:b/>
          <w:bCs/>
          <w:color w:val="222222"/>
          <w:sz w:val="24"/>
          <w:szCs w:val="22"/>
        </w:rPr>
        <w:t>Метод відображення map():</w:t>
      </w:r>
      <w:r>
        <w:rPr>
          <w:rFonts w:ascii="Times New Roman" w:hAnsi="Times New Roman" w:eastAsia="ＭＳ 明朝" w:cs="Times New Roman" w:eastAsiaTheme="minorEastAsia"/>
          <w:color w:val="222222"/>
          <w:sz w:val="24"/>
          <w:szCs w:val="22"/>
        </w:rPr>
        <w:t xml:space="preserve"> Призначений для поелементного перетворення однієї колонки (Series). Він приймає функцію (або лямбда-вираз) і повертає новий об'єкт Series з перетвореними значеннями. При цьому вихідний датафрейм залишається незмінним.</w:t>
      </w:r>
    </w:p>
    <w:p w14:paraId="3C3E025C">
      <w:pPr>
        <w:pStyle w:val="ListBullet"/>
        <w:spacing w:after="60"/>
        <w:ind w:left="360" w:hanging="360"/>
        <w:jc w:val="both"/>
      </w:pPr>
      <w:r>
        <w:rPr>
          <w:rFonts w:ascii="Times New Roman" w:hAnsi="Times New Roman" w:eastAsia="ＭＳ 明朝" w:cs="Times New Roman" w:eastAsiaTheme="minorEastAsia"/>
          <w:b/>
          <w:bCs/>
          <w:color w:val="222222"/>
          <w:sz w:val="24"/>
          <w:szCs w:val="22"/>
        </w:rPr>
        <w:t>Метод відображення apply():</w:t>
      </w:r>
      <w:r>
        <w:rPr>
          <w:rFonts w:ascii="Times New Roman" w:hAnsi="Times New Roman" w:eastAsia="ＭＳ 明朝" w:cs="Times New Roman" w:eastAsiaTheme="minorEastAsia"/>
          <w:color w:val="222222"/>
          <w:sz w:val="24"/>
          <w:szCs w:val="22"/>
        </w:rPr>
        <w:t xml:space="preserve"> Більш потужний універсальний метод відображення для DataFrame. При виклику з параметром axis='columns' він передає у власну функцію цілий рядок, що дозволяє проводити складні обчислення на основі кількох колонок одночасно або генерувати нові ознаки.</w:t>
      </w:r>
    </w:p>
    <w:p w14:paraId="19085145">
      <w:pPr>
        <w:pStyle w:val="ListBullet"/>
        <w:spacing w:after="60"/>
        <w:ind w:left="360" w:hanging="360"/>
        <w:jc w:val="both"/>
      </w:pPr>
      <w:r>
        <w:rPr>
          <w:rFonts w:ascii="Times New Roman" w:hAnsi="Times New Roman" w:eastAsia="ＭＳ 明朝" w:cs="Times New Roman" w:eastAsiaTheme="minorEastAsia"/>
          <w:b/>
          <w:bCs/>
          <w:color w:val="222222"/>
          <w:sz w:val="24"/>
          <w:szCs w:val="22"/>
        </w:rPr>
        <w:t>Вбудовані векторизовані операції:</w:t>
      </w:r>
      <w:r>
        <w:rPr>
          <w:rFonts w:ascii="Times New Roman" w:hAnsi="Times New Roman" w:eastAsia="ＭＳ 明朝" w:cs="Times New Roman" w:eastAsiaTheme="minorEastAsia"/>
          <w:color w:val="222222"/>
          <w:sz w:val="24"/>
          <w:szCs w:val="22"/>
        </w:rPr>
        <w:t xml:space="preserve"> Прямі арифметичні та логічні дії між стовпцем і числом або між двома стовпцями. На відміну від map та apply, векторизовані вирази спираються на оптимізовані скомпільовані C-масиви NumPy, уникають накладних витрат інтерпретатора Python на виклик функцій для кожного рядка окремо й працюють у десятки-сотні разів швидше.</w:t>
      </w:r>
    </w:p>
    <w:p w14:paraId="034D5B4A">
      <w:pPr>
        <w:keepNext/>
        <w:spacing w:before="240" w:after="120"/>
        <w:jc w:val="left"/>
      </w:pPr>
      <w:r>
        <w:rPr>
          <w:rFonts w:ascii="Times New Roman" w:hAnsi="Times New Roman" w:eastAsia="ＭＳ 明朝" w:cs="Times New Roman" w:eastAsiaTheme="minorEastAsia"/>
          <w:b/>
          <w:bCs/>
          <w:color w:val="1B365D"/>
          <w:sz w:val="30"/>
          <w:szCs w:val="22"/>
        </w:rPr>
        <w:t>2. Опис ходу роботи</w:t>
      </w:r>
    </w:p>
    <w:p w14:paraId="34DF7E6A">
      <w:pPr>
        <w:keepNext/>
        <w:spacing w:before="200" w:after="80"/>
        <w:jc w:val="left"/>
      </w:pPr>
      <w:r>
        <w:rPr>
          <w:rFonts w:ascii="Times New Roman" w:hAnsi="Times New Roman" w:eastAsia="ＭＳ 明朝" w:cs="Times New Roman" w:eastAsiaTheme="minorEastAsia"/>
          <w:b/>
          <w:bCs/>
          <w:color w:val="2A4D69"/>
          <w:sz w:val="26"/>
          <w:szCs w:val="22"/>
        </w:rPr>
        <w:t>2.1. Вибір датасету та завантаження даних</w:t>
      </w:r>
    </w:p>
    <w:p w14:paraId="4DF3E914">
      <w:pPr>
        <w:jc w:val="both"/>
      </w:pPr>
      <w:r>
        <w:rPr>
          <w:rFonts w:ascii="Times New Roman" w:hAnsi="Times New Roman" w:eastAsia="ＭＳ 明朝" w:cs="Times New Roman" w:eastAsiaTheme="minorEastAsia"/>
          <w:color w:val="222222"/>
          <w:sz w:val="24"/>
          <w:szCs w:val="22"/>
        </w:rPr>
        <w:t>Відповідно до вимог методичних вказівок щодо використання власного набору даних замість навчального прикладу, для виконання роботи було обрано датасет «Video Game Sales» з платформи Kaggle. Набір містить інформацію про продажі відеоігор по всьому світу (понад 16.5 тис. записів) з розбивкою по регіонах (Північна Америка, Європа, Японія тощо), а також платформи, роки випуску та жанри.</w:t>
      </w:r>
    </w:p>
    <w:p w14:paraId="473A859B">
      <w:pPr>
        <w:jc w:val="both"/>
      </w:pPr>
      <w:r>
        <w:rPr>
          <w:rFonts w:ascii="Times New Roman" w:hAnsi="Times New Roman" w:eastAsia="ＭＳ 明朝" w:cs="Times New Roman" w:eastAsiaTheme="minorEastAsia"/>
          <w:color w:val="222222"/>
          <w:sz w:val="24"/>
          <w:szCs w:val="22"/>
        </w:rPr>
        <w:t>На першому етапі імпортуємо бібліотеки pandas, numpy, matplotlib та seaborn, завантажуємо файл vgsales.csv і перевіряємо його структуру:</w:t>
      </w:r>
    </w:p>
    <w:tbl>
      <w:tblPr>
        <w:tblW w:w="0" w:type="auto"/>
        <w:jc w:val="center"/>
        <w:tblBorders>
          <w:top w:val="single" w:sz="4" w:space="0" w:color="D0D5DD"/>
          <w:left w:val="single" w:sz="18" w:space="0" w:color="1B365D"/>
          <w:bottom w:val="single" w:sz="4" w:space="0" w:color="D0D5DD"/>
          <w:right w:val="single" w:sz="4" w:space="0" w:color="D0D5DD"/>
          <w:insideH w:val="single" w:sz="4" w:space="0" w:color="D0D5DD"/>
          <w:insideV w:val="single" w:sz="4" w:space="0" w:color="D0D5DD"/>
        </w:tblBorders>
        <w:tblCellMar>
          <w:top w:w="0" w:type="dxa"/>
          <w:left w:w="108" w:type="dxa"/>
          <w:bottom w:w="0" w:type="dxa"/>
          <w:right w:w="108" w:type="dxa"/>
        </w:tblCellMar>
        <w:tblLook w:firstRow="1" w:firstColumn="1" w:noVBand="1"/>
      </w:tblPr>
      <w:tblGrid>
        <w:gridCol w:w="9979"/>
      </w:tblGrid>
      <w:tr>
        <w:tc>
          <w:tcPr>
            <w:tcW w:w="9979" w:type="dxa"/>
            <w:tcBorders>
              <w:top w:val="single" w:sz="4" w:space="0" w:color="D0D5DD"/>
              <w:left w:val="single" w:sz="18" w:space="0" w:color="1B365D"/>
              <w:bottom w:val="single" w:sz="4" w:space="0" w:color="D0D5DD"/>
              <w:right w:val="single" w:sz="4" w:space="0" w:color="D0D5DD"/>
            </w:tcBorders>
            <w:shd w:val="clear" w:fill="F4F5F7"/>
            <w:tcMar>
              <w:top w:w="120" w:type="dxa"/>
              <w:left w:w="180" w:type="dxa"/>
              <w:bottom w:w="120" w:type="dxa"/>
              <w:right w:w="180" w:type="dxa"/>
            </w:tcMar>
          </w:tcPr>
          <w:p w14:paraId="3665F8A5">
            <w:pPr>
              <w:spacing w:after="40"/>
            </w:pPr>
            <w:r>
              <w:rPr>
                <w:rFonts w:ascii="Calibri" w:hAnsi="Calibri" w:eastAsia="ＭＳ 明朝" w:cs="Calibri" w:eastAsiaTheme="minorEastAsia"/>
                <w:b/>
                <w:bCs/>
                <w:color w:val="1B365D"/>
                <w:sz w:val="20"/>
                <w:szCs w:val="22"/>
              </w:rPr>
              <w:t>Код програми:</w:t>
            </w:r>
          </w:p>
          <w:p w14:paraId="1C8C974A">
            <w:pPr>
              <w:spacing w:after="80" w:line="252" w:lineRule="auto"/>
            </w:pPr>
            <w:r>
              <w:rPr>
                <w:rFonts w:ascii="Consolas" w:hAnsi="Consolas" w:eastAsia="ＭＳ 明朝" w:cs="Consolas" w:eastAsiaTheme="minorEastAsia"/>
                <w:color w:val="111827"/>
                <w:sz w:val="19"/>
                <w:szCs w:val="22"/>
              </w:rPr>
              <w:t>import pandas as pd</w:t>
            </w:r>
            <w:r>
              <w:br w:type="textWrapping"/>
            </w:r>
            <w:r>
              <w:rPr>
                <w:rFonts w:ascii="Consolas" w:hAnsi="Consolas" w:eastAsia="ＭＳ 明朝" w:cs="Consolas" w:eastAsiaTheme="minorEastAsia"/>
                <w:color w:val="111827"/>
                <w:sz w:val="19"/>
                <w:szCs w:val="22"/>
              </w:rPr>
              <w:t>import numpy as np</w:t>
            </w:r>
            <w:r>
              <w:br w:type="textWrapping"/>
            </w:r>
            <w:r>
              <w:rPr>
                <w:rFonts w:ascii="Consolas" w:hAnsi="Consolas" w:eastAsia="ＭＳ 明朝" w:cs="Consolas" w:eastAsiaTheme="minorEastAsia"/>
                <w:color w:val="111827"/>
                <w:sz w:val="19"/>
                <w:szCs w:val="22"/>
              </w:rPr>
              <w:t>import matplotlib.pyplot as plt</w:t>
            </w:r>
            <w:r>
              <w:br w:type="textWrapping"/>
            </w:r>
            <w:r>
              <w:rPr>
                <w:rFonts w:ascii="Consolas" w:hAnsi="Consolas" w:eastAsia="ＭＳ 明朝" w:cs="Consolas" w:eastAsiaTheme="minorEastAsia"/>
                <w:color w:val="111827"/>
                <w:sz w:val="19"/>
                <w:szCs w:val="22"/>
              </w:rPr>
              <w:t>import seaborn as sns</w:t>
            </w:r>
            <w:r>
              <w:br w:type="textWrapping"/>
            </w:r>
            <w:r>
              <w:br w:type="textWrapping"/>
            </w:r>
            <w:r>
              <w:rPr>
                <w:rFonts w:ascii="Consolas" w:hAnsi="Consolas" w:eastAsia="ＭＳ 明朝" w:cs="Consolas" w:eastAsiaTheme="minorEastAsia"/>
                <w:color w:val="111827"/>
                <w:sz w:val="19"/>
                <w:szCs w:val="22"/>
              </w:rPr>
              <w:t># Завантажуємо датасет</w:t>
            </w:r>
            <w:r>
              <w:br w:type="textWrapping"/>
            </w:r>
            <w:r>
              <w:rPr>
                <w:rFonts w:ascii="Consolas" w:hAnsi="Consolas" w:eastAsia="ＭＳ 明朝" w:cs="Consolas" w:eastAsiaTheme="minorEastAsia"/>
                <w:color w:val="111827"/>
                <w:sz w:val="19"/>
                <w:szCs w:val="22"/>
              </w:rPr>
              <w:t>games = pd.read_csv('data/vgsales.csv')</w:t>
            </w:r>
            <w:r>
              <w:br w:type="textWrapping"/>
            </w:r>
            <w:r>
              <w:rPr>
                <w:rFonts w:ascii="Consolas" w:hAnsi="Consolas" w:eastAsia="ＭＳ 明朝" w:cs="Consolas" w:eastAsiaTheme="minorEastAsia"/>
                <w:color w:val="111827"/>
                <w:sz w:val="19"/>
                <w:szCs w:val="22"/>
              </w:rPr>
              <w:t>games.head()</w:t>
            </w:r>
          </w:p>
        </w:tc>
      </w:tr>
    </w:tbl>
    <w:p w14:paraId="4722C849">
      <w:pPr>
        <w:spacing w:after="80"/>
      </w:pPr>
      <w:r>
        <w:drawing>
          <wp:inline distT="0" distB="0" distL="0" distR="0">
            <wp:extent cx="6334125" cy="1400175"/>
            <wp:effectExtent l="0" t="0" r="0" b="0"/>
            <wp:docPr id="100000" name="Picture 10000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image.png"/>
                    <pic:cNvPicPr/>
                  </pic:nvPicPr>
                  <pic:blipFill>
                    <a:blip r:embed="rId62"/>
                    <a:stretch>
                      <a:fillRect/>
                    </a:stretch>
                  </pic:blipFill>
                  <pic:spPr>
                    <a:xfrm>
                      <a:off x="0" y="0"/>
                      <a:ext cx="6334125" cy="1400175"/>
                    </a:xfrm>
                    <a:prstGeom prst="rect">
                      <a:avLst/>
                    </a:prstGeom>
                  </pic:spPr>
                </pic:pic>
              </a:graphicData>
            </a:graphic>
          </wp:inline>
        </w:drawing>
      </w:r>
    </w:p>
    <w:p w14:paraId="5A42B99D">
      <w:pPr>
        <w:jc w:val="both"/>
      </w:pPr>
      <w:r>
        <w:rPr>
          <w:rFonts w:ascii="Times New Roman" w:hAnsi="Times New Roman" w:eastAsia="ＭＳ 明朝" w:cs="Times New Roman" w:eastAsiaTheme="minorEastAsia"/>
          <w:color w:val="222222"/>
          <w:sz w:val="24"/>
          <w:szCs w:val="22"/>
        </w:rPr>
        <w:t>Далі перевіряємо розмір датасету та типи даних за допомогою info():</w:t>
      </w:r>
    </w:p>
    <w:tbl>
      <w:tblPr>
        <w:tblW w:w="0" w:type="auto"/>
        <w:jc w:val="center"/>
        <w:tblBorders>
          <w:top w:val="single" w:sz="4" w:space="0" w:color="D0D5DD"/>
          <w:left w:val="single" w:sz="18" w:space="0" w:color="1B365D"/>
          <w:bottom w:val="single" w:sz="4" w:space="0" w:color="D0D5DD"/>
          <w:right w:val="single" w:sz="4" w:space="0" w:color="D0D5DD"/>
          <w:insideH w:val="single" w:sz="4" w:space="0" w:color="D0D5DD"/>
          <w:insideV w:val="single" w:sz="4" w:space="0" w:color="D0D5DD"/>
        </w:tblBorders>
        <w:tblCellMar>
          <w:top w:w="0" w:type="dxa"/>
          <w:left w:w="108" w:type="dxa"/>
          <w:bottom w:w="0" w:type="dxa"/>
          <w:right w:w="108" w:type="dxa"/>
        </w:tblCellMar>
        <w:tblLook w:firstRow="1" w:firstColumn="1" w:noVBand="1"/>
      </w:tblPr>
      <w:tblGrid>
        <w:gridCol w:w="9979"/>
      </w:tblGrid>
      <w:tr>
        <w:tc>
          <w:tcPr>
            <w:tcW w:w="9979" w:type="dxa"/>
            <w:tcBorders>
              <w:top w:val="single" w:sz="4" w:space="0" w:color="D0D5DD"/>
              <w:left w:val="single" w:sz="18" w:space="0" w:color="1B365D"/>
              <w:bottom w:val="single" w:sz="4" w:space="0" w:color="D0D5DD"/>
              <w:right w:val="single" w:sz="4" w:space="0" w:color="D0D5DD"/>
            </w:tcBorders>
            <w:shd w:val="clear" w:fill="F4F5F7"/>
            <w:tcMar>
              <w:top w:w="120" w:type="dxa"/>
              <w:left w:w="180" w:type="dxa"/>
              <w:bottom w:w="120" w:type="dxa"/>
              <w:right w:w="180" w:type="dxa"/>
            </w:tcMar>
          </w:tcPr>
          <w:p w14:paraId="1700E218">
            <w:pPr>
              <w:spacing w:after="40"/>
            </w:pPr>
            <w:r>
              <w:rPr>
                <w:rFonts w:ascii="Calibri" w:hAnsi="Calibri" w:eastAsia="ＭＳ 明朝" w:cs="Calibri" w:eastAsiaTheme="minorEastAsia"/>
                <w:b/>
                <w:bCs/>
                <w:color w:val="1B365D"/>
                <w:sz w:val="20"/>
                <w:szCs w:val="22"/>
              </w:rPr>
              <w:t>Код програми:</w:t>
            </w:r>
          </w:p>
          <w:p w14:paraId="3D0B09FE">
            <w:pPr>
              <w:spacing w:after="80" w:line="252" w:lineRule="auto"/>
            </w:pPr>
            <w:r>
              <w:rPr>
                <w:rFonts w:ascii="Consolas" w:hAnsi="Consolas" w:eastAsia="ＭＳ 明朝" w:cs="Consolas" w:eastAsiaTheme="minorEastAsia"/>
                <w:color w:val="111827"/>
                <w:sz w:val="19"/>
                <w:szCs w:val="22"/>
              </w:rPr>
              <w:t>games.info()</w:t>
            </w:r>
          </w:p>
        </w:tc>
      </w:tr>
    </w:tbl>
    <w:p w14:paraId="10FE3C3C">
      <w:pPr>
        <w:spacing w:after="80"/>
      </w:pPr>
      <w:r>
        <w:drawing>
          <wp:inline distT="0" distB="0" distL="0" distR="0">
            <wp:extent cx="2324100" cy="2352675"/>
            <wp:effectExtent l="0" t="0" r="0" b="0"/>
            <wp:docPr id="100001" name="Picture 10000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descr="image.png"/>
                    <pic:cNvPicPr/>
                  </pic:nvPicPr>
                  <pic:blipFill>
                    <a:blip r:embed="rId63"/>
                    <a:stretch>
                      <a:fillRect/>
                    </a:stretch>
                  </pic:blipFill>
                  <pic:spPr>
                    <a:xfrm>
                      <a:off x="0" y="0"/>
                      <a:ext cx="2324100" cy="2352675"/>
                    </a:xfrm>
                    <a:prstGeom prst="rect">
                      <a:avLst/>
                    </a:prstGeom>
                  </pic:spPr>
                </pic:pic>
              </a:graphicData>
            </a:graphic>
          </wp:inline>
        </w:drawing>
      </w:r>
    </w:p>
    <w:p w14:paraId="5B734744">
      <w:pPr>
        <w:jc w:val="both"/>
      </w:pPr>
      <w:r>
        <w:rPr>
          <w:rFonts w:ascii="Times New Roman" w:hAnsi="Times New Roman" w:eastAsia="ＭＳ 明朝" w:cs="Times New Roman" w:eastAsiaTheme="minorEastAsia"/>
          <w:color w:val="222222"/>
          <w:sz w:val="24"/>
          <w:szCs w:val="22"/>
        </w:rPr>
        <w:t>Датасет містить 16 539 рядків та 10 стовпців: 6 числових (float64) та 4 текстових (str). Усі продажі вказані в мільйонах проданих копій.</w:t>
      </w:r>
    </w:p>
    <w:p w14:paraId="6E3E8347">
      <w:pPr>
        <w:keepNext/>
        <w:spacing w:before="200" w:after="80"/>
        <w:jc w:val="left"/>
      </w:pPr>
      <w:r>
        <w:rPr>
          <w:rFonts w:ascii="Times New Roman" w:hAnsi="Times New Roman" w:eastAsia="ＭＳ 明朝" w:cs="Times New Roman" w:eastAsiaTheme="minorEastAsia"/>
          <w:b/>
          <w:bCs/>
          <w:color w:val="2A4D69"/>
          <w:sz w:val="26"/>
          <w:szCs w:val="22"/>
        </w:rPr>
        <w:t>2.2. Застосування підсумкових функцій</w:t>
      </w:r>
    </w:p>
    <w:p w14:paraId="5E52BDAA">
      <w:pPr>
        <w:jc w:val="both"/>
      </w:pPr>
      <w:r>
        <w:rPr>
          <w:rFonts w:ascii="Times New Roman" w:hAnsi="Times New Roman" w:eastAsia="ＭＳ 明朝" w:cs="Times New Roman" w:eastAsiaTheme="minorEastAsia"/>
          <w:color w:val="222222"/>
          <w:sz w:val="24"/>
          <w:szCs w:val="22"/>
        </w:rPr>
        <w:t>Досліджуємо числовий стовпець Global_Sales (світовий тираж кожної гри у млн копій) за допомогою функції describe():</w:t>
      </w:r>
    </w:p>
    <w:tbl>
      <w:tblPr>
        <w:tblW w:w="0" w:type="auto"/>
        <w:jc w:val="center"/>
        <w:tblBorders>
          <w:top w:val="single" w:sz="4" w:space="0" w:color="D0D5DD"/>
          <w:left w:val="single" w:sz="18" w:space="0" w:color="1B365D"/>
          <w:bottom w:val="single" w:sz="4" w:space="0" w:color="D0D5DD"/>
          <w:right w:val="single" w:sz="4" w:space="0" w:color="D0D5DD"/>
          <w:insideH w:val="single" w:sz="4" w:space="0" w:color="D0D5DD"/>
          <w:insideV w:val="single" w:sz="4" w:space="0" w:color="D0D5DD"/>
        </w:tblBorders>
        <w:tblCellMar>
          <w:top w:w="0" w:type="dxa"/>
          <w:left w:w="108" w:type="dxa"/>
          <w:bottom w:w="0" w:type="dxa"/>
          <w:right w:w="108" w:type="dxa"/>
        </w:tblCellMar>
        <w:tblLook w:firstRow="1" w:firstColumn="1" w:noVBand="1"/>
      </w:tblPr>
      <w:tblGrid>
        <w:gridCol w:w="9979"/>
      </w:tblGrid>
      <w:tr>
        <w:tc>
          <w:tcPr>
            <w:tcW w:w="9979" w:type="dxa"/>
            <w:tcBorders>
              <w:top w:val="single" w:sz="4" w:space="0" w:color="D0D5DD"/>
              <w:left w:val="single" w:sz="18" w:space="0" w:color="1B365D"/>
              <w:bottom w:val="single" w:sz="4" w:space="0" w:color="D0D5DD"/>
              <w:right w:val="single" w:sz="4" w:space="0" w:color="D0D5DD"/>
            </w:tcBorders>
            <w:shd w:val="clear" w:fill="F4F5F7"/>
            <w:tcMar>
              <w:top w:w="120" w:type="dxa"/>
              <w:left w:w="180" w:type="dxa"/>
              <w:bottom w:w="120" w:type="dxa"/>
              <w:right w:w="180" w:type="dxa"/>
            </w:tcMar>
          </w:tcPr>
          <w:p w14:paraId="593D0A25">
            <w:pPr>
              <w:spacing w:after="40"/>
            </w:pPr>
            <w:r>
              <w:rPr>
                <w:rFonts w:ascii="Calibri" w:hAnsi="Calibri" w:eastAsia="ＭＳ 明朝" w:cs="Calibri" w:eastAsiaTheme="minorEastAsia"/>
                <w:b/>
                <w:bCs/>
                <w:color w:val="1B365D"/>
                <w:sz w:val="20"/>
                <w:szCs w:val="22"/>
              </w:rPr>
              <w:t>Код програми:</w:t>
            </w:r>
          </w:p>
          <w:p w14:paraId="3FAF1E8A">
            <w:pPr>
              <w:spacing w:after="80" w:line="252" w:lineRule="auto"/>
            </w:pPr>
            <w:r>
              <w:rPr>
                <w:rFonts w:ascii="Consolas" w:hAnsi="Consolas" w:eastAsia="ＭＳ 明朝" w:cs="Consolas" w:eastAsiaTheme="minorEastAsia"/>
                <w:color w:val="111827"/>
                <w:sz w:val="19"/>
                <w:szCs w:val="22"/>
              </w:rPr>
              <w:t># Статистичний огляд числового стовпця Global_Sales</w:t>
            </w:r>
            <w:r>
              <w:br w:type="textWrapping"/>
            </w:r>
            <w:r>
              <w:rPr>
                <w:rFonts w:ascii="Consolas" w:hAnsi="Consolas" w:eastAsia="ＭＳ 明朝" w:cs="Consolas" w:eastAsiaTheme="minorEastAsia"/>
                <w:color w:val="111827"/>
                <w:sz w:val="19"/>
                <w:szCs w:val="22"/>
              </w:rPr>
              <w:t>games.Global_Sales.describe()</w:t>
            </w:r>
          </w:p>
        </w:tc>
      </w:tr>
    </w:tbl>
    <w:p w14:paraId="17662E3E">
      <w:pPr>
        <w:spacing w:after="80"/>
      </w:pPr>
      <w:r>
        <w:drawing>
          <wp:inline distT="0" distB="0" distL="0" distR="0">
            <wp:extent cx="2552700" cy="1600200"/>
            <wp:effectExtent l="0" t="0" r="0" b="0"/>
            <wp:docPr id="100002" name="Picture 10000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descr="image.png"/>
                    <pic:cNvPicPr/>
                  </pic:nvPicPr>
                  <pic:blipFill>
                    <a:blip r:embed="rId64"/>
                    <a:stretch>
                      <a:fillRect/>
                    </a:stretch>
                  </pic:blipFill>
                  <pic:spPr>
                    <a:xfrm>
                      <a:off x="0" y="0"/>
                      <a:ext cx="2552700" cy="1600200"/>
                    </a:xfrm>
                    <a:prstGeom prst="rect">
                      <a:avLst/>
                    </a:prstGeom>
                  </pic:spPr>
                </pic:pic>
              </a:graphicData>
            </a:graphic>
          </wp:inline>
        </w:drawing>
      </w:r>
    </w:p>
    <w:p w14:paraId="63E4AABE">
      <w:pPr>
        <w:jc w:val="both"/>
      </w:pPr>
      <w:r>
        <w:rPr>
          <w:rFonts w:ascii="Times New Roman" w:hAnsi="Times New Roman" w:eastAsia="ＭＳ 明朝" w:cs="Times New Roman" w:eastAsiaTheme="minorEastAsia"/>
          <w:color w:val="222222"/>
          <w:sz w:val="24"/>
          <w:szCs w:val="22"/>
        </w:rPr>
        <w:t>Також обчислюємо точне середнє значення та дивимося масив унікальних тиражів:</w:t>
      </w:r>
    </w:p>
    <w:tbl>
      <w:tblPr>
        <w:tblW w:w="0" w:type="auto"/>
        <w:jc w:val="center"/>
        <w:tblBorders>
          <w:top w:val="single" w:sz="4" w:space="0" w:color="D0D5DD"/>
          <w:left w:val="single" w:sz="18" w:space="0" w:color="1B365D"/>
          <w:bottom w:val="single" w:sz="4" w:space="0" w:color="D0D5DD"/>
          <w:right w:val="single" w:sz="4" w:space="0" w:color="D0D5DD"/>
          <w:insideH w:val="single" w:sz="4" w:space="0" w:color="D0D5DD"/>
          <w:insideV w:val="single" w:sz="4" w:space="0" w:color="D0D5DD"/>
        </w:tblBorders>
        <w:tblCellMar>
          <w:top w:w="0" w:type="dxa"/>
          <w:left w:w="108" w:type="dxa"/>
          <w:bottom w:w="0" w:type="dxa"/>
          <w:right w:w="108" w:type="dxa"/>
        </w:tblCellMar>
        <w:tblLook w:firstRow="1" w:firstColumn="1" w:noVBand="1"/>
      </w:tblPr>
      <w:tblGrid>
        <w:gridCol w:w="9979"/>
      </w:tblGrid>
      <w:tr>
        <w:tc>
          <w:tcPr>
            <w:tcW w:w="9979" w:type="dxa"/>
            <w:tcBorders>
              <w:top w:val="single" w:sz="4" w:space="0" w:color="D0D5DD"/>
              <w:left w:val="single" w:sz="18" w:space="0" w:color="1B365D"/>
              <w:bottom w:val="single" w:sz="4" w:space="0" w:color="D0D5DD"/>
              <w:right w:val="single" w:sz="4" w:space="0" w:color="D0D5DD"/>
            </w:tcBorders>
            <w:shd w:val="clear" w:fill="F4F5F7"/>
            <w:tcMar>
              <w:top w:w="120" w:type="dxa"/>
              <w:left w:w="180" w:type="dxa"/>
              <w:bottom w:w="120" w:type="dxa"/>
              <w:right w:w="180" w:type="dxa"/>
            </w:tcMar>
          </w:tcPr>
          <w:p w14:paraId="0C98ED7F">
            <w:pPr>
              <w:spacing w:after="40"/>
            </w:pPr>
            <w:r>
              <w:rPr>
                <w:rFonts w:ascii="Calibri" w:hAnsi="Calibri" w:eastAsia="ＭＳ 明朝" w:cs="Calibri" w:eastAsiaTheme="minorEastAsia"/>
                <w:b/>
                <w:bCs/>
                <w:color w:val="1B365D"/>
                <w:sz w:val="20"/>
                <w:szCs w:val="22"/>
              </w:rPr>
              <w:t>Код програми:</w:t>
            </w:r>
          </w:p>
          <w:p w14:paraId="57364760">
            <w:pPr>
              <w:spacing w:after="80" w:line="252" w:lineRule="auto"/>
            </w:pPr>
            <w:r>
              <w:rPr>
                <w:rFonts w:ascii="Consolas" w:hAnsi="Consolas" w:eastAsia="ＭＳ 明朝" w:cs="Consolas" w:eastAsiaTheme="minorEastAsia"/>
                <w:color w:val="111827"/>
                <w:sz w:val="19"/>
                <w:szCs w:val="22"/>
              </w:rPr>
              <w:t># Обчислення середнього значення продажів</w:t>
            </w:r>
            <w:r>
              <w:br w:type="textWrapping"/>
            </w:r>
            <w:r>
              <w:rPr>
                <w:rFonts w:ascii="Consolas" w:hAnsi="Consolas" w:eastAsia="ＭＳ 明朝" w:cs="Consolas" w:eastAsiaTheme="minorEastAsia"/>
                <w:color w:val="111827"/>
                <w:sz w:val="19"/>
                <w:szCs w:val="22"/>
              </w:rPr>
              <w:t>games.Global_Sales.mean()</w:t>
            </w:r>
          </w:p>
        </w:tc>
      </w:tr>
    </w:tbl>
    <w:p w14:paraId="20E8B380">
      <w:pPr>
        <w:spacing w:after="80"/>
      </w:pPr>
      <w:r>
        <w:drawing>
          <wp:inline distT="0" distB="0" distL="0" distR="0">
            <wp:extent cx="2600325" cy="200025"/>
            <wp:effectExtent l="0" t="0" r="0" b="0"/>
            <wp:docPr id="100003" name="Picture 10000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descr="image.png"/>
                    <pic:cNvPicPr/>
                  </pic:nvPicPr>
                  <pic:blipFill>
                    <a:blip r:embed="rId65"/>
                    <a:stretch>
                      <a:fillRect/>
                    </a:stretch>
                  </pic:blipFill>
                  <pic:spPr>
                    <a:xfrm>
                      <a:off x="0" y="0"/>
                      <a:ext cx="2600325" cy="200025"/>
                    </a:xfrm>
                    <a:prstGeom prst="rect">
                      <a:avLst/>
                    </a:prstGeom>
                  </pic:spPr>
                </pic:pic>
              </a:graphicData>
            </a:graphic>
          </wp:inline>
        </w:drawing>
      </w:r>
    </w:p>
    <w:tbl>
      <w:tblPr>
        <w:tblW w:w="0" w:type="auto"/>
        <w:jc w:val="center"/>
        <w:tblBorders>
          <w:top w:val="single" w:sz="4" w:space="0" w:color="D0D5DD"/>
          <w:left w:val="single" w:sz="18" w:space="0" w:color="1B365D"/>
          <w:bottom w:val="single" w:sz="4" w:space="0" w:color="D0D5DD"/>
          <w:right w:val="single" w:sz="4" w:space="0" w:color="D0D5DD"/>
          <w:insideH w:val="single" w:sz="4" w:space="0" w:color="D0D5DD"/>
          <w:insideV w:val="single" w:sz="4" w:space="0" w:color="D0D5DD"/>
        </w:tblBorders>
        <w:tblCellMar>
          <w:top w:w="0" w:type="dxa"/>
          <w:left w:w="108" w:type="dxa"/>
          <w:bottom w:w="0" w:type="dxa"/>
          <w:right w:w="108" w:type="dxa"/>
        </w:tblCellMar>
        <w:tblLook w:firstRow="1" w:firstColumn="1" w:noVBand="1"/>
      </w:tblPr>
      <w:tblGrid>
        <w:gridCol w:w="9979"/>
      </w:tblGrid>
      <w:tr>
        <w:tc>
          <w:tcPr>
            <w:tcW w:w="9979" w:type="dxa"/>
            <w:tcBorders>
              <w:top w:val="single" w:sz="4" w:space="0" w:color="D0D5DD"/>
              <w:left w:val="single" w:sz="18" w:space="0" w:color="1B365D"/>
              <w:bottom w:val="single" w:sz="4" w:space="0" w:color="D0D5DD"/>
              <w:right w:val="single" w:sz="4" w:space="0" w:color="D0D5DD"/>
            </w:tcBorders>
            <w:shd w:val="clear" w:fill="F4F5F7"/>
            <w:tcMar>
              <w:top w:w="120" w:type="dxa"/>
              <w:left w:w="180" w:type="dxa"/>
              <w:bottom w:w="120" w:type="dxa"/>
              <w:right w:w="180" w:type="dxa"/>
            </w:tcMar>
          </w:tcPr>
          <w:p w14:paraId="4F6E2698">
            <w:pPr>
              <w:spacing w:after="40"/>
            </w:pPr>
            <w:r>
              <w:rPr>
                <w:rFonts w:ascii="Calibri" w:hAnsi="Calibri" w:eastAsia="ＭＳ 明朝" w:cs="Calibri" w:eastAsiaTheme="minorEastAsia"/>
                <w:b/>
                <w:bCs/>
                <w:color w:val="1B365D"/>
                <w:sz w:val="20"/>
                <w:szCs w:val="22"/>
              </w:rPr>
              <w:t>Код програми:</w:t>
            </w:r>
          </w:p>
          <w:p w14:paraId="66E0164E">
            <w:pPr>
              <w:spacing w:after="80" w:line="252" w:lineRule="auto"/>
            </w:pPr>
            <w:r>
              <w:rPr>
                <w:rFonts w:ascii="Consolas" w:hAnsi="Consolas" w:eastAsia="ＭＳ 明朝" w:cs="Consolas" w:eastAsiaTheme="minorEastAsia"/>
                <w:color w:val="111827"/>
                <w:sz w:val="19"/>
                <w:szCs w:val="22"/>
              </w:rPr>
              <w:t># Перегляд унікальних значень світових продажів</w:t>
            </w:r>
            <w:r>
              <w:br w:type="textWrapping"/>
            </w:r>
            <w:r>
              <w:rPr>
                <w:rFonts w:ascii="Consolas" w:hAnsi="Consolas" w:eastAsia="ＭＳ 明朝" w:cs="Consolas" w:eastAsiaTheme="minorEastAsia"/>
                <w:color w:val="111827"/>
                <w:sz w:val="19"/>
                <w:szCs w:val="22"/>
              </w:rPr>
              <w:t>games.Global_Sales.unique()</w:t>
            </w:r>
          </w:p>
        </w:tc>
      </w:tr>
    </w:tbl>
    <w:p w14:paraId="06A231FF">
      <w:pPr>
        <w:spacing w:after="80"/>
      </w:pPr>
      <w:r>
        <w:drawing>
          <wp:inline distT="0" distB="0" distL="0" distR="0">
            <wp:extent cx="5514975" cy="2628900"/>
            <wp:effectExtent l="0" t="0" r="0" b="0"/>
            <wp:docPr id="100004" name="Picture 10000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descr="image.png"/>
                    <pic:cNvPicPr/>
                  </pic:nvPicPr>
                  <pic:blipFill>
                    <a:blip r:embed="rId66"/>
                    <a:stretch>
                      <a:fillRect/>
                    </a:stretch>
                  </pic:blipFill>
                  <pic:spPr>
                    <a:xfrm>
                      <a:off x="0" y="0"/>
                      <a:ext cx="5514975" cy="2628900"/>
                    </a:xfrm>
                    <a:prstGeom prst="rect">
                      <a:avLst/>
                    </a:prstGeom>
                  </pic:spPr>
                </pic:pic>
              </a:graphicData>
            </a:graphic>
          </wp:inline>
        </w:drawing>
      </w:r>
    </w:p>
    <w:p w14:paraId="4EADCD9C">
      <w:pPr>
        <w:jc w:val="both"/>
      </w:pPr>
      <w:r>
        <w:rPr>
          <w:rFonts w:ascii="Times New Roman" w:hAnsi="Times New Roman" w:eastAsia="ＭＳ 明朝" w:cs="Times New Roman" w:eastAsiaTheme="minorEastAsia"/>
          <w:color w:val="222222"/>
          <w:sz w:val="24"/>
          <w:szCs w:val="22"/>
        </w:rPr>
        <w:t>Тепер досліджуємо категоріальні змінні. Стовпець Genre містить інформацію про жанрову належність гри. Переглянемо всі доступні жанри та зведену статистику по них:</w:t>
      </w:r>
    </w:p>
    <w:tbl>
      <w:tblPr>
        <w:tblW w:w="0" w:type="auto"/>
        <w:jc w:val="center"/>
        <w:tblBorders>
          <w:top w:val="single" w:sz="4" w:space="0" w:color="D0D5DD"/>
          <w:left w:val="single" w:sz="18" w:space="0" w:color="1B365D"/>
          <w:bottom w:val="single" w:sz="4" w:space="0" w:color="D0D5DD"/>
          <w:right w:val="single" w:sz="4" w:space="0" w:color="D0D5DD"/>
          <w:insideH w:val="single" w:sz="4" w:space="0" w:color="D0D5DD"/>
          <w:insideV w:val="single" w:sz="4" w:space="0" w:color="D0D5DD"/>
        </w:tblBorders>
        <w:tblCellMar>
          <w:top w:w="0" w:type="dxa"/>
          <w:left w:w="108" w:type="dxa"/>
          <w:bottom w:w="0" w:type="dxa"/>
          <w:right w:w="108" w:type="dxa"/>
        </w:tblCellMar>
        <w:tblLook w:firstRow="1" w:firstColumn="1" w:noVBand="1"/>
      </w:tblPr>
      <w:tblGrid>
        <w:gridCol w:w="9979"/>
      </w:tblGrid>
      <w:tr>
        <w:tc>
          <w:tcPr>
            <w:tcW w:w="9979" w:type="dxa"/>
            <w:tcBorders>
              <w:top w:val="single" w:sz="4" w:space="0" w:color="D0D5DD"/>
              <w:left w:val="single" w:sz="18" w:space="0" w:color="1B365D"/>
              <w:bottom w:val="single" w:sz="4" w:space="0" w:color="D0D5DD"/>
              <w:right w:val="single" w:sz="4" w:space="0" w:color="D0D5DD"/>
            </w:tcBorders>
            <w:shd w:val="clear" w:fill="F4F5F7"/>
            <w:tcMar>
              <w:top w:w="120" w:type="dxa"/>
              <w:left w:w="180" w:type="dxa"/>
              <w:bottom w:w="120" w:type="dxa"/>
              <w:right w:w="180" w:type="dxa"/>
            </w:tcMar>
          </w:tcPr>
          <w:p w14:paraId="3C076457">
            <w:pPr>
              <w:spacing w:after="40"/>
            </w:pPr>
            <w:r>
              <w:rPr>
                <w:rFonts w:ascii="Calibri" w:hAnsi="Calibri" w:eastAsia="ＭＳ 明朝" w:cs="Calibri" w:eastAsiaTheme="minorEastAsia"/>
                <w:b/>
                <w:bCs/>
                <w:color w:val="1B365D"/>
                <w:sz w:val="20"/>
                <w:szCs w:val="22"/>
              </w:rPr>
              <w:t>Код програми:</w:t>
            </w:r>
          </w:p>
          <w:p w14:paraId="75E5D91E">
            <w:pPr>
              <w:spacing w:after="80" w:line="252" w:lineRule="auto"/>
            </w:pPr>
            <w:r>
              <w:rPr>
                <w:rFonts w:ascii="Consolas" w:hAnsi="Consolas" w:eastAsia="ＭＳ 明朝" w:cs="Consolas" w:eastAsiaTheme="minorEastAsia"/>
                <w:color w:val="111827"/>
                <w:sz w:val="19"/>
                <w:szCs w:val="22"/>
              </w:rPr>
              <w:t># Список усіх унікальних жанрів</w:t>
            </w:r>
            <w:r>
              <w:br w:type="textWrapping"/>
            </w:r>
            <w:r>
              <w:rPr>
                <w:rFonts w:ascii="Consolas" w:hAnsi="Consolas" w:eastAsia="ＭＳ 明朝" w:cs="Consolas" w:eastAsiaTheme="minorEastAsia"/>
                <w:color w:val="111827"/>
                <w:sz w:val="19"/>
                <w:szCs w:val="22"/>
              </w:rPr>
              <w:t>games.Genre.unique()</w:t>
            </w:r>
          </w:p>
        </w:tc>
      </w:tr>
    </w:tbl>
    <w:p w14:paraId="2202EF23">
      <w:pPr>
        <w:spacing w:after="80"/>
      </w:pPr>
      <w:r>
        <w:drawing>
          <wp:inline distT="0" distB="0" distL="0" distR="0">
            <wp:extent cx="3600450" cy="685800"/>
            <wp:effectExtent l="0" t="0" r="0" b="0"/>
            <wp:docPr id="100005" name="Picture 10000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descr="image.png"/>
                    <pic:cNvPicPr/>
                  </pic:nvPicPr>
                  <pic:blipFill>
                    <a:blip r:embed="rId67"/>
                    <a:stretch>
                      <a:fillRect/>
                    </a:stretch>
                  </pic:blipFill>
                  <pic:spPr>
                    <a:xfrm>
                      <a:off x="0" y="0"/>
                      <a:ext cx="3600450" cy="685800"/>
                    </a:xfrm>
                    <a:prstGeom prst="rect">
                      <a:avLst/>
                    </a:prstGeom>
                  </pic:spPr>
                </pic:pic>
              </a:graphicData>
            </a:graphic>
          </wp:inline>
        </w:drawing>
      </w:r>
    </w:p>
    <w:tbl>
      <w:tblPr>
        <w:tblW w:w="0" w:type="auto"/>
        <w:jc w:val="center"/>
        <w:tblBorders>
          <w:top w:val="single" w:sz="4" w:space="0" w:color="D0D5DD"/>
          <w:left w:val="single" w:sz="18" w:space="0" w:color="1B365D"/>
          <w:bottom w:val="single" w:sz="4" w:space="0" w:color="D0D5DD"/>
          <w:right w:val="single" w:sz="4" w:space="0" w:color="D0D5DD"/>
          <w:insideH w:val="single" w:sz="4" w:space="0" w:color="D0D5DD"/>
          <w:insideV w:val="single" w:sz="4" w:space="0" w:color="D0D5DD"/>
        </w:tblBorders>
        <w:tblCellMar>
          <w:top w:w="0" w:type="dxa"/>
          <w:left w:w="108" w:type="dxa"/>
          <w:bottom w:w="0" w:type="dxa"/>
          <w:right w:w="108" w:type="dxa"/>
        </w:tblCellMar>
        <w:tblLook w:firstRow="1" w:firstColumn="1" w:noVBand="1"/>
      </w:tblPr>
      <w:tblGrid>
        <w:gridCol w:w="9979"/>
      </w:tblGrid>
      <w:tr>
        <w:tc>
          <w:tcPr>
            <w:tcW w:w="9979" w:type="dxa"/>
            <w:tcBorders>
              <w:top w:val="single" w:sz="4" w:space="0" w:color="D0D5DD"/>
              <w:left w:val="single" w:sz="18" w:space="0" w:color="1B365D"/>
              <w:bottom w:val="single" w:sz="4" w:space="0" w:color="D0D5DD"/>
              <w:right w:val="single" w:sz="4" w:space="0" w:color="D0D5DD"/>
            </w:tcBorders>
            <w:shd w:val="clear" w:fill="F4F5F7"/>
            <w:tcMar>
              <w:top w:w="120" w:type="dxa"/>
              <w:left w:w="180" w:type="dxa"/>
              <w:bottom w:w="120" w:type="dxa"/>
              <w:right w:w="180" w:type="dxa"/>
            </w:tcMar>
          </w:tcPr>
          <w:p w14:paraId="335122EC">
            <w:pPr>
              <w:spacing w:after="40"/>
            </w:pPr>
            <w:r>
              <w:rPr>
                <w:rFonts w:ascii="Calibri" w:hAnsi="Calibri" w:eastAsia="ＭＳ 明朝" w:cs="Calibri" w:eastAsiaTheme="minorEastAsia"/>
                <w:b/>
                <w:bCs/>
                <w:color w:val="1B365D"/>
                <w:sz w:val="20"/>
                <w:szCs w:val="22"/>
              </w:rPr>
              <w:t>Код програми:</w:t>
            </w:r>
          </w:p>
          <w:p w14:paraId="12175401">
            <w:pPr>
              <w:spacing w:after="80" w:line="252" w:lineRule="auto"/>
            </w:pPr>
            <w:r>
              <w:rPr>
                <w:rFonts w:ascii="Consolas" w:hAnsi="Consolas" w:eastAsia="ＭＳ 明朝" w:cs="Consolas" w:eastAsiaTheme="minorEastAsia"/>
                <w:color w:val="111827"/>
                <w:sz w:val="19"/>
                <w:szCs w:val="22"/>
              </w:rPr>
              <w:t># Статистичний огляд категоріального стовпця Genre</w:t>
            </w:r>
            <w:r>
              <w:br w:type="textWrapping"/>
            </w:r>
            <w:r>
              <w:rPr>
                <w:rFonts w:ascii="Consolas" w:hAnsi="Consolas" w:eastAsia="ＭＳ 明朝" w:cs="Consolas" w:eastAsiaTheme="minorEastAsia"/>
                <w:color w:val="111827"/>
                <w:sz w:val="19"/>
                <w:szCs w:val="22"/>
              </w:rPr>
              <w:t>games.Genre.describe()</w:t>
            </w:r>
          </w:p>
        </w:tc>
      </w:tr>
    </w:tbl>
    <w:p w14:paraId="2CE69538">
      <w:pPr>
        <w:spacing w:after="80"/>
      </w:pPr>
      <w:r>
        <w:drawing>
          <wp:inline distT="0" distB="0" distL="0" distR="0">
            <wp:extent cx="2447925" cy="1095375"/>
            <wp:effectExtent l="0" t="0" r="0" b="0"/>
            <wp:docPr id="100006" name="Picture 10000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descr="image.png"/>
                    <pic:cNvPicPr/>
                  </pic:nvPicPr>
                  <pic:blipFill>
                    <a:blip r:embed="rId68"/>
                    <a:stretch>
                      <a:fillRect/>
                    </a:stretch>
                  </pic:blipFill>
                  <pic:spPr>
                    <a:xfrm>
                      <a:off x="0" y="0"/>
                      <a:ext cx="2447925" cy="1095375"/>
                    </a:xfrm>
                    <a:prstGeom prst="rect">
                      <a:avLst/>
                    </a:prstGeom>
                  </pic:spPr>
                </pic:pic>
              </a:graphicData>
            </a:graphic>
          </wp:inline>
        </w:drawing>
      </w:r>
    </w:p>
    <w:p w14:paraId="7F55D012">
      <w:pPr>
        <w:jc w:val="both"/>
      </w:pPr>
      <w:r>
        <w:rPr>
          <w:rFonts w:ascii="Times New Roman" w:hAnsi="Times New Roman" w:eastAsia="ＭＳ 明朝" w:cs="Times New Roman" w:eastAsiaTheme="minorEastAsia"/>
          <w:color w:val="222222"/>
          <w:sz w:val="24"/>
          <w:szCs w:val="22"/>
        </w:rPr>
        <w:t>За допомогою функції value_counts() порахуємо кількість ігор для кожного з 12 жанрів, а також подивимося топ-10 платформ за кількістю випущених ігор:</w:t>
      </w:r>
    </w:p>
    <w:tbl>
      <w:tblPr>
        <w:tblW w:w="0" w:type="auto"/>
        <w:jc w:val="center"/>
        <w:tblBorders>
          <w:top w:val="single" w:sz="4" w:space="0" w:color="D0D5DD"/>
          <w:left w:val="single" w:sz="18" w:space="0" w:color="1B365D"/>
          <w:bottom w:val="single" w:sz="4" w:space="0" w:color="D0D5DD"/>
          <w:right w:val="single" w:sz="4" w:space="0" w:color="D0D5DD"/>
          <w:insideH w:val="single" w:sz="4" w:space="0" w:color="D0D5DD"/>
          <w:insideV w:val="single" w:sz="4" w:space="0" w:color="D0D5DD"/>
        </w:tblBorders>
        <w:tblCellMar>
          <w:top w:w="0" w:type="dxa"/>
          <w:left w:w="108" w:type="dxa"/>
          <w:bottom w:w="0" w:type="dxa"/>
          <w:right w:w="108" w:type="dxa"/>
        </w:tblCellMar>
        <w:tblLook w:firstRow="1" w:firstColumn="1" w:noVBand="1"/>
      </w:tblPr>
      <w:tblGrid>
        <w:gridCol w:w="9979"/>
      </w:tblGrid>
      <w:tr>
        <w:tc>
          <w:tcPr>
            <w:tcW w:w="9979" w:type="dxa"/>
            <w:tcBorders>
              <w:top w:val="single" w:sz="4" w:space="0" w:color="D0D5DD"/>
              <w:left w:val="single" w:sz="18" w:space="0" w:color="1B365D"/>
              <w:bottom w:val="single" w:sz="4" w:space="0" w:color="D0D5DD"/>
              <w:right w:val="single" w:sz="4" w:space="0" w:color="D0D5DD"/>
            </w:tcBorders>
            <w:shd w:val="clear" w:fill="F4F5F7"/>
            <w:tcMar>
              <w:top w:w="120" w:type="dxa"/>
              <w:left w:w="180" w:type="dxa"/>
              <w:bottom w:w="120" w:type="dxa"/>
              <w:right w:w="180" w:type="dxa"/>
            </w:tcMar>
          </w:tcPr>
          <w:p w14:paraId="566823FD">
            <w:pPr>
              <w:spacing w:after="40"/>
            </w:pPr>
            <w:r>
              <w:rPr>
                <w:rFonts w:ascii="Calibri" w:hAnsi="Calibri" w:eastAsia="ＭＳ 明朝" w:cs="Calibri" w:eastAsiaTheme="minorEastAsia"/>
                <w:b/>
                <w:bCs/>
                <w:color w:val="1B365D"/>
                <w:sz w:val="20"/>
                <w:szCs w:val="22"/>
              </w:rPr>
              <w:t>Код програми:</w:t>
            </w:r>
          </w:p>
          <w:p w14:paraId="3275E82A">
            <w:pPr>
              <w:spacing w:after="80" w:line="252" w:lineRule="auto"/>
            </w:pPr>
            <w:r>
              <w:rPr>
                <w:rFonts w:ascii="Consolas" w:hAnsi="Consolas" w:eastAsia="ＭＳ 明朝" w:cs="Consolas" w:eastAsiaTheme="minorEastAsia"/>
                <w:color w:val="111827"/>
                <w:sz w:val="19"/>
                <w:szCs w:val="22"/>
              </w:rPr>
              <w:t># Розподіл кількості ігор за жанрами</w:t>
            </w:r>
            <w:r>
              <w:br w:type="textWrapping"/>
            </w:r>
            <w:r>
              <w:rPr>
                <w:rFonts w:ascii="Consolas" w:hAnsi="Consolas" w:eastAsia="ＭＳ 明朝" w:cs="Consolas" w:eastAsiaTheme="minorEastAsia"/>
                <w:color w:val="111827"/>
                <w:sz w:val="19"/>
                <w:szCs w:val="22"/>
              </w:rPr>
              <w:t>games.Genre.value_counts()</w:t>
            </w:r>
          </w:p>
        </w:tc>
      </w:tr>
    </w:tbl>
    <w:p w14:paraId="6D1D44E9">
      <w:pPr>
        <w:spacing w:after="80"/>
      </w:pPr>
      <w:r>
        <w:drawing>
          <wp:inline distT="0" distB="0" distL="0" distR="0">
            <wp:extent cx="2476500" cy="3248025"/>
            <wp:effectExtent l="0" t="0" r="0" b="0"/>
            <wp:docPr id="100007" name="Picture 10000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descr="image.png"/>
                    <pic:cNvPicPr/>
                  </pic:nvPicPr>
                  <pic:blipFill>
                    <a:blip r:embed="rId69"/>
                    <a:stretch>
                      <a:fillRect/>
                    </a:stretch>
                  </pic:blipFill>
                  <pic:spPr>
                    <a:xfrm>
                      <a:off x="0" y="0"/>
                      <a:ext cx="2476500" cy="3248025"/>
                    </a:xfrm>
                    <a:prstGeom prst="rect">
                      <a:avLst/>
                    </a:prstGeom>
                  </pic:spPr>
                </pic:pic>
              </a:graphicData>
            </a:graphic>
          </wp:inline>
        </w:drawing>
      </w:r>
    </w:p>
    <w:tbl>
      <w:tblPr>
        <w:tblW w:w="0" w:type="auto"/>
        <w:jc w:val="center"/>
        <w:tblBorders>
          <w:top w:val="single" w:sz="4" w:space="0" w:color="D0D5DD"/>
          <w:left w:val="single" w:sz="18" w:space="0" w:color="1B365D"/>
          <w:bottom w:val="single" w:sz="4" w:space="0" w:color="D0D5DD"/>
          <w:right w:val="single" w:sz="4" w:space="0" w:color="D0D5DD"/>
          <w:insideH w:val="single" w:sz="4" w:space="0" w:color="D0D5DD"/>
          <w:insideV w:val="single" w:sz="4" w:space="0" w:color="D0D5DD"/>
        </w:tblBorders>
        <w:tblCellMar>
          <w:top w:w="0" w:type="dxa"/>
          <w:left w:w="108" w:type="dxa"/>
          <w:bottom w:w="0" w:type="dxa"/>
          <w:right w:w="108" w:type="dxa"/>
        </w:tblCellMar>
        <w:tblLook w:firstRow="1" w:firstColumn="1" w:noVBand="1"/>
      </w:tblPr>
      <w:tblGrid>
        <w:gridCol w:w="9979"/>
      </w:tblGrid>
      <w:tr>
        <w:tc>
          <w:tcPr>
            <w:tcW w:w="9979" w:type="dxa"/>
            <w:tcBorders>
              <w:top w:val="single" w:sz="4" w:space="0" w:color="D0D5DD"/>
              <w:left w:val="single" w:sz="18" w:space="0" w:color="1B365D"/>
              <w:bottom w:val="single" w:sz="4" w:space="0" w:color="D0D5DD"/>
              <w:right w:val="single" w:sz="4" w:space="0" w:color="D0D5DD"/>
            </w:tcBorders>
            <w:shd w:val="clear" w:fill="F4F5F7"/>
            <w:tcMar>
              <w:top w:w="120" w:type="dxa"/>
              <w:left w:w="180" w:type="dxa"/>
              <w:bottom w:w="120" w:type="dxa"/>
              <w:right w:w="180" w:type="dxa"/>
            </w:tcMar>
          </w:tcPr>
          <w:p w14:paraId="16D2DF34">
            <w:pPr>
              <w:spacing w:after="40"/>
            </w:pPr>
            <w:r>
              <w:rPr>
                <w:rFonts w:ascii="Calibri" w:hAnsi="Calibri" w:eastAsia="ＭＳ 明朝" w:cs="Calibri" w:eastAsiaTheme="minorEastAsia"/>
                <w:b/>
                <w:bCs/>
                <w:color w:val="1B365D"/>
                <w:sz w:val="20"/>
                <w:szCs w:val="22"/>
              </w:rPr>
              <w:t>Код програми:</w:t>
            </w:r>
          </w:p>
          <w:p w14:paraId="2272FEF1">
            <w:pPr>
              <w:spacing w:after="80" w:line="252" w:lineRule="auto"/>
            </w:pPr>
            <w:r>
              <w:rPr>
                <w:rFonts w:ascii="Consolas" w:hAnsi="Consolas" w:eastAsia="ＭＳ 明朝" w:cs="Consolas" w:eastAsiaTheme="minorEastAsia"/>
                <w:color w:val="111827"/>
                <w:sz w:val="19"/>
                <w:szCs w:val="22"/>
              </w:rPr>
              <w:t># Топ-10 платформ за кількістю ігор</w:t>
            </w:r>
            <w:r>
              <w:br w:type="textWrapping"/>
            </w:r>
            <w:r>
              <w:rPr>
                <w:rFonts w:ascii="Consolas" w:hAnsi="Consolas" w:eastAsia="ＭＳ 明朝" w:cs="Consolas" w:eastAsiaTheme="minorEastAsia"/>
                <w:color w:val="111827"/>
                <w:sz w:val="19"/>
                <w:szCs w:val="22"/>
              </w:rPr>
              <w:t>games.Platform.value_counts().head(10)</w:t>
            </w:r>
          </w:p>
        </w:tc>
      </w:tr>
    </w:tbl>
    <w:p w14:paraId="08621D27">
      <w:pPr>
        <w:spacing w:after="80"/>
      </w:pPr>
      <w:r>
        <w:drawing>
          <wp:inline distT="0" distB="0" distL="0" distR="0">
            <wp:extent cx="2162175" cy="2486025"/>
            <wp:effectExtent l="0" t="0" r="0" b="0"/>
            <wp:docPr id="100008" name="Picture 10000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image100008" descr="image.png"/>
                    <pic:cNvPicPr/>
                  </pic:nvPicPr>
                  <pic:blipFill>
                    <a:blip r:embed="rId70"/>
                    <a:stretch>
                      <a:fillRect/>
                    </a:stretch>
                  </pic:blipFill>
                  <pic:spPr>
                    <a:xfrm>
                      <a:off x="0" y="0"/>
                      <a:ext cx="2162175" cy="2486025"/>
                    </a:xfrm>
                    <a:prstGeom prst="rect">
                      <a:avLst/>
                    </a:prstGeom>
                  </pic:spPr>
                </pic:pic>
              </a:graphicData>
            </a:graphic>
          </wp:inline>
        </w:drawing>
      </w:r>
    </w:p>
    <w:p w14:paraId="15D8427E">
      <w:pPr>
        <w:keepNext/>
        <w:spacing w:before="200" w:after="80"/>
        <w:jc w:val="left"/>
      </w:pPr>
      <w:r>
        <w:rPr>
          <w:rFonts w:ascii="Times New Roman" w:hAnsi="Times New Roman" w:eastAsia="ＭＳ 明朝" w:cs="Times New Roman" w:eastAsiaTheme="minorEastAsia"/>
          <w:b/>
          <w:bCs/>
          <w:color w:val="2A4D69"/>
          <w:sz w:val="26"/>
          <w:szCs w:val="22"/>
        </w:rPr>
        <w:t>2.3. Застосування методів відображення (map та apply)</w:t>
      </w:r>
    </w:p>
    <w:p w14:paraId="472F7A73">
      <w:pPr>
        <w:jc w:val="both"/>
      </w:pPr>
      <w:r>
        <w:rPr>
          <w:rFonts w:ascii="Times New Roman" w:hAnsi="Times New Roman" w:eastAsia="ＭＳ 明朝" w:cs="Times New Roman" w:eastAsiaTheme="minorEastAsia"/>
          <w:color w:val="222222"/>
          <w:sz w:val="24"/>
          <w:szCs w:val="22"/>
        </w:rPr>
        <w:t>Завдання відображення полягає у зміні шкали або перерахунку значень стовпців. Спочатку використовуємо метод map(), щоб відцентрувати значення продажів Global_Sales відносно середнього (0.538 млн):</w:t>
      </w:r>
    </w:p>
    <w:tbl>
      <w:tblPr>
        <w:tblW w:w="0" w:type="auto"/>
        <w:jc w:val="center"/>
        <w:tblBorders>
          <w:top w:val="single" w:sz="4" w:space="0" w:color="D0D5DD"/>
          <w:left w:val="single" w:sz="18" w:space="0" w:color="1B365D"/>
          <w:bottom w:val="single" w:sz="4" w:space="0" w:color="D0D5DD"/>
          <w:right w:val="single" w:sz="4" w:space="0" w:color="D0D5DD"/>
          <w:insideH w:val="single" w:sz="4" w:space="0" w:color="D0D5DD"/>
          <w:insideV w:val="single" w:sz="4" w:space="0" w:color="D0D5DD"/>
        </w:tblBorders>
        <w:tblCellMar>
          <w:top w:w="0" w:type="dxa"/>
          <w:left w:w="108" w:type="dxa"/>
          <w:bottom w:w="0" w:type="dxa"/>
          <w:right w:w="108" w:type="dxa"/>
        </w:tblCellMar>
        <w:tblLook w:firstRow="1" w:firstColumn="1" w:noVBand="1"/>
      </w:tblPr>
      <w:tblGrid>
        <w:gridCol w:w="9979"/>
      </w:tblGrid>
      <w:tr>
        <w:tc>
          <w:tcPr>
            <w:tcW w:w="9979" w:type="dxa"/>
            <w:tcBorders>
              <w:top w:val="single" w:sz="4" w:space="0" w:color="D0D5DD"/>
              <w:left w:val="single" w:sz="18" w:space="0" w:color="1B365D"/>
              <w:bottom w:val="single" w:sz="4" w:space="0" w:color="D0D5DD"/>
              <w:right w:val="single" w:sz="4" w:space="0" w:color="D0D5DD"/>
            </w:tcBorders>
            <w:shd w:val="clear" w:fill="F4F5F7"/>
            <w:tcMar>
              <w:top w:w="120" w:type="dxa"/>
              <w:left w:w="180" w:type="dxa"/>
              <w:bottom w:w="120" w:type="dxa"/>
              <w:right w:w="180" w:type="dxa"/>
            </w:tcMar>
          </w:tcPr>
          <w:p w14:paraId="0CB48536">
            <w:pPr>
              <w:spacing w:after="40"/>
            </w:pPr>
            <w:r>
              <w:rPr>
                <w:rFonts w:ascii="Calibri" w:hAnsi="Calibri" w:eastAsia="ＭＳ 明朝" w:cs="Calibri" w:eastAsiaTheme="minorEastAsia"/>
                <w:b/>
                <w:bCs/>
                <w:color w:val="1B365D"/>
                <w:sz w:val="20"/>
                <w:szCs w:val="22"/>
              </w:rPr>
              <w:t>Код програми:</w:t>
            </w:r>
          </w:p>
          <w:p w14:paraId="73AB5D51">
            <w:pPr>
              <w:spacing w:after="80" w:line="252" w:lineRule="auto"/>
            </w:pPr>
            <w:r>
              <w:rPr>
                <w:rFonts w:ascii="Consolas" w:hAnsi="Consolas" w:eastAsia="ＭＳ 明朝" w:cs="Consolas" w:eastAsiaTheme="minorEastAsia"/>
                <w:color w:val="111827"/>
                <w:sz w:val="19"/>
                <w:szCs w:val="22"/>
              </w:rPr>
              <w:t># Центрування Global_Sales відносно середнього через map()</w:t>
            </w:r>
            <w:r>
              <w:br w:type="textWrapping"/>
            </w:r>
            <w:r>
              <w:rPr>
                <w:rFonts w:ascii="Consolas" w:hAnsi="Consolas" w:eastAsia="ＭＳ 明朝" w:cs="Consolas" w:eastAsiaTheme="minorEastAsia"/>
                <w:color w:val="111827"/>
                <w:sz w:val="19"/>
                <w:szCs w:val="22"/>
              </w:rPr>
              <w:t>games_sales_mean = games.Global_Sales.mean()</w:t>
            </w:r>
            <w:r>
              <w:br w:type="textWrapping"/>
            </w:r>
            <w:r>
              <w:rPr>
                <w:rFonts w:ascii="Consolas" w:hAnsi="Consolas" w:eastAsia="ＭＳ 明朝" w:cs="Consolas" w:eastAsiaTheme="minorEastAsia"/>
                <w:color w:val="111827"/>
                <w:sz w:val="19"/>
                <w:szCs w:val="22"/>
              </w:rPr>
              <w:t>games.Global_Sales.map(lambda s: s - games_sales_mean)</w:t>
            </w:r>
          </w:p>
        </w:tc>
      </w:tr>
    </w:tbl>
    <w:p w14:paraId="6613BAE9">
      <w:pPr>
        <w:spacing w:after="80"/>
      </w:pPr>
      <w:r>
        <w:drawing>
          <wp:inline distT="0" distB="0" distL="0" distR="0">
            <wp:extent cx="5343525" cy="3171825"/>
            <wp:effectExtent l="0" t="0" r="0" b="0"/>
            <wp:docPr id="100009" name="Picture 10000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image100009" descr="image.png"/>
                    <pic:cNvPicPr/>
                  </pic:nvPicPr>
                  <pic:blipFill>
                    <a:blip r:embed="rId71"/>
                    <a:stretch>
                      <a:fillRect/>
                    </a:stretch>
                  </pic:blipFill>
                  <pic:spPr>
                    <a:xfrm>
                      <a:off x="0" y="0"/>
                      <a:ext cx="5343525" cy="3171825"/>
                    </a:xfrm>
                    <a:prstGeom prst="rect">
                      <a:avLst/>
                    </a:prstGeom>
                  </pic:spPr>
                </pic:pic>
              </a:graphicData>
            </a:graphic>
          </wp:inline>
        </w:drawing>
      </w:r>
    </w:p>
    <w:p w14:paraId="4077C72B">
      <w:pPr>
        <w:jc w:val="both"/>
      </w:pPr>
      <w:r>
        <w:rPr>
          <w:rFonts w:ascii="Times New Roman" w:hAnsi="Times New Roman" w:eastAsia="ＭＳ 明朝" w:cs="Times New Roman" w:eastAsiaTheme="minorEastAsia"/>
          <w:color w:val="222222"/>
          <w:sz w:val="24"/>
          <w:szCs w:val="22"/>
        </w:rPr>
        <w:t>Метод apply() дозволяє обробляти датафрейм построково. Створюємо функцію remean_sales(row), яка одночасно центруює глобальні продажі та обчислює орієнтовний валовий дохід гри Revenue_Estimate (у млн доларів, приймаючи умовну середню ціну $50 за копію):</w:t>
      </w:r>
    </w:p>
    <w:tbl>
      <w:tblPr>
        <w:tblW w:w="0" w:type="auto"/>
        <w:jc w:val="center"/>
        <w:tblBorders>
          <w:top w:val="single" w:sz="4" w:space="0" w:color="D0D5DD"/>
          <w:left w:val="single" w:sz="18" w:space="0" w:color="1B365D"/>
          <w:bottom w:val="single" w:sz="4" w:space="0" w:color="D0D5DD"/>
          <w:right w:val="single" w:sz="4" w:space="0" w:color="D0D5DD"/>
          <w:insideH w:val="single" w:sz="4" w:space="0" w:color="D0D5DD"/>
          <w:insideV w:val="single" w:sz="4" w:space="0" w:color="D0D5DD"/>
        </w:tblBorders>
        <w:tblCellMar>
          <w:top w:w="0" w:type="dxa"/>
          <w:left w:w="108" w:type="dxa"/>
          <w:bottom w:w="0" w:type="dxa"/>
          <w:right w:w="108" w:type="dxa"/>
        </w:tblCellMar>
        <w:tblLook w:firstRow="1" w:firstColumn="1" w:noVBand="1"/>
      </w:tblPr>
      <w:tblGrid>
        <w:gridCol w:w="9979"/>
      </w:tblGrid>
      <w:tr>
        <w:tc>
          <w:tcPr>
            <w:tcW w:w="9979" w:type="dxa"/>
            <w:tcBorders>
              <w:top w:val="single" w:sz="4" w:space="0" w:color="D0D5DD"/>
              <w:left w:val="single" w:sz="18" w:space="0" w:color="1B365D"/>
              <w:bottom w:val="single" w:sz="4" w:space="0" w:color="D0D5DD"/>
              <w:right w:val="single" w:sz="4" w:space="0" w:color="D0D5DD"/>
            </w:tcBorders>
            <w:shd w:val="clear" w:fill="F4F5F7"/>
            <w:tcMar>
              <w:top w:w="120" w:type="dxa"/>
              <w:left w:w="180" w:type="dxa"/>
              <w:bottom w:w="120" w:type="dxa"/>
              <w:right w:w="180" w:type="dxa"/>
            </w:tcMar>
          </w:tcPr>
          <w:p w14:paraId="2A927B61">
            <w:pPr>
              <w:spacing w:after="40"/>
            </w:pPr>
            <w:r>
              <w:rPr>
                <w:rFonts w:ascii="Calibri" w:hAnsi="Calibri" w:eastAsia="ＭＳ 明朝" w:cs="Calibri" w:eastAsiaTheme="minorEastAsia"/>
                <w:b/>
                <w:bCs/>
                <w:color w:val="1B365D"/>
                <w:sz w:val="20"/>
                <w:szCs w:val="22"/>
              </w:rPr>
              <w:t>Код програми:</w:t>
            </w:r>
          </w:p>
          <w:p w14:paraId="06E3C933">
            <w:pPr>
              <w:spacing w:after="80" w:line="252" w:lineRule="auto"/>
            </w:pPr>
            <w:r>
              <w:rPr>
                <w:rFonts w:ascii="Consolas" w:hAnsi="Consolas" w:eastAsia="ＭＳ 明朝" w:cs="Consolas" w:eastAsiaTheme="minorEastAsia"/>
                <w:color w:val="111827"/>
                <w:sz w:val="19"/>
                <w:szCs w:val="22"/>
              </w:rPr>
              <w:t>def remean_sales(row):</w:t>
            </w:r>
            <w:r>
              <w:br w:type="textWrapping"/>
            </w:r>
            <w:r>
              <w:rPr>
                <w:rFonts w:ascii="Consolas" w:hAnsi="Consolas" w:eastAsia="ＭＳ 明朝" w:cs="Consolas" w:eastAsiaTheme="minorEastAsia"/>
                <w:color w:val="111827"/>
                <w:sz w:val="19"/>
                <w:szCs w:val="22"/>
              </w:rPr>
              <w:t xml:space="preserve">    row.Global_Sales = row.Global_Sales - games_sales_mean</w:t>
            </w:r>
            <w:r>
              <w:br w:type="textWrapping"/>
            </w:r>
            <w:r>
              <w:rPr>
                <w:rFonts w:ascii="Consolas" w:hAnsi="Consolas" w:eastAsia="ＭＳ 明朝" w:cs="Consolas" w:eastAsiaTheme="minorEastAsia"/>
                <w:color w:val="111827"/>
                <w:sz w:val="19"/>
                <w:szCs w:val="22"/>
              </w:rPr>
              <w:t xml:space="preserve">    row['Revenue_Estimate'] = (row.Global_Sales + games_sales_mean) * 50</w:t>
            </w:r>
            <w:r>
              <w:br w:type="textWrapping"/>
            </w:r>
            <w:r>
              <w:rPr>
                <w:rFonts w:ascii="Consolas" w:hAnsi="Consolas" w:eastAsia="ＭＳ 明朝" w:cs="Consolas" w:eastAsiaTheme="minorEastAsia"/>
                <w:color w:val="111827"/>
                <w:sz w:val="19"/>
                <w:szCs w:val="22"/>
              </w:rPr>
              <w:t xml:space="preserve">    return row</w:t>
            </w:r>
            <w:r>
              <w:br w:type="textWrapping"/>
            </w:r>
            <w:r>
              <w:br w:type="textWrapping"/>
            </w:r>
            <w:r>
              <w:rPr>
                <w:rFonts w:ascii="Consolas" w:hAnsi="Consolas" w:eastAsia="ＭＳ 明朝" w:cs="Consolas" w:eastAsiaTheme="minorEastAsia"/>
                <w:color w:val="111827"/>
                <w:sz w:val="19"/>
                <w:szCs w:val="22"/>
              </w:rPr>
              <w:t># Виклик apply для кожного рядка (axis='columns')</w:t>
            </w:r>
            <w:r>
              <w:br w:type="textWrapping"/>
            </w:r>
            <w:r>
              <w:rPr>
                <w:rFonts w:ascii="Consolas" w:hAnsi="Consolas" w:eastAsia="ＭＳ 明朝" w:cs="Consolas" w:eastAsiaTheme="minorEastAsia"/>
                <w:color w:val="111827"/>
                <w:sz w:val="19"/>
                <w:szCs w:val="22"/>
              </w:rPr>
              <w:t>games.apply(remean_sales, axis='columns').head()</w:t>
            </w:r>
          </w:p>
        </w:tc>
      </w:tr>
    </w:tbl>
    <w:p w14:paraId="098F2B54">
      <w:pPr>
        <w:spacing w:after="80"/>
      </w:pPr>
      <w:r>
        <w:drawing>
          <wp:inline distT="0" distB="0" distL="0" distR="0">
            <wp:extent cx="5829300" cy="2409825"/>
            <wp:effectExtent l="0" t="0" r="0" b="0"/>
            <wp:docPr id="100010" name="Picture 10001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image100010" descr="image.png"/>
                    <pic:cNvPicPr/>
                  </pic:nvPicPr>
                  <pic:blipFill>
                    <a:blip r:embed="rId72"/>
                    <a:stretch>
                      <a:fillRect/>
                    </a:stretch>
                  </pic:blipFill>
                  <pic:spPr>
                    <a:xfrm>
                      <a:off x="0" y="0"/>
                      <a:ext cx="5829300" cy="2409825"/>
                    </a:xfrm>
                    <a:prstGeom prst="rect">
                      <a:avLst/>
                    </a:prstGeom>
                  </pic:spPr>
                </pic:pic>
              </a:graphicData>
            </a:graphic>
          </wp:inline>
        </w:drawing>
      </w:r>
    </w:p>
    <w:p w14:paraId="1E02708D">
      <w:pPr>
        <w:jc w:val="both"/>
      </w:pPr>
      <w:r>
        <w:rPr>
          <w:rFonts w:ascii="Times New Roman" w:hAnsi="Times New Roman" w:eastAsia="ＭＳ 明朝" w:cs="Times New Roman" w:eastAsiaTheme="minorEastAsia"/>
          <w:color w:val="222222"/>
          <w:sz w:val="24"/>
          <w:szCs w:val="22"/>
        </w:rPr>
        <w:t>Обов'язково перевіряємо, чи змінився вихідний датафрейм games після виклику map() та apply():</w:t>
      </w:r>
    </w:p>
    <w:tbl>
      <w:tblPr>
        <w:tblW w:w="0" w:type="auto"/>
        <w:jc w:val="center"/>
        <w:tblBorders>
          <w:top w:val="single" w:sz="4" w:space="0" w:color="D0D5DD"/>
          <w:left w:val="single" w:sz="18" w:space="0" w:color="1B365D"/>
          <w:bottom w:val="single" w:sz="4" w:space="0" w:color="D0D5DD"/>
          <w:right w:val="single" w:sz="4" w:space="0" w:color="D0D5DD"/>
          <w:insideH w:val="single" w:sz="4" w:space="0" w:color="D0D5DD"/>
          <w:insideV w:val="single" w:sz="4" w:space="0" w:color="D0D5DD"/>
        </w:tblBorders>
        <w:tblCellMar>
          <w:top w:w="0" w:type="dxa"/>
          <w:left w:w="108" w:type="dxa"/>
          <w:bottom w:w="0" w:type="dxa"/>
          <w:right w:w="108" w:type="dxa"/>
        </w:tblCellMar>
        <w:tblLook w:firstRow="1" w:firstColumn="1" w:noVBand="1"/>
      </w:tblPr>
      <w:tblGrid>
        <w:gridCol w:w="9979"/>
      </w:tblGrid>
      <w:tr>
        <w:tc>
          <w:tcPr>
            <w:tcW w:w="9979" w:type="dxa"/>
            <w:tcBorders>
              <w:top w:val="single" w:sz="4" w:space="0" w:color="D0D5DD"/>
              <w:left w:val="single" w:sz="18" w:space="0" w:color="1B365D"/>
              <w:bottom w:val="single" w:sz="4" w:space="0" w:color="D0D5DD"/>
              <w:right w:val="single" w:sz="4" w:space="0" w:color="D0D5DD"/>
            </w:tcBorders>
            <w:shd w:val="clear" w:fill="F4F5F7"/>
            <w:tcMar>
              <w:top w:w="120" w:type="dxa"/>
              <w:left w:w="180" w:type="dxa"/>
              <w:bottom w:w="120" w:type="dxa"/>
              <w:right w:w="180" w:type="dxa"/>
            </w:tcMar>
          </w:tcPr>
          <w:p w14:paraId="2F927641">
            <w:pPr>
              <w:spacing w:after="40"/>
            </w:pPr>
            <w:r>
              <w:rPr>
                <w:rFonts w:ascii="Calibri" w:hAnsi="Calibri" w:eastAsia="ＭＳ 明朝" w:cs="Calibri" w:eastAsiaTheme="minorEastAsia"/>
                <w:b/>
                <w:bCs/>
                <w:color w:val="1B365D"/>
                <w:sz w:val="20"/>
                <w:szCs w:val="22"/>
              </w:rPr>
              <w:t>Код програми:</w:t>
            </w:r>
          </w:p>
          <w:p w14:paraId="02006750">
            <w:pPr>
              <w:spacing w:after="80" w:line="252" w:lineRule="auto"/>
            </w:pPr>
            <w:r>
              <w:rPr>
                <w:rFonts w:ascii="Consolas" w:hAnsi="Consolas" w:eastAsia="ＭＳ 明朝" w:cs="Consolas" w:eastAsiaTheme="minorEastAsia"/>
                <w:color w:val="111827"/>
                <w:sz w:val="19"/>
                <w:szCs w:val="22"/>
              </w:rPr>
              <w:t># Перевірка незмінності оригінального датафрейму</w:t>
            </w:r>
            <w:r>
              <w:br w:type="textWrapping"/>
            </w:r>
            <w:r>
              <w:rPr>
                <w:rFonts w:ascii="Consolas" w:hAnsi="Consolas" w:eastAsia="ＭＳ 明朝" w:cs="Consolas" w:eastAsiaTheme="minorEastAsia"/>
                <w:color w:val="111827"/>
                <w:sz w:val="19"/>
                <w:szCs w:val="22"/>
              </w:rPr>
              <w:t>games.head()</w:t>
            </w:r>
          </w:p>
        </w:tc>
      </w:tr>
    </w:tbl>
    <w:p w14:paraId="58E54907">
      <w:pPr>
        <w:spacing w:after="80"/>
      </w:pPr>
      <w:r>
        <w:drawing>
          <wp:inline distT="0" distB="0" distL="0" distR="0">
            <wp:extent cx="5829300" cy="1257300"/>
            <wp:effectExtent l="0" t="0" r="0" b="0"/>
            <wp:docPr id="100011" name="Picture 10001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image100011" descr="image.png"/>
                    <pic:cNvPicPr/>
                  </pic:nvPicPr>
                  <pic:blipFill>
                    <a:blip r:embed="rId73"/>
                    <a:stretch>
                      <a:fillRect/>
                    </a:stretch>
                  </pic:blipFill>
                  <pic:spPr>
                    <a:xfrm>
                      <a:off x="0" y="0"/>
                      <a:ext cx="5829300" cy="1257300"/>
                    </a:xfrm>
                    <a:prstGeom prst="rect">
                      <a:avLst/>
                    </a:prstGeom>
                  </pic:spPr>
                </pic:pic>
              </a:graphicData>
            </a:graphic>
          </wp:inline>
        </w:drawing>
      </w:r>
    </w:p>
    <w:p w14:paraId="0A23CC66">
      <w:pPr>
        <w:jc w:val="both"/>
      </w:pPr>
      <w:r>
        <w:rPr>
          <w:rFonts w:ascii="Times New Roman" w:hAnsi="Times New Roman" w:eastAsia="ＭＳ 明朝" w:cs="Times New Roman" w:eastAsiaTheme="minorEastAsia"/>
          <w:color w:val="222222"/>
          <w:sz w:val="24"/>
          <w:szCs w:val="22"/>
        </w:rPr>
        <w:t>Як бачимо, вихідні дані залишилися в первісному вигляді: значення Global_Sales не змінені, стовпця Revenue_Estimate немає. Це підтверджує, що map та apply повертають нові копії/структури і не модифікують вихідний датасет.</w:t>
      </w:r>
    </w:p>
    <w:p w14:paraId="10483B2A">
      <w:pPr>
        <w:spacing w:after="80" w:line="276" w:lineRule="auto"/>
      </w:pPr>
    </w:p>
    <w:p w14:paraId="4F79BCDF">
      <w:pPr>
        <w:spacing w:after="80" w:line="276" w:lineRule="auto"/>
      </w:pPr>
    </w:p>
    <w:p w14:paraId="30359EFA">
      <w:pPr>
        <w:keepNext/>
        <w:spacing w:before="200" w:after="80"/>
        <w:jc w:val="left"/>
      </w:pPr>
      <w:r>
        <w:rPr>
          <w:rFonts w:ascii="Times New Roman" w:hAnsi="Times New Roman" w:eastAsia="ＭＳ 明朝" w:cs="Times New Roman" w:eastAsiaTheme="minorEastAsia"/>
          <w:b/>
          <w:bCs/>
          <w:color w:val="2A4D69"/>
          <w:sz w:val="26"/>
          <w:szCs w:val="22"/>
        </w:rPr>
        <w:t>2.4. Вбудовані векторизовані операції та порівняння швидкодії</w:t>
      </w:r>
    </w:p>
    <w:p w14:paraId="6935699D">
      <w:pPr>
        <w:jc w:val="both"/>
      </w:pPr>
      <w:r>
        <w:rPr>
          <w:rFonts w:ascii="Times New Roman" w:hAnsi="Times New Roman" w:eastAsia="ＭＳ 明朝" w:cs="Times New Roman" w:eastAsiaTheme="minorEastAsia"/>
          <w:color w:val="222222"/>
          <w:sz w:val="24"/>
          <w:szCs w:val="22"/>
        </w:rPr>
        <w:t>Операцію центрування стовпця можна записати значно простіше — через пряме віднімання скаляра від стовпця Series:</w:t>
      </w:r>
    </w:p>
    <w:tbl>
      <w:tblPr>
        <w:tblW w:w="0" w:type="auto"/>
        <w:jc w:val="center"/>
        <w:tblBorders>
          <w:top w:val="single" w:sz="4" w:space="0" w:color="D0D5DD"/>
          <w:left w:val="single" w:sz="18" w:space="0" w:color="1B365D"/>
          <w:bottom w:val="single" w:sz="4" w:space="0" w:color="D0D5DD"/>
          <w:right w:val="single" w:sz="4" w:space="0" w:color="D0D5DD"/>
          <w:insideH w:val="single" w:sz="4" w:space="0" w:color="D0D5DD"/>
          <w:insideV w:val="single" w:sz="4" w:space="0" w:color="D0D5DD"/>
        </w:tblBorders>
        <w:tblCellMar>
          <w:top w:w="0" w:type="dxa"/>
          <w:left w:w="108" w:type="dxa"/>
          <w:bottom w:w="0" w:type="dxa"/>
          <w:right w:w="108" w:type="dxa"/>
        </w:tblCellMar>
        <w:tblLook w:firstRow="1" w:firstColumn="1" w:noVBand="1"/>
      </w:tblPr>
      <w:tblGrid>
        <w:gridCol w:w="9979"/>
      </w:tblGrid>
      <w:tr>
        <w:tc>
          <w:tcPr>
            <w:tcW w:w="9979" w:type="dxa"/>
            <w:tcBorders>
              <w:top w:val="single" w:sz="4" w:space="0" w:color="D0D5DD"/>
              <w:left w:val="single" w:sz="18" w:space="0" w:color="1B365D"/>
              <w:bottom w:val="single" w:sz="4" w:space="0" w:color="D0D5DD"/>
              <w:right w:val="single" w:sz="4" w:space="0" w:color="D0D5DD"/>
            </w:tcBorders>
            <w:shd w:val="clear" w:fill="F4F5F7"/>
            <w:tcMar>
              <w:top w:w="120" w:type="dxa"/>
              <w:left w:w="180" w:type="dxa"/>
              <w:bottom w:w="120" w:type="dxa"/>
              <w:right w:w="180" w:type="dxa"/>
            </w:tcMar>
          </w:tcPr>
          <w:p w14:paraId="3967041C">
            <w:pPr>
              <w:spacing w:after="40"/>
            </w:pPr>
            <w:r>
              <w:rPr>
                <w:rFonts w:ascii="Calibri" w:hAnsi="Calibri" w:eastAsia="ＭＳ 明朝" w:cs="Calibri" w:eastAsiaTheme="minorEastAsia"/>
                <w:b/>
                <w:bCs/>
                <w:color w:val="1B365D"/>
                <w:sz w:val="20"/>
                <w:szCs w:val="22"/>
              </w:rPr>
              <w:t>Код програми:</w:t>
            </w:r>
          </w:p>
          <w:p w14:paraId="266A0734">
            <w:pPr>
              <w:spacing w:after="80" w:line="252" w:lineRule="auto"/>
            </w:pPr>
            <w:r>
              <w:rPr>
                <w:rFonts w:ascii="Consolas" w:hAnsi="Consolas" w:eastAsia="ＭＳ 明朝" w:cs="Consolas" w:eastAsiaTheme="minorEastAsia"/>
                <w:color w:val="111827"/>
                <w:sz w:val="19"/>
                <w:szCs w:val="22"/>
              </w:rPr>
              <w:t># Пряма векторизована операція</w:t>
            </w:r>
            <w:r>
              <w:br w:type="textWrapping"/>
            </w:r>
            <w:r>
              <w:rPr>
                <w:rFonts w:ascii="Consolas" w:hAnsi="Consolas" w:eastAsia="ＭＳ 明朝" w:cs="Consolas" w:eastAsiaTheme="minorEastAsia"/>
                <w:color w:val="111827"/>
                <w:sz w:val="19"/>
                <w:szCs w:val="22"/>
              </w:rPr>
              <w:t>games.Global_Sales - games_sales_mean</w:t>
            </w:r>
          </w:p>
        </w:tc>
      </w:tr>
    </w:tbl>
    <w:p w14:paraId="70886BF1">
      <w:pPr>
        <w:spacing w:after="80"/>
      </w:pPr>
      <w:r>
        <w:drawing>
          <wp:inline distT="0" distB="0" distL="0" distR="0">
            <wp:extent cx="4124325" cy="2457450"/>
            <wp:effectExtent l="0" t="0" r="0" b="0"/>
            <wp:docPr id="100012" name="Picture 1000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image100012" descr="image.png"/>
                    <pic:cNvPicPr/>
                  </pic:nvPicPr>
                  <pic:blipFill>
                    <a:blip r:embed="rId74"/>
                    <a:stretch>
                      <a:fillRect/>
                    </a:stretch>
                  </pic:blipFill>
                  <pic:spPr>
                    <a:xfrm>
                      <a:off x="0" y="0"/>
                      <a:ext cx="4124325" cy="2457450"/>
                    </a:xfrm>
                    <a:prstGeom prst="rect">
                      <a:avLst/>
                    </a:prstGeom>
                  </pic:spPr>
                </pic:pic>
              </a:graphicData>
            </a:graphic>
          </wp:inline>
        </w:drawing>
      </w:r>
    </w:p>
    <w:p w14:paraId="0E76442B">
      <w:pPr>
        <w:jc w:val="both"/>
      </w:pPr>
      <w:r>
        <w:rPr>
          <w:rFonts w:ascii="Times New Roman" w:hAnsi="Times New Roman" w:eastAsia="ＭＳ 明朝" w:cs="Times New Roman" w:eastAsiaTheme="minorEastAsia"/>
          <w:color w:val="222222"/>
          <w:sz w:val="24"/>
          <w:szCs w:val="22"/>
        </w:rPr>
        <w:t>Щоб оцінити практичну перевагу векторизації над map(), я провів замір часу виконання обох варіантів за допомогою команди %timeit у середовищі Jupyter Notebook:</w:t>
      </w:r>
    </w:p>
    <w:tbl>
      <w:tblPr>
        <w:tblW w:w="0" w:type="auto"/>
        <w:jc w:val="center"/>
        <w:tblBorders>
          <w:top w:val="single" w:sz="4" w:space="0" w:color="D0D5DD"/>
          <w:left w:val="single" w:sz="18" w:space="0" w:color="1B365D"/>
          <w:bottom w:val="single" w:sz="4" w:space="0" w:color="D0D5DD"/>
          <w:right w:val="single" w:sz="4" w:space="0" w:color="D0D5DD"/>
          <w:insideH w:val="single" w:sz="4" w:space="0" w:color="D0D5DD"/>
          <w:insideV w:val="single" w:sz="4" w:space="0" w:color="D0D5DD"/>
        </w:tblBorders>
        <w:tblCellMar>
          <w:top w:w="0" w:type="dxa"/>
          <w:left w:w="108" w:type="dxa"/>
          <w:bottom w:w="0" w:type="dxa"/>
          <w:right w:w="108" w:type="dxa"/>
        </w:tblCellMar>
        <w:tblLook w:firstRow="1" w:firstColumn="1" w:noVBand="1"/>
      </w:tblPr>
      <w:tblGrid>
        <w:gridCol w:w="9979"/>
      </w:tblGrid>
      <w:tr>
        <w:tc>
          <w:tcPr>
            <w:tcW w:w="9979" w:type="dxa"/>
            <w:tcBorders>
              <w:top w:val="single" w:sz="4" w:space="0" w:color="D0D5DD"/>
              <w:left w:val="single" w:sz="18" w:space="0" w:color="1B365D"/>
              <w:bottom w:val="single" w:sz="4" w:space="0" w:color="D0D5DD"/>
              <w:right w:val="single" w:sz="4" w:space="0" w:color="D0D5DD"/>
            </w:tcBorders>
            <w:shd w:val="clear" w:fill="F4F5F7"/>
            <w:tcMar>
              <w:top w:w="120" w:type="dxa"/>
              <w:left w:w="180" w:type="dxa"/>
              <w:bottom w:w="120" w:type="dxa"/>
              <w:right w:w="180" w:type="dxa"/>
            </w:tcMar>
          </w:tcPr>
          <w:p w14:paraId="30600614">
            <w:pPr>
              <w:spacing w:after="40"/>
            </w:pPr>
            <w:r>
              <w:rPr>
                <w:rFonts w:ascii="Calibri" w:hAnsi="Calibri" w:eastAsia="ＭＳ 明朝" w:cs="Calibri" w:eastAsiaTheme="minorEastAsia"/>
                <w:b/>
                <w:bCs/>
                <w:color w:val="1B365D"/>
                <w:sz w:val="20"/>
                <w:szCs w:val="22"/>
              </w:rPr>
              <w:t>Код програми:</w:t>
            </w:r>
          </w:p>
          <w:p w14:paraId="3B415BC2">
            <w:pPr>
              <w:spacing w:after="80" w:line="252" w:lineRule="auto"/>
            </w:pPr>
            <w:r>
              <w:rPr>
                <w:rFonts w:ascii="Consolas" w:hAnsi="Consolas" w:eastAsia="ＭＳ 明朝" w:cs="Consolas" w:eastAsiaTheme="minorEastAsia"/>
                <w:color w:val="111827"/>
                <w:sz w:val="19"/>
                <w:szCs w:val="22"/>
              </w:rPr>
              <w:t># Замір часу для методу map()</w:t>
            </w:r>
            <w:r>
              <w:br w:type="textWrapping"/>
            </w:r>
            <w:r>
              <w:rPr>
                <w:rFonts w:ascii="Consolas" w:hAnsi="Consolas" w:eastAsia="ＭＳ 明朝" w:cs="Consolas" w:eastAsiaTheme="minorEastAsia"/>
                <w:color w:val="111827"/>
                <w:sz w:val="19"/>
                <w:szCs w:val="22"/>
              </w:rPr>
              <w:t>%timeit games.Global_Sales.map(lambda s: s - games_sales_mean)</w:t>
            </w:r>
            <w:r>
              <w:br w:type="textWrapping"/>
            </w:r>
            <w:r>
              <w:drawing>
                <wp:inline distT="0" distB="0" distL="0" distR="0">
                  <wp:extent cx="5829300" cy="247650"/>
                  <wp:effectExtent l="0" t="0" r="0" b="0"/>
                  <wp:docPr id="100013" name="Picture 1000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image100013" descr="image.png"/>
                          <pic:cNvPicPr/>
                        </pic:nvPicPr>
                        <pic:blipFill>
                          <a:blip r:embed="rId75"/>
                          <a:stretch>
                            <a:fillRect/>
                          </a:stretch>
                        </pic:blipFill>
                        <pic:spPr>
                          <a:xfrm>
                            <a:off x="0" y="0"/>
                            <a:ext cx="5829300" cy="247650"/>
                          </a:xfrm>
                          <a:prstGeom prst="rect">
                            <a:avLst/>
                          </a:prstGeom>
                        </pic:spPr>
                      </pic:pic>
                    </a:graphicData>
                  </a:graphic>
                </wp:inline>
              </w:drawing>
            </w:r>
            <w:r>
              <w:br w:type="textWrapping"/>
            </w:r>
            <w:r>
              <w:rPr>
                <w:rFonts w:ascii="Consolas" w:hAnsi="Consolas" w:eastAsia="ＭＳ 明朝" w:cs="Consolas" w:eastAsiaTheme="minorEastAsia"/>
                <w:color w:val="111827"/>
                <w:sz w:val="19"/>
                <w:szCs w:val="22"/>
              </w:rPr>
              <w:t># Замір часу для вбудованої векторизованої операції</w:t>
            </w:r>
            <w:r>
              <w:br w:type="textWrapping"/>
            </w:r>
            <w:r>
              <w:rPr>
                <w:rFonts w:ascii="Consolas" w:hAnsi="Consolas" w:eastAsia="ＭＳ 明朝" w:cs="Consolas" w:eastAsiaTheme="minorEastAsia"/>
                <w:color w:val="111827"/>
                <w:sz w:val="19"/>
                <w:szCs w:val="22"/>
              </w:rPr>
              <w:t>%timeit games.Global_Sales - games_sales_mean</w:t>
            </w:r>
          </w:p>
          <w:p w14:paraId="046EE96C">
            <w:pPr>
              <w:spacing w:after="80" w:line="252" w:lineRule="auto"/>
            </w:pPr>
            <w:r>
              <w:drawing>
                <wp:inline distT="0" distB="0" distL="0" distR="0">
                  <wp:extent cx="5829300" cy="228600"/>
                  <wp:effectExtent l="0" t="0" r="0" b="0"/>
                  <wp:docPr id="100014" name="Picture 10001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image100014" descr="image.png"/>
                          <pic:cNvPicPr/>
                        </pic:nvPicPr>
                        <pic:blipFill>
                          <a:blip r:embed="rId76"/>
                          <a:stretch>
                            <a:fillRect/>
                          </a:stretch>
                        </pic:blipFill>
                        <pic:spPr>
                          <a:xfrm>
                            <a:off x="0" y="0"/>
                            <a:ext cx="5829300" cy="228600"/>
                          </a:xfrm>
                          <a:prstGeom prst="rect">
                            <a:avLst/>
                          </a:prstGeom>
                        </pic:spPr>
                      </pic:pic>
                    </a:graphicData>
                  </a:graphic>
                </wp:inline>
              </w:drawing>
            </w:r>
          </w:p>
        </w:tc>
      </w:tr>
    </w:tbl>
    <w:p w14:paraId="79C5BC4E">
      <w:pPr>
        <w:spacing w:after="80"/>
      </w:pPr>
    </w:p>
    <w:p w14:paraId="25FD31D1">
      <w:pPr>
        <w:pageBreakBefore/>
        <w:spacing w:after="80" w:line="276" w:lineRule="auto"/>
      </w:pPr>
      <w:r>
        <w:lastRenderedPageBreak/>
      </w:r>
    </w:p>
    <w:p w14:paraId="3C8B6B9F">
      <w:pPr>
        <w:jc w:val="both"/>
      </w:pPr>
      <w:r>
        <w:rPr>
          <w:rFonts w:ascii="Times New Roman" w:hAnsi="Times New Roman" w:eastAsia="ＭＳ 明朝" w:cs="Times New Roman" w:eastAsiaTheme="minorEastAsia"/>
          <w:color w:val="222222"/>
          <w:sz w:val="24"/>
          <w:szCs w:val="22"/>
        </w:rPr>
        <w:t>Також було протестовано векторизовані операції між двома різними стовпцями: об'єднання назви гри та платформи в один текстовий рядок, а також додавання продажів у Північній Америці та Європі:</w:t>
      </w:r>
    </w:p>
    <w:tbl>
      <w:tblPr>
        <w:tblW w:w="0" w:type="auto"/>
        <w:jc w:val="center"/>
        <w:tblBorders>
          <w:top w:val="single" w:sz="4" w:space="0" w:color="D0D5DD"/>
          <w:left w:val="single" w:sz="18" w:space="0" w:color="1B365D"/>
          <w:bottom w:val="single" w:sz="4" w:space="0" w:color="D0D5DD"/>
          <w:right w:val="single" w:sz="4" w:space="0" w:color="D0D5DD"/>
          <w:insideH w:val="single" w:sz="4" w:space="0" w:color="D0D5DD"/>
          <w:insideV w:val="single" w:sz="4" w:space="0" w:color="D0D5DD"/>
        </w:tblBorders>
        <w:tblCellMar>
          <w:top w:w="0" w:type="dxa"/>
          <w:left w:w="108" w:type="dxa"/>
          <w:bottom w:w="0" w:type="dxa"/>
          <w:right w:w="108" w:type="dxa"/>
        </w:tblCellMar>
        <w:tblLook w:firstRow="1" w:firstColumn="1" w:noVBand="1"/>
      </w:tblPr>
      <w:tblGrid>
        <w:gridCol w:w="9979"/>
      </w:tblGrid>
      <w:tr>
        <w:tc>
          <w:tcPr>
            <w:tcW w:w="9979" w:type="dxa"/>
            <w:tcBorders>
              <w:top w:val="single" w:sz="4" w:space="0" w:color="D0D5DD"/>
              <w:left w:val="single" w:sz="18" w:space="0" w:color="1B365D"/>
              <w:bottom w:val="single" w:sz="4" w:space="0" w:color="D0D5DD"/>
              <w:right w:val="single" w:sz="4" w:space="0" w:color="D0D5DD"/>
            </w:tcBorders>
            <w:shd w:val="clear" w:fill="F4F5F7"/>
            <w:tcMar>
              <w:top w:w="120" w:type="dxa"/>
              <w:left w:w="180" w:type="dxa"/>
              <w:bottom w:w="120" w:type="dxa"/>
              <w:right w:w="180" w:type="dxa"/>
            </w:tcMar>
          </w:tcPr>
          <w:p w14:paraId="1B08940E">
            <w:pPr>
              <w:spacing w:after="40"/>
            </w:pPr>
            <w:r>
              <w:rPr>
                <w:rFonts w:ascii="Calibri" w:hAnsi="Calibri" w:eastAsia="ＭＳ 明朝" w:cs="Calibri" w:eastAsiaTheme="minorEastAsia"/>
                <w:b/>
                <w:bCs/>
                <w:color w:val="1B365D"/>
                <w:sz w:val="20"/>
                <w:szCs w:val="22"/>
              </w:rPr>
              <w:t>Код програми:</w:t>
            </w:r>
          </w:p>
          <w:p w14:paraId="0AEF0F51">
            <w:pPr>
              <w:spacing w:after="80" w:line="252" w:lineRule="auto"/>
            </w:pPr>
            <w:r>
              <w:rPr>
                <w:rFonts w:ascii="Consolas" w:hAnsi="Consolas" w:eastAsia="ＭＳ 明朝" w:cs="Consolas" w:eastAsiaTheme="minorEastAsia"/>
                <w:color w:val="111827"/>
                <w:sz w:val="19"/>
                <w:szCs w:val="22"/>
              </w:rPr>
              <w:t># Векторизована конкатенація двох текстових колонок</w:t>
            </w:r>
            <w:r>
              <w:br w:type="textWrapping"/>
            </w:r>
            <w:r>
              <w:rPr>
                <w:rFonts w:ascii="Consolas" w:hAnsi="Consolas" w:eastAsia="ＭＳ 明朝" w:cs="Consolas" w:eastAsiaTheme="minorEastAsia"/>
                <w:color w:val="111827"/>
                <w:sz w:val="19"/>
                <w:szCs w:val="22"/>
              </w:rPr>
              <w:t>games.Name + " (" + games.Platform + ")"</w:t>
            </w:r>
          </w:p>
        </w:tc>
      </w:tr>
    </w:tbl>
    <w:p w14:paraId="51C88E40">
      <w:pPr>
        <w:spacing w:after="80"/>
      </w:pPr>
      <w:r>
        <w:drawing>
          <wp:inline distT="0" distB="0" distL="0" distR="0">
            <wp:extent cx="2876550" cy="2028825"/>
            <wp:effectExtent l="0" t="0" r="0" b="0"/>
            <wp:docPr id="100015" name="Picture 10001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image100015" descr="image.png"/>
                    <pic:cNvPicPr/>
                  </pic:nvPicPr>
                  <pic:blipFill>
                    <a:blip r:embed="rId77"/>
                    <a:stretch>
                      <a:fillRect/>
                    </a:stretch>
                  </pic:blipFill>
                  <pic:spPr>
                    <a:xfrm>
                      <a:off x="0" y="0"/>
                      <a:ext cx="2876550" cy="2028825"/>
                    </a:xfrm>
                    <a:prstGeom prst="rect">
                      <a:avLst/>
                    </a:prstGeom>
                  </pic:spPr>
                </pic:pic>
              </a:graphicData>
            </a:graphic>
          </wp:inline>
        </w:drawing>
      </w:r>
    </w:p>
    <w:tbl>
      <w:tblPr>
        <w:tblW w:w="0" w:type="auto"/>
        <w:jc w:val="center"/>
        <w:tblBorders>
          <w:top w:val="single" w:sz="4" w:space="0" w:color="D0D5DD"/>
          <w:left w:val="single" w:sz="18" w:space="0" w:color="1B365D"/>
          <w:bottom w:val="single" w:sz="4" w:space="0" w:color="D0D5DD"/>
          <w:right w:val="single" w:sz="4" w:space="0" w:color="D0D5DD"/>
          <w:insideH w:val="single" w:sz="4" w:space="0" w:color="D0D5DD"/>
          <w:insideV w:val="single" w:sz="4" w:space="0" w:color="D0D5DD"/>
        </w:tblBorders>
        <w:tblCellMar>
          <w:top w:w="0" w:type="dxa"/>
          <w:left w:w="108" w:type="dxa"/>
          <w:bottom w:w="0" w:type="dxa"/>
          <w:right w:w="108" w:type="dxa"/>
        </w:tblCellMar>
        <w:tblLook w:firstRow="1" w:firstColumn="1" w:noVBand="1"/>
      </w:tblPr>
      <w:tblGrid>
        <w:gridCol w:w="9979"/>
      </w:tblGrid>
      <w:tr>
        <w:tc>
          <w:tcPr>
            <w:tcW w:w="9979" w:type="dxa"/>
            <w:tcBorders>
              <w:top w:val="single" w:sz="4" w:space="0" w:color="D0D5DD"/>
              <w:left w:val="single" w:sz="18" w:space="0" w:color="1B365D"/>
              <w:bottom w:val="single" w:sz="4" w:space="0" w:color="D0D5DD"/>
              <w:right w:val="single" w:sz="4" w:space="0" w:color="D0D5DD"/>
            </w:tcBorders>
            <w:shd w:val="clear" w:fill="F4F5F7"/>
            <w:tcMar>
              <w:top w:w="120" w:type="dxa"/>
              <w:left w:w="180" w:type="dxa"/>
              <w:bottom w:w="120" w:type="dxa"/>
              <w:right w:w="180" w:type="dxa"/>
            </w:tcMar>
          </w:tcPr>
          <w:p w14:paraId="69815B32">
            <w:pPr>
              <w:spacing w:after="40"/>
            </w:pPr>
            <w:r>
              <w:rPr>
                <w:rFonts w:ascii="Calibri" w:hAnsi="Calibri" w:eastAsia="ＭＳ 明朝" w:cs="Calibri" w:eastAsiaTheme="minorEastAsia"/>
                <w:b/>
                <w:bCs/>
                <w:color w:val="1B365D"/>
                <w:sz w:val="20"/>
                <w:szCs w:val="22"/>
              </w:rPr>
              <w:t>Код програми:</w:t>
            </w:r>
          </w:p>
          <w:p w14:paraId="31EE4335">
            <w:pPr>
              <w:spacing w:after="80" w:line="252" w:lineRule="auto"/>
            </w:pPr>
            <w:r>
              <w:rPr>
                <w:rFonts w:ascii="Consolas" w:hAnsi="Consolas" w:eastAsia="ＭＳ 明朝" w:cs="Consolas" w:eastAsiaTheme="minorEastAsia"/>
                <w:color w:val="111827"/>
                <w:sz w:val="19"/>
                <w:szCs w:val="22"/>
              </w:rPr>
              <w:t># Векторизоване додавання продажів у NA та EU</w:t>
            </w:r>
            <w:r>
              <w:br w:type="textWrapping"/>
            </w:r>
            <w:r>
              <w:rPr>
                <w:rFonts w:ascii="Consolas" w:hAnsi="Consolas" w:eastAsia="ＭＳ 明朝" w:cs="Consolas" w:eastAsiaTheme="minorEastAsia"/>
                <w:color w:val="111827"/>
                <w:sz w:val="19"/>
                <w:szCs w:val="22"/>
              </w:rPr>
              <w:t>games.NA_Sales + games.EU_Sales</w:t>
            </w:r>
          </w:p>
        </w:tc>
      </w:tr>
    </w:tbl>
    <w:p w14:paraId="2CA42485">
      <w:pPr>
        <w:spacing w:after="80"/>
      </w:pPr>
      <w:r>
        <w:drawing>
          <wp:inline distT="0" distB="0" distL="0" distR="0">
            <wp:extent cx="2876550" cy="2790825"/>
            <wp:effectExtent l="0" t="0" r="0" b="0"/>
            <wp:docPr id="100016" name="Picture 10001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image100016" descr="image.png"/>
                    <pic:cNvPicPr/>
                  </pic:nvPicPr>
                  <pic:blipFill>
                    <a:blip r:embed="rId78"/>
                    <a:stretch>
                      <a:fillRect/>
                    </a:stretch>
                  </pic:blipFill>
                  <pic:spPr>
                    <a:xfrm>
                      <a:off x="0" y="0"/>
                      <a:ext cx="2876550" cy="2790825"/>
                    </a:xfrm>
                    <a:prstGeom prst="rect">
                      <a:avLst/>
                    </a:prstGeom>
                  </pic:spPr>
                </pic:pic>
              </a:graphicData>
            </a:graphic>
          </wp:inline>
        </w:drawing>
      </w:r>
    </w:p>
    <w:p w14:paraId="4C5B1F84">
      <w:pPr>
        <w:pageBreakBefore/>
        <w:spacing w:after="80" w:line="276" w:lineRule="auto"/>
      </w:pPr>
      <w:r>
        <w:lastRenderedPageBreak/>
      </w:r>
    </w:p>
    <w:p w14:paraId="5934CFBD">
      <w:pPr>
        <w:keepNext/>
        <w:spacing w:before="200" w:after="80"/>
        <w:jc w:val="left"/>
      </w:pPr>
      <w:r>
        <w:rPr>
          <w:rFonts w:ascii="Times New Roman" w:hAnsi="Times New Roman" w:eastAsia="ＭＳ 明朝" w:cs="Times New Roman" w:eastAsiaTheme="minorEastAsia"/>
          <w:b/>
          <w:bCs/>
          <w:color w:val="2A4D69"/>
          <w:sz w:val="26"/>
          <w:szCs w:val="22"/>
        </w:rPr>
        <w:t>2.5. Графічна візуалізація результатів</w:t>
      </w:r>
    </w:p>
    <w:p w14:paraId="028E54EB">
      <w:pPr>
        <w:jc w:val="both"/>
      </w:pPr>
      <w:r>
        <w:rPr>
          <w:rFonts w:ascii="Times New Roman" w:hAnsi="Times New Roman" w:eastAsia="ＭＳ 明朝" w:cs="Times New Roman" w:eastAsiaTheme="minorEastAsia"/>
          <w:color w:val="222222"/>
          <w:sz w:val="24"/>
          <w:szCs w:val="22"/>
        </w:rPr>
        <w:t>На основі отриманих підсумкових даних було побудовано два графіки:</w:t>
      </w:r>
    </w:p>
    <w:p w14:paraId="5EFD0889">
      <w:pPr>
        <w:pStyle w:val="ListBullet"/>
        <w:spacing w:after="60"/>
        <w:ind w:left="360" w:hanging="360"/>
        <w:jc w:val="both"/>
      </w:pPr>
      <w:r>
        <w:rPr>
          <w:rFonts w:ascii="Times New Roman" w:hAnsi="Times New Roman" w:eastAsia="ＭＳ 明朝" w:cs="Times New Roman" w:eastAsiaTheme="minorEastAsia"/>
          <w:color w:val="222222"/>
          <w:sz w:val="24"/>
          <w:szCs w:val="22"/>
        </w:rPr>
        <w:t>Графік розподілу ігор за жанрами (відображає результат роботи value_counts для категоріальної змінної Genre);</w:t>
      </w:r>
    </w:p>
    <w:p w14:paraId="01AF4C29">
      <w:pPr>
        <w:pStyle w:val="ListBullet"/>
        <w:spacing w:after="60"/>
        <w:ind w:left="360" w:hanging="360"/>
        <w:jc w:val="both"/>
      </w:pPr>
      <w:r>
        <w:rPr>
          <w:rFonts w:ascii="Times New Roman" w:hAnsi="Times New Roman" w:eastAsia="ＭＳ 明朝" w:cs="Times New Roman" w:eastAsiaTheme="minorEastAsia"/>
          <w:color w:val="222222"/>
          <w:sz w:val="24"/>
          <w:szCs w:val="22"/>
        </w:rPr>
        <w:t>Графік топ-10 найбільш продаваних ігор в історії індустрії за глобальним тиражем.</w:t>
      </w:r>
    </w:p>
    <w:p w14:paraId="6B156C8F">
      <w:pPr>
        <w:spacing w:before="120" w:after="40"/>
        <w:jc w:val="center"/>
      </w:pPr>
      <w:r>
        <w:drawing>
          <wp:inline distT="0" distB="0" distL="0" distR="0">
            <wp:extent cx="5124450" cy="2638425"/>
            <wp:effectExtent l="0" t="0" r="0" b="0"/>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image100017"/>
                    <pic:cNvPicPr/>
                  </pic:nvPicPr>
                  <pic:blipFill>
                    <a:blip r:embed="rId79"/>
                    <a:stretch>
                      <a:fillRect/>
                    </a:stretch>
                  </pic:blipFill>
                  <pic:spPr>
                    <a:xfrm>
                      <a:off x="0" y="0"/>
                      <a:ext cx="5124450" cy="2638425"/>
                    </a:xfrm>
                    <a:prstGeom prst="rect">
                      <a:avLst/>
                    </a:prstGeom>
                  </pic:spPr>
                </pic:pic>
              </a:graphicData>
            </a:graphic>
          </wp:inline>
        </w:drawing>
      </w:r>
    </w:p>
    <w:p w14:paraId="11B44072">
      <w:pPr>
        <w:spacing w:after="160"/>
        <w:jc w:val="center"/>
      </w:pPr>
      <w:r/>
      <w:r>
        <w:rPr>
          <w:rFonts w:ascii="Times New Roman" w:hAnsi="Times New Roman" w:eastAsia="ＭＳ 明朝" w:cs="Times New Roman" w:eastAsiaTheme="minorEastAsia" w:csTheme="minorBidi"/>
          <w:i/>
          <w:iCs/>
          <w:color w:val="333333"/>
          <w:sz w:val="21"/>
          <w:szCs w:val="22"/>
        </w:rPr>
        <w:t>Рис. 1. Розподіл відеоігор за жанрами</w:t>
      </w:r>
    </w:p>
    <w:p w14:paraId="160C9D62">
      <w:pPr>
        <w:spacing w:before="120" w:after="40"/>
        <w:jc w:val="center"/>
      </w:pPr>
      <w:r>
        <w:drawing>
          <wp:inline distT="0" distB="0" distL="0" distR="0">
            <wp:extent cx="5124450" cy="2266950"/>
            <wp:effectExtent l="0" t="0" r="0" b="0"/>
            <wp:docPr id="100018" name="Picture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image100018"/>
                    <pic:cNvPicPr/>
                  </pic:nvPicPr>
                  <pic:blipFill>
                    <a:blip r:embed="rId80"/>
                    <a:stretch>
                      <a:fillRect/>
                    </a:stretch>
                  </pic:blipFill>
                  <pic:spPr>
                    <a:xfrm>
                      <a:off x="0" y="0"/>
                      <a:ext cx="5124450" cy="2266950"/>
                    </a:xfrm>
                    <a:prstGeom prst="rect">
                      <a:avLst/>
                    </a:prstGeom>
                  </pic:spPr>
                </pic:pic>
              </a:graphicData>
            </a:graphic>
          </wp:inline>
        </w:drawing>
      </w:r>
    </w:p>
    <w:p w14:paraId="7C9F534E">
      <w:pPr>
        <w:spacing w:after="160"/>
        <w:jc w:val="center"/>
      </w:pPr>
      <w:r>
        <w:rPr>
          <w:rFonts w:ascii="Times New Roman" w:hAnsi="Times New Roman" w:eastAsia="ＭＳ 明朝" w:cs="Times New Roman" w:eastAsiaTheme="minorEastAsia"/>
          <w:i/>
          <w:iCs/>
          <w:color w:val="333333"/>
          <w:sz w:val="21"/>
          <w:szCs w:val="22"/>
        </w:rPr>
        <w:t>Рис. 2. Топ-10 найбільш продаваних відеоігор у світі</w:t>
      </w:r>
    </w:p>
    <w:p w14:paraId="3FE2C529">
      <w:pPr>
        <w:keepNext/>
        <w:spacing w:before="240" w:after="120"/>
        <w:jc w:val="left"/>
      </w:pPr>
      <w:r>
        <w:rPr>
          <w:rFonts w:ascii="Times New Roman" w:hAnsi="Times New Roman" w:eastAsia="ＭＳ 明朝" w:cs="Times New Roman" w:eastAsiaTheme="minorEastAsia"/>
          <w:b/>
          <w:bCs/>
          <w:color w:val="1B365D"/>
          <w:sz w:val="30"/>
          <w:szCs w:val="22"/>
        </w:rPr>
        <w:t>3. Обґрунтування та логічні пояснення результатів</w:t>
      </w:r>
    </w:p>
    <w:p w14:paraId="68B14B84">
      <w:pPr>
        <w:jc w:val="both"/>
      </w:pPr>
      <w:r>
        <w:rPr>
          <w:rFonts w:ascii="Times New Roman" w:hAnsi="Times New Roman" w:eastAsia="ＭＳ 明朝" w:cs="Times New Roman" w:eastAsiaTheme="minorEastAsia" w:csTheme="minorBidi"/>
          <w:color w:val="222222"/>
          <w:sz w:val="24"/>
          <w:szCs w:val="22"/>
        </w:rPr>
        <w:t>За результатами виконання коду та аналізу даних можна виділити такі важливі спостереження:</w:t>
      </w:r>
    </w:p>
    <w:p w14:paraId="572F15E3">
      <w:pPr>
        <w:pStyle w:val="ListBullet"/>
        <w:spacing w:after="60"/>
        <w:ind w:left="360" w:hanging="360"/>
        <w:jc w:val="both"/>
      </w:pPr>
      <w:r/>
      <w:r>
        <w:rPr>
          <w:rFonts w:ascii="Times New Roman" w:hAnsi="Times New Roman" w:eastAsia="ＭＳ 明朝" w:cs="Times New Roman" w:eastAsiaTheme="minorEastAsia" w:csTheme="minorBidi"/>
          <w:b/>
          <w:bCs/>
          <w:color w:val="222222"/>
          <w:sz w:val="24"/>
          <w:szCs w:val="22"/>
        </w:rPr>
        <w:t xml:space="preserve">Співвідношення середнього та медіани. </w:t>
      </w:r>
      <w:r>
        <w:rPr>
          <w:rFonts w:ascii="Times New Roman" w:hAnsi="Times New Roman" w:eastAsia="ＭＳ 明朝" w:cs="Times New Roman" w:eastAsiaTheme="minorEastAsia" w:csTheme="minorBidi"/>
          <w:color w:val="222222"/>
          <w:sz w:val="24"/>
          <w:szCs w:val="22"/>
        </w:rPr>
        <w:t>Коли ми дивимося на статистику світових продажів, одразу кидається в очі велика різниця між середнім значенням і медіаною. Середнє становить близько 0.54 млн копій, тоді як медіана — лише 0.17 млн. Така суттєва різниця пояснюється тим, що більшість ігор на ринку продаються скромними тиражами до кількох сотень тисяч штук. Але окремі світові хіти на зразок Wii Sports чи Mario Kart розійшлися десятками мільйонів копій і дуже сильно задирають середнє арифметичне вгору. Стандартне відхилення 1.56 також підтверджує значний розкид у тиражах.</w:t>
      </w:r>
    </w:p>
    <w:p w14:paraId="3D33DBEB">
      <w:pPr>
        <w:pStyle w:val="ListBullet"/>
        <w:spacing w:after="60"/>
        <w:ind w:left="360" w:hanging="360"/>
        <w:jc w:val="both"/>
      </w:pPr>
      <w:r/>
      <w:r>
        <w:rPr>
          <w:rFonts w:ascii="Times New Roman" w:hAnsi="Times New Roman" w:eastAsia="ＭＳ 明朝" w:cs="Times New Roman" w:eastAsiaTheme="minorEastAsia" w:csTheme="minorBidi"/>
          <w:b/>
          <w:bCs/>
          <w:color w:val="222222"/>
          <w:sz w:val="24"/>
          <w:szCs w:val="22"/>
        </w:rPr>
        <w:t xml:space="preserve">Особливості текстових підсумків. </w:t>
      </w:r>
      <w:r>
        <w:rPr>
          <w:rFonts w:ascii="Times New Roman" w:hAnsi="Times New Roman" w:eastAsia="ＭＳ 明朝" w:cs="Times New Roman" w:eastAsiaTheme="minorEastAsia" w:csTheme="minorBidi"/>
          <w:color w:val="222222"/>
          <w:sz w:val="24"/>
          <w:szCs w:val="22"/>
        </w:rPr>
        <w:t>Для колонки з жанрами функція describe не рахує середні значення чи квартилі, а показує число унікальних жанрів, найпопулярніший жанр та скільки разів він зустрівся. Лідером виявився жанр Action — 3309 проєктів, тобто практично кожна п'ята гра в наборі. Друге місце посіли спортивні ігри з 2343 проєктами. Найменше видавці випускали стратегій та головоломок, яких у датасеті лише близько шести сотень.</w:t>
      </w:r>
    </w:p>
    <w:p w14:paraId="44C8C042">
      <w:pPr>
        <w:pStyle w:val="ListBullet"/>
        <w:spacing w:after="60"/>
        <w:ind w:left="360" w:hanging="360"/>
        <w:jc w:val="both"/>
      </w:pPr>
      <w:r/>
      <w:r>
        <w:rPr>
          <w:rFonts w:ascii="Times New Roman" w:hAnsi="Times New Roman" w:eastAsia="ＭＳ 明朝" w:cs="Times New Roman" w:eastAsiaTheme="minorEastAsia" w:csTheme="minorBidi"/>
          <w:b/>
          <w:bCs/>
          <w:color w:val="222222"/>
          <w:sz w:val="24"/>
          <w:szCs w:val="22"/>
        </w:rPr>
        <w:t xml:space="preserve">Лідери серед ігрових платформ. </w:t>
      </w:r>
      <w:r>
        <w:rPr>
          <w:rFonts w:ascii="Times New Roman" w:hAnsi="Times New Roman" w:eastAsia="ＭＳ 明朝" w:cs="Times New Roman" w:eastAsiaTheme="minorEastAsia" w:csTheme="minorBidi"/>
          <w:color w:val="222222"/>
          <w:sz w:val="24"/>
          <w:szCs w:val="22"/>
        </w:rPr>
        <w:t>Серед консолей перші місця за кількістю випущених ігор зайняли PlayStation 2 та Nintendo DS, для кожної з яких у каталозі є понад 2100 ігор. Це повністю збігається з історією індустрії, адже саме ці дві платформи були наймасовішими за тиражами проданих пристроїв у 2000-х роках.</w:t>
      </w:r>
    </w:p>
    <w:p w14:paraId="7B3AC8E6">
      <w:pPr>
        <w:pStyle w:val="ListBullet"/>
        <w:spacing w:after="60"/>
        <w:ind w:left="360" w:hanging="360"/>
        <w:jc w:val="both"/>
      </w:pPr>
      <w:r/>
      <w:r>
        <w:rPr>
          <w:rFonts w:ascii="Times New Roman" w:hAnsi="Times New Roman" w:eastAsia="ＭＳ 明朝" w:cs="Times New Roman" w:eastAsiaTheme="minorEastAsia" w:csTheme="minorBidi"/>
          <w:b/>
          <w:bCs/>
          <w:color w:val="222222"/>
          <w:sz w:val="24"/>
          <w:szCs w:val="22"/>
        </w:rPr>
        <w:t xml:space="preserve">Порівняння швидкості map та векторизації. </w:t>
      </w:r>
      <w:r>
        <w:rPr>
          <w:rFonts w:ascii="Times New Roman" w:hAnsi="Times New Roman" w:eastAsia="ＭＳ 明朝" w:cs="Times New Roman" w:eastAsiaTheme="minorEastAsia" w:csTheme="minorBidi"/>
          <w:color w:val="222222"/>
          <w:sz w:val="24"/>
          <w:szCs w:val="22"/>
        </w:rPr>
        <w:t>Замір часу показав величезну різницю: пряме векторизоване віднімання виконалося приблизно за 24 мікросекунди, тоді як метод map із лямбда-функцією витратив понад 2 мілісекунди. Тобто вбудована дія з колонкою спрацювала десь у 86 разів швидше. Причина проста: map змушений по черзі викликати функцію Python для кожного з 16.5 тисяч рядків окремо. А векторизовані операції в Pandas делегують обчислення скомпільованому коду мови C через бібліотеку NumPy.</w:t>
      </w:r>
    </w:p>
    <w:p w14:paraId="51731DCD">
      <w:pPr>
        <w:pStyle w:val="ListBullet"/>
        <w:spacing w:after="60"/>
        <w:ind w:left="360" w:hanging="360"/>
        <w:jc w:val="both"/>
      </w:pPr>
      <w:r/>
      <w:r>
        <w:rPr>
          <w:rFonts w:ascii="Times New Roman" w:hAnsi="Times New Roman" w:eastAsia="ＭＳ 明朝" w:cs="Times New Roman" w:eastAsiaTheme="minorEastAsia" w:csTheme="minorBidi"/>
          <w:b/>
          <w:bCs/>
          <w:color w:val="222222"/>
          <w:sz w:val="24"/>
          <w:szCs w:val="22"/>
        </w:rPr>
        <w:t xml:space="preserve">Збереження початкового датафрейму. </w:t>
      </w:r>
      <w:r>
        <w:rPr>
          <w:rFonts w:ascii="Times New Roman" w:hAnsi="Times New Roman" w:eastAsia="ＭＳ 明朝" w:cs="Times New Roman" w:eastAsiaTheme="minorEastAsia" w:csTheme="minorBidi"/>
          <w:color w:val="222222"/>
          <w:sz w:val="24"/>
          <w:szCs w:val="22"/>
        </w:rPr>
        <w:t>Методи map та apply повертають нові об'єкти і не змінюють сам датафрейм games. Це дуже зручно, адже початкові дані залишаються чистими і немає ризику випадково їх зіпсувати під час проміжних розрахунків.</w:t>
      </w:r>
    </w:p>
    <w:p w14:paraId="54F21DFB">
      <w:pPr>
        <w:keepNext/>
        <w:spacing w:before="240" w:after="120"/>
        <w:jc w:val="left"/>
      </w:pPr>
      <w:r>
        <w:rPr>
          <w:rFonts w:ascii="Times New Roman" w:hAnsi="Times New Roman" w:eastAsia="ＭＳ 明朝" w:cs="Times New Roman" w:eastAsiaTheme="minorEastAsia"/>
          <w:b/>
          <w:bCs/>
          <w:color w:val="1B365D"/>
          <w:sz w:val="30"/>
          <w:szCs w:val="22"/>
        </w:rPr>
        <w:t>4. Висновки</w:t>
      </w:r>
    </w:p>
    <w:p w14:paraId="32B2AB5C">
      <w:pPr>
        <w:jc w:val="both"/>
      </w:pPr>
      <w:r>
        <w:rPr>
          <w:rFonts w:ascii="Times New Roman" w:hAnsi="Times New Roman" w:eastAsia="ＭＳ 明朝" w:cs="Times New Roman" w:eastAsiaTheme="minorEastAsia" w:csTheme="minorBidi"/>
          <w:color w:val="222222"/>
          <w:sz w:val="24"/>
          <w:szCs w:val="22"/>
        </w:rPr>
        <w:t>Під час виконання цієї лабораторної роботи я закріпив практичні навички роботи з Pandas:</w:t>
      </w:r>
    </w:p>
    <w:p w14:paraId="5156D2E5">
      <w:pPr>
        <w:pStyle w:val="ListBullet"/>
        <w:spacing w:after="60"/>
        <w:ind w:left="360" w:hanging="360"/>
        <w:jc w:val="both"/>
      </w:pPr>
      <w:r/>
      <w:r>
        <w:rPr>
          <w:rFonts w:ascii="Times New Roman" w:hAnsi="Times New Roman" w:eastAsia="ＭＳ 明朝" w:cs="Times New Roman" w:eastAsiaTheme="minorEastAsia" w:csTheme="minorBidi"/>
          <w:color w:val="222222"/>
          <w:sz w:val="24"/>
          <w:szCs w:val="22"/>
        </w:rPr>
        <w:t>Розібрався з основними підсумковими функціями describe, mean, unique та value_counts. Побачив різницю у роботі describe для числових і категоріальних колонок: для чисел ми бачимо квартилі та розкид значень, а для тексту — найчастіший запис і кількість категорій.</w:t>
      </w:r>
    </w:p>
    <w:p w14:paraId="48CA9E73">
      <w:pPr>
        <w:pStyle w:val="ListBullet"/>
        <w:spacing w:after="60"/>
        <w:ind w:left="360" w:hanging="360"/>
        <w:jc w:val="both"/>
      </w:pPr>
      <w:r/>
      <w:r>
        <w:rPr>
          <w:rFonts w:ascii="Times New Roman" w:hAnsi="Times New Roman" w:eastAsia="ＭＳ 明朝" w:cs="Times New Roman" w:eastAsiaTheme="minorEastAsia" w:csTheme="minorBidi"/>
          <w:color w:val="222222"/>
          <w:sz w:val="24"/>
          <w:szCs w:val="22"/>
        </w:rPr>
        <w:t>Спробував перетворювати дані за допомогою map та apply. Метод map зручно використовувати для простої обробки одного стовпця, а apply дає змогу рахувати нові показники на основі цілих рядків таблиці. Також переконався, що обидва методи створюють нові дані і не змінюють оригінальний датафрейм.</w:t>
      </w:r>
    </w:p>
    <w:p w14:paraId="538EA4B7">
      <w:pPr>
        <w:pStyle w:val="ListBullet"/>
        <w:spacing w:after="60"/>
        <w:ind w:left="360" w:hanging="360"/>
        <w:jc w:val="both"/>
      </w:pPr>
      <w:r/>
      <w:r>
        <w:rPr>
          <w:rFonts w:ascii="Times New Roman" w:hAnsi="Times New Roman" w:eastAsia="ＭＳ 明朝" w:cs="Times New Roman" w:eastAsiaTheme="minorEastAsia" w:csTheme="minorBidi"/>
          <w:color w:val="222222"/>
          <w:sz w:val="24"/>
          <w:szCs w:val="22"/>
        </w:rPr>
        <w:t>На практиці порівняв швидкість map та векторизованої операції. Замір часу показав прискорення приблизно у 86 разів на користь звичайного мінуса. Тому в реальній роботі завжди краще використовувати вбудовані операції Pandas і NumPy.</w:t>
      </w:r>
    </w:p>
    <w:p w14:paraId="3042F372">
      <w:pPr>
        <w:pStyle w:val="ListBullet"/>
        <w:spacing w:after="60"/>
        <w:ind w:left="360" w:hanging="360"/>
        <w:jc w:val="both"/>
      </w:pPr>
      <w:r/>
      <w:r>
        <w:rPr>
          <w:rFonts w:ascii="Times New Roman" w:hAnsi="Times New Roman" w:eastAsia="ＭＳ 明朝" w:cs="Times New Roman" w:eastAsiaTheme="minorEastAsia" w:csTheme="minorBidi"/>
          <w:color w:val="222222"/>
          <w:sz w:val="24"/>
          <w:szCs w:val="22"/>
        </w:rPr>
        <w:t>Побудував графіки розподілу жанрів та топ-10 найбільш продаваних ігор, які наочно підтвердили розраховану статистику.</w:t>
      </w:r>
    </w:p>
    <w:p w14:paraId="3C6A2D3F">
      <w:pPr>
        <w:keepNext/>
        <w:spacing w:before="240" w:after="120"/>
        <w:jc w:val="left"/>
      </w:pPr>
      <w:r>
        <w:rPr>
          <w:rFonts w:ascii="Times New Roman" w:hAnsi="Times New Roman" w:eastAsia="ＭＳ 明朝" w:cs="Times New Roman" w:eastAsiaTheme="minorEastAsia"/>
          <w:b/>
          <w:bCs/>
          <w:color w:val="1B365D"/>
          <w:sz w:val="30"/>
          <w:szCs w:val="22"/>
        </w:rPr>
        <w:t>5. Посилання на використаний набір даних</w:t>
      </w:r>
    </w:p>
    <w:p w14:paraId="08636B19">
      <w:pPr>
        <w:jc w:val="both"/>
      </w:pPr>
      <w:r>
        <w:rPr>
          <w:rFonts w:ascii="Times New Roman" w:hAnsi="Times New Roman" w:eastAsia="ＭＳ 明朝" w:cs="Times New Roman" w:eastAsiaTheme="minorEastAsia"/>
          <w:color w:val="222222"/>
          <w:sz w:val="24"/>
          <w:szCs w:val="22"/>
        </w:rPr>
        <w:t>Назва датасету: Video Game Sales (vgsales.csv)</w:t>
      </w:r>
    </w:p>
    <w:p w14:paraId="1EC77C3E">
      <w:pPr>
        <w:jc w:val="both"/>
      </w:pPr>
      <w:r>
        <w:rPr>
          <w:rFonts w:ascii="Times New Roman" w:hAnsi="Times New Roman" w:eastAsia="ＭＳ 明朝" w:cs="Times New Roman" w:eastAsiaTheme="minorEastAsia"/>
          <w:color w:val="222222"/>
          <w:sz w:val="24"/>
          <w:szCs w:val="22"/>
        </w:rPr>
        <w:t>Джерело: Kaggle — https://www.kaggle.com/datasets/gregorut/videogamesales</w:t>
      </w:r>
    </w:p>
    <w:sectPr>
      <w:footerReference w:type="default" r:id="rId_new_footer_default"/>
      <w:pgSz w:w="12240" w:h="15840"/>
      <w:pgMar w:top="1138" w:right="850" w:bottom="1138" w:left="1411"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spacing w:after="80" w:line="276" w:lineRule="auto"/>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_new_footer_default" Type="http://schemas.openxmlformats.org/officeDocument/2006/relationships/footer" Target="footer1.xml"/><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2026-09-23T10:57:04.647Z</dcterms:modified>
  <cp:category/>
</cp:coreProperties>
</file>