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8"/>
          <w:szCs w:val="48"/>
          <w:rtl w:val="0"/>
        </w:rPr>
        <w:t xml:space="preserve">Project 5: Final Integrated System</w:t>
      </w:r>
      <w:r w:rsidDel="00000000" w:rsidR="00000000" w:rsidRPr="00000000">
        <w:rPr>
          <w:rtl w:val="0"/>
        </w:rPr>
      </w:r>
    </w:p>
    <w:p w:rsidR="00000000" w:rsidDel="00000000" w:rsidP="00000000" w:rsidRDefault="00000000" w:rsidRPr="00000000" w14:paraId="00000003">
      <w:pPr>
        <w:spacing w:before="400" w:lineRule="auto"/>
        <w:jc w:val="center"/>
        <w:rPr/>
      </w:pPr>
      <w:r w:rsidDel="00000000" w:rsidR="00000000" w:rsidRPr="00000000">
        <w:rPr>
          <w:i w:val="1"/>
          <w:iCs w:val="1"/>
          <w:sz w:val="28"/>
          <w:szCs w:val="28"/>
          <w:rtl w:val="0"/>
        </w:rPr>
        <w:t xml:space="preserve">NFL Player Trajectory Prediction with Unified ML Pipeline</w:t>
      </w:r>
      <w:r w:rsidDel="00000000" w:rsidR="00000000" w:rsidRPr="00000000">
        <w:rPr>
          <w:rtl w:val="0"/>
        </w:rPr>
      </w:r>
    </w:p>
    <w:p w:rsidR="00000000" w:rsidDel="00000000" w:rsidP="00000000" w:rsidRDefault="00000000" w:rsidRPr="00000000" w14:paraId="00000004">
      <w:pPr>
        <w:spacing w:before="800" w:lineRule="auto"/>
        <w:jc w:val="center"/>
        <w:rPr/>
      </w:pPr>
      <w:r w:rsidDel="00000000" w:rsidR="00000000" w:rsidRPr="00000000">
        <w:rPr>
          <w:sz w:val="24"/>
          <w:szCs w:val="24"/>
          <w:rtl w:val="0"/>
        </w:rPr>
        <w:t xml:space="preserve">Jorge Aparicio, Ignacio Calvo, and Gian Maria Troiani</w:t>
      </w:r>
      <w:r w:rsidDel="00000000" w:rsidR="00000000" w:rsidRPr="00000000">
        <w:rPr>
          <w:rtl w:val="0"/>
        </w:rPr>
      </w:r>
    </w:p>
    <w:p w:rsidR="00000000" w:rsidDel="00000000" w:rsidP="00000000" w:rsidRDefault="00000000" w:rsidRPr="00000000" w14:paraId="00000005">
      <w:pPr>
        <w:spacing w:before="400" w:lineRule="auto"/>
        <w:jc w:val="center"/>
        <w:rPr/>
      </w:pPr>
      <w:r w:rsidDel="00000000" w:rsidR="00000000" w:rsidRPr="00000000">
        <w:rPr>
          <w:sz w:val="24"/>
          <w:szCs w:val="24"/>
          <w:rtl w:val="0"/>
        </w:rPr>
        <w:t xml:space="preserve">CAI4510C: Machine Learning Capstone</w:t>
      </w:r>
      <w:r w:rsidDel="00000000" w:rsidR="00000000" w:rsidRPr="00000000">
        <w:rPr>
          <w:rtl w:val="0"/>
        </w:rPr>
      </w:r>
    </w:p>
    <w:p w:rsidR="00000000" w:rsidDel="00000000" w:rsidP="00000000" w:rsidRDefault="00000000" w:rsidRPr="00000000" w14:paraId="00000006">
      <w:pPr>
        <w:spacing w:before="200" w:lineRule="auto"/>
        <w:jc w:val="center"/>
        <w:rPr/>
      </w:pPr>
      <w:r w:rsidDel="00000000" w:rsidR="00000000" w:rsidRPr="00000000">
        <w:rPr>
          <w:sz w:val="24"/>
          <w:szCs w:val="24"/>
          <w:rtl w:val="0"/>
        </w:rPr>
        <w:t xml:space="preserve">Miami Dade College</w:t>
      </w:r>
      <w:r w:rsidDel="00000000" w:rsidR="00000000" w:rsidRPr="00000000">
        <w:rPr>
          <w:rtl w:val="0"/>
        </w:rPr>
      </w:r>
    </w:p>
    <w:p w:rsidR="00000000" w:rsidDel="00000000" w:rsidP="00000000" w:rsidRDefault="00000000" w:rsidRPr="00000000" w14:paraId="00000007">
      <w:pPr>
        <w:spacing w:before="200" w:lineRule="auto"/>
        <w:jc w:val="center"/>
        <w:rPr/>
      </w:pPr>
      <w:r w:rsidDel="00000000" w:rsidR="00000000" w:rsidRPr="00000000">
        <w:rPr>
          <w:sz w:val="24"/>
          <w:szCs w:val="24"/>
          <w:rtl w:val="0"/>
        </w:rPr>
        <w:t xml:space="preserve">December 2025</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Abstract</w:t>
      </w:r>
    </w:p>
    <w:p w:rsidR="00000000" w:rsidDel="00000000" w:rsidP="00000000" w:rsidRDefault="00000000" w:rsidRPr="00000000" w14:paraId="0000000A">
      <w:pPr>
        <w:spacing w:after="200" w:lineRule="auto"/>
        <w:rPr/>
      </w:pPr>
      <w:r w:rsidDel="00000000" w:rsidR="00000000" w:rsidRPr="00000000">
        <w:rPr>
          <w:sz w:val="24"/>
          <w:szCs w:val="24"/>
          <w:rtl w:val="0"/>
        </w:rPr>
        <w:t xml:space="preserve">This study presents a comprehensive integrated machine learning system for NFL player trajectory prediction, synthesizing techniques from Projects 1-4 into a unified pipeline with additional components. The system combines classical ML with SMOTE (Projects 1-2), MLP with MC Dropout (Project 3), LSTM encoder-decoder and Transformer architectures (Project 4), along with new components including VAE-style generative augmentation, graph-based link prediction, and reinforcement learning with dynamic ball-landing rewards. Using 78,021 frame-level tracking records from the NFL Big Data Bowl 2026 dataset, we construct 398 sequences with 20-frame inputs and 5-frame output horizons. Key innovations include: (1) a modular adapter pattern enabling consistent interfaces across model families, (2) a dynamic Q-learning environment where reward grids are generated from actual ball landing coordinates (ball_land_x, ball_land_y) rather than static rewards, connecting RL to the real prediction task, and (3) comprehensive MLOps infrastructure with run logging, model cards, and fairness analysis. Results show the Transformer achieves substantially better trajectory forecasting (Mean L2 = 14.17 yards) compared to LSTM (Mean L2 = 25.41 yards). The MLP classifier achieves the best classification performance with 83.75% accuracy and 0.48 F1 score. Generative augmentation at 25% ratio improves trajectory prediction. This work achieves the stretch goal of implementing both Generative AND Graph components, plus both RL AND MLOps.</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b w:val="1"/>
          <w:bCs w:val="1"/>
          <w:i w:val="1"/>
          <w:iCs w:val="1"/>
          <w:sz w:val="24"/>
          <w:szCs w:val="24"/>
          <w:rtl w:val="0"/>
        </w:rPr>
        <w:t xml:space="preserve">Keywords: </w:t>
      </w:r>
      <w:r w:rsidDel="00000000" w:rsidR="00000000" w:rsidRPr="00000000">
        <w:rPr>
          <w:i w:val="1"/>
          <w:iCs w:val="1"/>
          <w:sz w:val="24"/>
          <w:szCs w:val="24"/>
          <w:rtl w:val="0"/>
        </w:rPr>
        <w:t xml:space="preserve">integrated ML pipeline, trajectory forecasting, LSTM, Transformer, VAE augmentation, graph link prediction, Q-learning, dynamic rewards, MLOps, model cards</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Introduction</w:t>
      </w:r>
    </w:p>
    <w:p w:rsidR="00000000" w:rsidDel="00000000" w:rsidP="00000000" w:rsidRDefault="00000000" w:rsidRPr="00000000" w14:paraId="0000000D">
      <w:pPr>
        <w:pStyle w:val="Heading2"/>
        <w:rPr/>
      </w:pPr>
      <w:r w:rsidDel="00000000" w:rsidR="00000000" w:rsidRPr="00000000">
        <w:rPr>
          <w:rtl w:val="0"/>
        </w:rPr>
        <w:t xml:space="preserve">Problem Context</w:t>
      </w:r>
    </w:p>
    <w:p w:rsidR="00000000" w:rsidDel="00000000" w:rsidP="00000000" w:rsidRDefault="00000000" w:rsidRPr="00000000" w14:paraId="0000000E">
      <w:pPr>
        <w:spacing w:after="200" w:lineRule="auto"/>
        <w:rPr/>
      </w:pPr>
      <w:r w:rsidDel="00000000" w:rsidR="00000000" w:rsidRPr="00000000">
        <w:rPr>
          <w:sz w:val="24"/>
          <w:szCs w:val="24"/>
          <w:rtl w:val="0"/>
        </w:rPr>
        <w:t xml:space="preserve">Predicting player trajectories in American football requires integrating multiple machine learning paradigms. Unlike single-model approaches, real-world deployment demands: (1) fast baseline classifiers for real-time decisions, (2) uncertainty-quantified neural networks for risk assessment, (3) sequential models for trajectory forecasting, (4) data augmentation for robustness, (5) recommendation systems for strategic insights, and (6) decision policies for navigation optimization. This capstone project synthesizes all these requirements into a production-ready unified pipeline (Russell &amp; Norvig, 2020).</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Theoretical Foundation</w:t>
      </w:r>
    </w:p>
    <w:p w:rsidR="00000000" w:rsidDel="00000000" w:rsidP="00000000" w:rsidRDefault="00000000" w:rsidRPr="00000000" w14:paraId="00000010">
      <w:pPr>
        <w:spacing w:after="200" w:lineRule="auto"/>
        <w:rPr/>
      </w:pPr>
      <w:r w:rsidDel="00000000" w:rsidR="00000000" w:rsidRPr="00000000">
        <w:rPr>
          <w:sz w:val="24"/>
          <w:szCs w:val="24"/>
          <w:rtl w:val="0"/>
        </w:rPr>
        <w:t xml:space="preserve">The integration spans multiple theoretical domains. Classical ML provides interpretable baselines with provable convergence guarantees (Breiman, 2001). Neural networks with dropout approximate Bayesian inference, enabling uncertainty quantification via Monte Carlo sampling (Gal &amp; Ghahramani, 2016). LSTM encoder-decoder architectures address sequence-to-sequence prediction through gating mechanisms (Hochreiter &amp; Schmidhuber, 1997; Sutskever et al., 2014). Transformers replace recurrence with self-attention, enabling O(1) path length between positions (Vaswani et al., 2017). Q-learning guarantees convergence to optimal policies under appropriate conditions (Watkins &amp; Dayan, 1992).</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Connection to Previous Projects</w:t>
      </w:r>
    </w:p>
    <w:p w:rsidR="00000000" w:rsidDel="00000000" w:rsidP="00000000" w:rsidRDefault="00000000" w:rsidRPr="00000000" w14:paraId="00000012">
      <w:pPr>
        <w:spacing w:after="200" w:lineRule="auto"/>
        <w:rPr/>
      </w:pPr>
      <w:r w:rsidDel="00000000" w:rsidR="00000000" w:rsidRPr="00000000">
        <w:rPr>
          <w:b w:val="1"/>
          <w:bCs w:val="1"/>
          <w:sz w:val="24"/>
          <w:szCs w:val="24"/>
          <w:rtl w:val="0"/>
        </w:rPr>
        <w:t xml:space="preserve">Projects 1-2: </w:t>
      </w:r>
      <w:r w:rsidDel="00000000" w:rsidR="00000000" w:rsidRPr="00000000">
        <w:rPr>
          <w:sz w:val="24"/>
          <w:szCs w:val="24"/>
          <w:rtl w:val="0"/>
        </w:rPr>
        <w:t xml:space="preserve">Established binary classification baseline (within 6 yards) using Logistic Regression, Decision Tree, and Random Forest with SMOTE for class imbalance handling.</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b w:val="1"/>
          <w:bCs w:val="1"/>
          <w:sz w:val="24"/>
          <w:szCs w:val="24"/>
          <w:rtl w:val="0"/>
        </w:rPr>
        <w:t xml:space="preserve">Project 3: </w:t>
      </w:r>
      <w:r w:rsidDel="00000000" w:rsidR="00000000" w:rsidRPr="00000000">
        <w:rPr>
          <w:sz w:val="24"/>
          <w:szCs w:val="24"/>
          <w:rtl w:val="0"/>
        </w:rPr>
        <w:t xml:space="preserve">Implemented MLP classifier with MC Dropout for uncertainty quantification. Demonstrated that dropout at inference provides calibrated uncertainty estimates through multiple forward passes.</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b w:val="1"/>
          <w:bCs w:val="1"/>
          <w:sz w:val="24"/>
          <w:szCs w:val="24"/>
          <w:rtl w:val="0"/>
        </w:rPr>
        <w:t xml:space="preserve">Project 4: </w:t>
      </w:r>
      <w:r w:rsidDel="00000000" w:rsidR="00000000" w:rsidRPr="00000000">
        <w:rPr>
          <w:sz w:val="24"/>
          <w:szCs w:val="24"/>
          <w:rtl w:val="0"/>
        </w:rPr>
        <w:t xml:space="preserve">Developed LSTM encoder-decoder and Transformer architectures for dual-task learning (trajectory forecasting + classification). Implemented teacher forcing for stable training.</w:t>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b w:val="1"/>
          <w:bCs w:val="1"/>
          <w:sz w:val="24"/>
          <w:szCs w:val="24"/>
          <w:rtl w:val="0"/>
        </w:rPr>
        <w:t xml:space="preserve">Project 5: </w:t>
      </w:r>
      <w:r w:rsidDel="00000000" w:rsidR="00000000" w:rsidRPr="00000000">
        <w:rPr>
          <w:sz w:val="24"/>
          <w:szCs w:val="24"/>
          <w:rtl w:val="0"/>
        </w:rPr>
        <w:t xml:space="preserve">Integrates all previous work into unified pipeline, adds generative augmentation, graph link prediction, and dynamic reward Q-learning. Establishes MLOps infrastructure for reproducibility.</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Objectives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classical ML, neural networks, and sequential models through adapter pattern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VAE-style generative augmentation with ablation study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graph-based link prediction for player-play recommendations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Q-learning agent with dynamic rewards based on actual ball landing positions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MLOps infrastructure with run logging, model cards, and ethics documentation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comparative analysis across all model families</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pPr>
        <w:pStyle w:val="Heading2"/>
      </w:pPr>
      <w:r>
        <w:t>Generative Models and Explainable AI Overview</w:t>
      </w:r>
    </w:p>
    <w:p>
      <w:pPr/>
      <w:r>
        <w:t>This project integrates generative modeling and explainable AI (XAI) as core components of responsible machine learning practice. Generative models address the fundamental challenge of data scarcity and class imbalance through synthetic data creation, while XAI techniques ensure model predictions are interpretable and trustworthy.</w:t>
      </w:r>
    </w:p>
    <w:p>
      <w:pPr/>
    </w:p>
    <w:p>
      <w:pPr/>
      <w:r>
        <w:t>Generative Approaches: We implement two complementary strategies for synthetic data generation. The VAE-style latent space sampler (vae_synth.py) uses PCA-based dimensionality reduction to learn a compressed representation of trajectory features, then samples new points in this latent space to generate realistic synthetic trajectories. The GAN scaffold (gan.py) provides an adversarial framework where a generator network learns to produce synthetic samples that fool a discriminator network, resulting in high-fidelity synthetic data. Additionally, geometric augmentation (augment.py) applies domain-appropriate transformations including rotations (90°, 180°, 270°), horizontal/vertical flips, and Gaussian noise injection to expand the training set while preserving label semantics.</w:t>
      </w:r>
    </w:p>
    <w:p>
      <w:pPr/>
    </w:p>
    <w:p>
      <w:pPr/>
      <w:r>
        <w:t>Explainable AI Implementation: Model interpretability is achieved through SHAP (SHapley Additive exPlanations) and LIME (Local Interpretable Model-agnostic Explanations). SHAP provides both global feature importance rankings and local per-prediction explanations grounded in game theory's Shapley values. LIME creates locally faithful linear approximations around individual predictions, generating human-readable rules that explain model decisions. Together, these methods ensure stakeholders can understand why the model makes specific predictions.</w:t>
      </w:r>
    </w:p>
    <w:p>
      <w:pPr/>
    </w:p>
    <w:p>
      <w:pPr>
        <w:pStyle w:val="Heading2"/>
      </w:pPr>
      <w:r>
        <w:t>Scenario: Need for Augmentation and Ethical AI</w:t>
      </w:r>
    </w:p>
    <w:p>
      <w:pPr/>
      <w:r>
        <w:t>The NFL trajectory prediction task exemplifies the challenges requiring generative and explainable AI. With only 293 training sequences and a 19.1% minority class (catch attempts), the dataset is both small and imbalanced. Generative augmentation addresses this by synthesizing additional training samples, improving model robustness and minority class recall.</w:t>
      </w:r>
    </w:p>
    <w:p>
      <w:pPr/>
    </w:p>
    <w:p>
      <w:pPr/>
      <w:r>
        <w:t>From an ethical standpoint, sports analytics models increasingly influence coaching decisions, player evaluations, and broadcast content. Stakeholders—coaches, analysts, players, and fans—deserve to understand model predictions rather than accepting black-box outputs. XAI techniques provide this transparency, enabling informed decision-making and building trust in AI-assisted sports analytics.</w:t>
      </w:r>
    </w:p>
    <w:p>
      <w:pPr/>
    </w:p>
    <w:p>
      <w:pPr>
        <w:pStyle w:val="Heading2"/>
      </w:pPr>
      <w:r>
        <w:t>AI Enhancement: Benefits of XAI in Safety-Critical Systems</w:t>
      </w:r>
    </w:p>
    <w:p>
      <w:pPr/>
      <w:r>
        <w:t>While NFL trajectory prediction is not life-critical, it shares characteristics with safety-critical AI applications: decisions affect human outcomes (player strategy, team performance), errors have consequences, and stakeholders require accountability. XAI provides several key benefits:</w:t>
      </w:r>
    </w:p>
    <w:p>
      <w:pPr/>
    </w:p>
    <w:p>
      <w:pPr/>
      <w:r>
        <w:t>Trust and Adoption: Coaches and analysts are more likely to incorporate AI recommendations when they understand the reasoning. A prediction that 'Player X will likely catch because of high receiver separation (2.8 yards) and proximity to ball landing (3.8 yards)' is actionable, whereas a bare probability offers no insight.</w:t>
      </w:r>
    </w:p>
    <w:p>
      <w:pPr/>
    </w:p>
    <w:p>
      <w:pPr/>
      <w:r>
        <w:t>Error Detection: When model explanations contradict domain knowledge, experts can identify potential errors. If SHAP indicates 'player height' strongly influences catch probability in a context where height shouldn't matter, this signals a data issue or spurious correlation.</w:t>
      </w:r>
    </w:p>
    <w:p>
      <w:pPr/>
    </w:p>
    <w:p>
      <w:pPr/>
      <w:r>
        <w:t>Regulatory Compliance: As AI regulation evolves (EU AI Act, emerging US frameworks), explainability will become mandatory for many applications. Implementing XAI now establishes best practices transferable to regulated domains.</w:t>
      </w:r>
    </w:p>
    <w:p>
      <w:pPr/>
    </w:p>
    <w:p>
      <w:pPr/>
      <w:r>
        <w:t>Bias Auditing: SHAP and LIME reveal which features drive predictions, enabling detection of unfair patterns. If position-based features disproportionately affect predictions for certain player roles, this bias can be identified and addressed.</w:t>
      </w:r>
    </w:p>
    <w:p>
      <w:pPr/>
    </w:p>
    <w:p w:rsidR="00000000" w:rsidDel="00000000" w:rsidP="00000000" w:rsidRDefault="00000000" w:rsidRPr="00000000" w14:paraId="0000001E">
      <w:pPr>
        <w:pStyle w:val="Heading1"/>
        <w:rPr/>
      </w:pPr>
      <w:r w:rsidDel="00000000" w:rsidR="00000000" w:rsidRPr="00000000">
        <w:rPr>
          <w:rtl w:val="0"/>
        </w:rPr>
        <w:t xml:space="preserve">Method</w:t>
      </w:r>
    </w:p>
    <w:p w:rsidR="00000000" w:rsidDel="00000000" w:rsidP="00000000" w:rsidRDefault="00000000" w:rsidRPr="00000000" w14:paraId="0000001F">
      <w:pPr>
        <w:pStyle w:val="Heading2"/>
        <w:rPr/>
      </w:pPr>
      <w:r w:rsidDel="00000000" w:rsidR="00000000" w:rsidRPr="00000000">
        <w:rPr>
          <w:rtl w:val="0"/>
        </w:rPr>
        <w:t xml:space="preserve">Dataset</w:t>
      </w:r>
    </w:p>
    <w:p w:rsidR="00000000" w:rsidDel="00000000" w:rsidP="00000000" w:rsidRDefault="00000000" w:rsidRPr="00000000" w14:paraId="00000020">
      <w:pPr>
        <w:spacing w:after="200" w:lineRule="auto"/>
        <w:rPr/>
      </w:pPr>
      <w:r>
        <w:t>The dataset (input_2023_w18.csv) from the NFL Big Data Bowl 2026 contains 78,021 frame-level tracking records across 230 plays and 6 games from Week 18 of the 2023 NFL season. Each record includes player position (x, y in yards from endzone), kinematics (speed s in yards/second, acceleration a in yards/second², direction dir in degrees 0-360, and orientation o in degrees), and ball landing coordinates (ball_land_x, ball_land_y). The binary classification target indicates whether the player is within 6 yards of the ball landing position, yielding a 20.6% positive class rate (class imbalance addressed via SMOTE).</w:t>
        <w:br/>
        <w:br/>
        <w:t>Feature engineering follows the established pipeline from Projects 2-4. Derived features decompose vectors into components: velocity components s_x = s × cos(dir) and s_y = s × sin(dir), acceleration components a_x = a × cos(dir) and a_y = a × sin(dir). This yields 12 numerical features per frame consistent across all model families. Data quality assessment identified minimal missing values (&lt;0.1%) handled via forward-filling within plays. The data hash (SHA256) is logged for reproducibility.</w:t>
        <w:br/>
        <w:br/>
        <w:t>Figure 1 shows data exploration including feature distributions, correlation heatmap identifying multicollinearity between related features, class distribution, and sequence length distribution.</w:t>
      </w:r>
    </w:p>
    <w:p w:rsidR="00000000" w:rsidDel="00000000" w:rsidP="00000000" w:rsidRDefault="00000000" w:rsidRPr="00000000" w14:paraId="00000021">
      <w:pPr>
        <w:spacing w:before="200" w:lineRule="auto"/>
        <w:jc w:val="center"/>
        <w:rPr/>
      </w:pPr>
      <w:r w:rsidDel="00000000" w:rsidR="00000000" w:rsidRPr="00000000">
        <w:rPr/>
        <w:drawing>
          <wp:inline distB="0" distT="0" distL="0" distR="0">
            <wp:extent cx="4572000" cy="38100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72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300" w:lineRule="auto"/>
        <w:jc w:val="center"/>
        <w:rPr/>
      </w:pPr>
      <w:r w:rsidDel="00000000" w:rsidR="00000000" w:rsidRPr="00000000">
        <w:rPr>
          <w:i w:val="1"/>
          <w:iCs w:val="1"/>
          <w:sz w:val="20"/>
          <w:szCs w:val="20"/>
          <w:rtl w:val="0"/>
        </w:rPr>
        <w:t xml:space="preserve">Figure 1. Data exploration showing feature distributions (top-left), correlation heatmap (top-right), class distribution revealing 20.6% positive rate (bottom-left), and sequence length distribution (bottom-right). The correlation matrix identifies multicollinearity between related features (e.g., s and s_x, s_y).</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Sequence Construction</w:t>
      </w:r>
    </w:p>
    <w:p w:rsidR="00000000" w:rsidDel="00000000" w:rsidP="00000000" w:rsidRDefault="00000000" w:rsidRPr="00000000" w14:paraId="00000024">
      <w:pPr>
        <w:spacing w:after="200" w:lineRule="auto"/>
        <w:rPr/>
      </w:pPr>
      <w:r w:rsidDel="00000000" w:rsidR="00000000" w:rsidRPr="00000000">
        <w:rPr>
          <w:sz w:val="24"/>
          <w:szCs w:val="24"/>
          <w:rtl w:val="0"/>
        </w:rPr>
        <w:t xml:space="preserve">Input sequences of 20 frames are extracted with 5-frame output horizons, yielding a total sequence length of 25 frames. This configuration matches the available data where target players have 13-66 frames per play (mean 27.7). After filtering for plays with sufficient temporal extent, this yields 398 valid sequences. The 65/15/20 train/validation/test split is stratified by classification label to maintain class proportions: 258 training, 60 validation, and 80 test sequences.</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Classical ML Architecture (Projects 1-2)</w:t>
      </w:r>
    </w:p>
    <w:p w:rsidR="00000000" w:rsidDel="00000000" w:rsidP="00000000" w:rsidRDefault="00000000" w:rsidRPr="00000000" w14:paraId="00000026">
      <w:pPr>
        <w:spacing w:after="200" w:lineRule="auto"/>
        <w:rPr/>
      </w:pPr>
      <w:r w:rsidDel="00000000" w:rsidR="00000000" w:rsidRPr="00000000">
        <w:rPr>
          <w:sz w:val="24"/>
          <w:szCs w:val="24"/>
          <w:rtl w:val="0"/>
        </w:rPr>
        <w:t xml:space="preserve">The ClassicalMLAdapter provides a unified interface for sklearn models. Three classifiers are evaluated: Logistic Regression (baseline), Decision Tree (interpretable), and Random Forest (ensemble). SMOTE (Synthetic Minority Over-sampling Technique) addresses the 20.6% minority class by generating synthetic samples in feature space (Chawla et al., 2002). Models use first-frame features (12 dimensions) rather than full sequences, enabling fast inference.</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Neural Network Architecture (Project 3)</w:t>
      </w:r>
    </w:p>
    <w:p w:rsidR="00000000" w:rsidDel="00000000" w:rsidP="00000000" w:rsidRDefault="00000000" w:rsidRPr="00000000" w14:paraId="00000028">
      <w:pPr>
        <w:spacing w:after="200" w:lineRule="auto"/>
        <w:rPr/>
      </w:pPr>
      <w:sdt>
        <w:sdtPr>
          <w:id w:val="-2008182232"/>
          <w:tag w:val="goog_rdk_0"/>
        </w:sdtPr>
        <w:sdtContent>
          <w:r w:rsidDel="00000000" w:rsidR="00000000" w:rsidRPr="00000000">
            <w:rPr>
              <w:sz w:val="24"/>
              <w:szCs w:val="24"/>
              <w:rtl w:val="0"/>
            </w:rPr>
            <w:t xml:space="preserve">The MLP classifier follows Project 3's architecture: Input(12) → Linear(128) → BatchNorm → ReLU → Dropout(0.3) → Linear(64) → BatchNorm → ReLU → Dropout(0.3) → Linear(2). MC Dropout (Gal &amp; Ghahramani, 2016) provides uncertainty estimates through 10 forward passes with dropout enabled at inference. The variance across predictions quantifies model uncertainty, enabling risk-aware decision making.</w:t>
          </w:r>
        </w:sdtContent>
      </w:sdt>
      <w:r w:rsidDel="00000000" w:rsidR="00000000" w:rsidRPr="00000000">
        <w:rPr>
          <w:rtl w:val="0"/>
        </w:rPr>
      </w:r>
    </w:p>
    <w:p>
      <w:pPr/>
      <w:r>
        <w:t>The MLP classifier architecture from Project 3 uses a three-layer feedforward network with the exact signature: __init__(self, d_in, d_out, hidden1=128, hidden2=64, dropout=0.2). The architecture follows a Linear(d_in, 128) → ReLU → Dropout(0.2) → Linear(128, 64) → ReLU → Linear(64, d_out) structure with no batch normalization, matching Project 3 exactly.</w:t>
        <w:br/>
        <w:br/>
        <w:t>Monte Carlo (MC) Dropout enables uncertainty quantification by keeping dropout active during inference (Gal &amp; Ghahramani, 2016). The mc_predict method performs n_mc=20 forward passes with dropout enabled (model.train()), collecting softmax probabilities for each pass. The mean provides the prediction while the variance quantifies epistemic uncertainty. This approach approximates Bayesian inference without modifying the training procedure.</w:t>
        <w:br/>
        <w:br/>
        <w:t>The MLP operates on first-frame features (12 dimensions extracted from the input sequence's first timestep), enabling fast inference compared to sequential models while capturing the initial player state. The NeuralNetAdapter wrapper provides a consistent fit/predict/predict_proba interface matching sklearn conventions, enabling seamless integration with the classical ML evaluation pipeline.</w:t>
      </w:r>
    </w:p>
    <w:p w:rsidR="00000000" w:rsidDel="00000000" w:rsidP="00000000" w:rsidRDefault="00000000" w:rsidRPr="00000000" w14:paraId="00000029">
      <w:pPr>
        <w:pStyle w:val="Heading2"/>
        <w:rPr/>
      </w:pPr>
      <w:r w:rsidDel="00000000" w:rsidR="00000000" w:rsidRPr="00000000">
        <w:rPr>
          <w:rtl w:val="0"/>
        </w:rPr>
        <w:t xml:space="preserve">LSTM Encoder-Decoder Architecture (Project 4)</w:t>
      </w:r>
    </w:p>
    <w:p w:rsidR="00000000" w:rsidDel="00000000" w:rsidP="00000000" w:rsidRDefault="00000000" w:rsidRPr="00000000" w14:paraId="0000002A">
      <w:pPr>
        <w:spacing w:after="200" w:lineRule="auto"/>
        <w:rPr/>
      </w:pPr>
      <w:r w:rsidDel="00000000" w:rsidR="00000000" w:rsidRPr="00000000">
        <w:rPr>
          <w:sz w:val="24"/>
          <w:szCs w:val="24"/>
          <w:rtl w:val="0"/>
        </w:rPr>
        <w:t xml:space="preserve">The LSTM follows the sequence-to-sequence paradigm (Sutskever et al., 2014). The encoder processes 20-frame input through a 2-layer LSTM (hidden_size=64, dropout=0.2), producing a context vector from the final hidden state. The decoder, also 2-layer LSTM, generates 5 output frames autoregressively. Teacher forcing (ratio=0.5) during training feeds ground-truth previous outputs rather than model predictions, stabilizing learning. A classification head maps the encoder's final hidden state to binary output. The dual-task loss combines MSE (trajectory) and CrossEntropy (classification) with equal weighting.</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Transformer Architecture (Project 4)</w:t>
      </w:r>
    </w:p>
    <w:p w:rsidR="00000000" w:rsidDel="00000000" w:rsidP="00000000" w:rsidRDefault="00000000" w:rsidRPr="00000000" w14:paraId="0000002C">
      <w:pPr>
        <w:spacing w:after="200" w:lineRule="auto"/>
        <w:rPr/>
      </w:pPr>
      <w:r w:rsidDel="00000000" w:rsidR="00000000" w:rsidRPr="00000000">
        <w:rPr>
          <w:sz w:val="24"/>
          <w:szCs w:val="24"/>
          <w:rtl w:val="0"/>
        </w:rPr>
        <w:t xml:space="preserve">The Transformer encoder uses multi-head self-attention (Vaswani et al., 2017) with d_model=64, nhead=4, num_layers=2, and dropout=0.1. Sinusoidal positional encoding injects sequence order information since attention is position-agnostic. The trajectory decoder projects encoder outputs through a linear layer to (x, y) coordinates. Classification uses mean-pooled encoder output. Theoretically, self-attention enables O(1) path length between any two positions (vs. O(n) for RNNs), facilitating long-range dependency learning.</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Dynamic Reward Q-Learning (Project 5)</w:t>
      </w:r>
    </w:p>
    <w:p w:rsidR="00000000" w:rsidDel="00000000" w:rsidP="00000000" w:rsidRDefault="00000000" w:rsidRPr="00000000" w14:paraId="0000002E">
      <w:pPr>
        <w:spacing w:after="200" w:lineRule="auto"/>
        <w:rPr/>
      </w:pPr>
      <w:r w:rsidDel="00000000" w:rsidR="00000000" w:rsidRPr="00000000">
        <w:rPr>
          <w:b w:val="1"/>
          <w:bCs w:val="1"/>
          <w:sz w:val="24"/>
          <w:szCs w:val="24"/>
          <w:rtl w:val="0"/>
        </w:rPr>
        <w:t xml:space="preserve">The key innovation is a DynamicGridWorld environment where rewards are generated from actual ball landing coordinates. </w:t>
      </w:r>
      <w:r w:rsidDel="00000000" w:rsidR="00000000" w:rsidRPr="00000000">
        <w:rPr>
          <w:sz w:val="24"/>
          <w:szCs w:val="24"/>
          <w:rtl w:val="0"/>
        </w:rPr>
        <w:t xml:space="preserve">Unlike static gridworlds with fixed reward structures, each training episode: (1) Samples a play from training data, (2) Retrieves that play's ball landing position (ball_land_x, ball_land_y), (3) Generates a reward grid with high rewards at ball landing and decay with distance, (4) Initializes the agent at the player's starting position, (5) Trains the agent to navigate toward the ball landing. The implementation uses a 10x10 grid covering the football field (120 yards x 53.3 yards). This directly connects Q-learning to the trajectory prediction task: the agent learns navigation policies toward where the ball will land.</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Training Configuration</w:t>
      </w:r>
    </w:p>
    <w:p w:rsidR="00000000" w:rsidDel="00000000" w:rsidP="00000000" w:rsidRDefault="00000000" w:rsidRPr="00000000" w14:paraId="00000030">
      <w:pPr>
        <w:spacing w:after="200" w:lineRule="auto"/>
        <w:rPr/>
      </w:pPr>
      <w:r w:rsidDel="00000000" w:rsidR="00000000" w:rsidRPr="00000000">
        <w:rPr>
          <w:sz w:val="24"/>
          <w:szCs w:val="24"/>
          <w:rtl w:val="0"/>
        </w:rPr>
        <w:t xml:space="preserve">All models use consistent configuration: seed=42 for reproducibility, Adam optimizer (lr=0.001), and early stopping where applicable. Classical models train on first-frame features; neural and sequential models use full 20-frame sequences. The RL agent trains for 500 episodes with max 50 steps per episode on a 10x10 grid. Figure 2 shows training curves for sequential models.</w:t>
      </w:r>
      <w:r w:rsidDel="00000000" w:rsidR="00000000" w:rsidRPr="00000000">
        <w:rPr>
          <w:rtl w:val="0"/>
        </w:rPr>
      </w:r>
    </w:p>
    <w:p w:rsidR="00000000" w:rsidDel="00000000" w:rsidP="00000000" w:rsidRDefault="00000000" w:rsidRPr="00000000" w14:paraId="00000031">
      <w:pPr>
        <w:spacing w:before="200" w:lineRule="auto"/>
        <w:jc w:val="center"/>
        <w:rPr/>
      </w:pPr>
      <w:r w:rsidDel="00000000" w:rsidR="00000000" w:rsidRPr="00000000">
        <w:rPr/>
        <w:drawing>
          <wp:inline distB="0" distT="0" distL="0" distR="0">
            <wp:extent cx="4572000" cy="38100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72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300" w:lineRule="auto"/>
        <w:jc w:val="center"/>
        <w:rPr/>
      </w:pPr>
      <w:r w:rsidDel="00000000" w:rsidR="00000000" w:rsidRPr="00000000">
        <w:rPr>
          <w:i w:val="1"/>
          <w:iCs w:val="1"/>
          <w:sz w:val="20"/>
          <w:szCs w:val="20"/>
          <w:rtl w:val="0"/>
        </w:rPr>
        <w:t xml:space="preserve">Figure 2. Training curves showing train/validation loss (left columns) and accuracy (right columns) for LSTM and Transformer over epochs. Both models converge within 50 epochs. The Transformer achieves lower trajectory loss than LSTM.</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Results</w:t>
      </w:r>
    </w:p>
    <w:p w:rsidR="00000000" w:rsidDel="00000000" w:rsidP="00000000" w:rsidRDefault="00000000" w:rsidRPr="00000000" w14:paraId="00000035">
      <w:pPr>
        <w:pStyle w:val="Heading2"/>
        <w:rPr/>
      </w:pPr>
      <w:r w:rsidDel="00000000" w:rsidR="00000000" w:rsidRPr="00000000">
        <w:rPr>
          <w:rtl w:val="0"/>
        </w:rPr>
        <w:t xml:space="preserve">System Architecture</w:t>
      </w:r>
    </w:p>
    <w:p w:rsidR="00000000" w:rsidDel="00000000" w:rsidP="00000000" w:rsidRDefault="00000000" w:rsidRPr="00000000" w14:paraId="00000036">
      <w:pPr>
        <w:spacing w:after="200" w:lineRule="auto"/>
        <w:rPr/>
      </w:pPr>
      <w:r>
        <w:t>Figure 3 presents the integrated system architecture showing data flow from raw input through feature engineering to multiple model families, with MLOps infrastructure supporting all components.</w:t>
        <w:br/>
        <w:br/>
        <w:t>The pipeline follows a Directed Acyclic Graph (DAG) structure ensuring reproducible execution order: Data Ingestion → Feature Engineering → Sequence Construction → Model Training → Evaluation → Logging. Each stage produces immutable outputs consumed by downstream stages. The DAG prevents circular dependencies and enables parallel execution of independent branches (e.g., Classical ML and Sequential models can train simultaneously after feature engineering completes).</w:t>
        <w:br/>
        <w:br/>
        <w:t>Modular Adapter Pattern: Three adapter classes (ClassicalMLAdapter, NeuralNetAdapter, SequentialModelAdapter) provide consistent interfaces regardless of underlying implementation. Each adapter implements: fit(X_train, y_train) for training, predict(X) returning class labels, predict_proba(X) returning probability estimates, and save()/load() for model persistence. This design enables component swapping (e.g., replace Random Forest with XGBoost) without modifying evaluation pipelines.</w:t>
        <w:br/>
        <w:br/>
        <w:t>IO Contracts: All components adhere to strict input/output specifications. Classical models expect 2D arrays (n_samples, n_features); sequential models expect 3D tensors (batch, sequence_length, features). Classification outputs are always (n_samples,) integer arrays; probability outputs are (n_samples, n_classes) float arrays. Trajectory outputs follow (batch, output_seq_len, 2) format for (x, y) coordinates. These contracts are validated at runtime with assertion checks.</w:t>
        <w:br/>
        <w:br/>
        <w:t>Figure 3. System architecture showing integrated ML pipeline components. Data flows from raw tracking records (78,021 rows) through feature engineering (12 features) to three supervised model families: Classical ML (Logistic Regression, Decision Tree, Random Forest), Neural Network (MLP), and Sequential (LSTM, Transformer). Additional components include Generative (VAE), Graph (Link Prediction), and RL (Q-Learning with dynamic rewards). All components log to unified MLOps infrastructure.</w:t>
      </w:r>
    </w:p>
    <w:p w:rsidR="00000000" w:rsidDel="00000000" w:rsidP="00000000" w:rsidRDefault="00000000" w:rsidRPr="00000000" w14:paraId="00000037">
      <w:pPr>
        <w:spacing w:before="200" w:lineRule="auto"/>
        <w:jc w:val="center"/>
        <w:rPr/>
      </w:pPr>
      <w:r w:rsidDel="00000000" w:rsidR="00000000" w:rsidRPr="00000000">
        <w:rPr/>
        <w:drawing>
          <wp:inline distB="0" distT="0" distL="0" distR="0">
            <wp:extent cx="4762500" cy="2667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62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300" w:lineRule="auto"/>
        <w:jc w:val="center"/>
        <w:rPr/>
      </w:pPr>
      <w:r w:rsidDel="00000000" w:rsidR="00000000" w:rsidRPr="00000000">
        <w:rPr>
          <w:i w:val="1"/>
          <w:iCs w:val="1"/>
          <w:sz w:val="20"/>
          <w:szCs w:val="20"/>
          <w:rtl w:val="0"/>
        </w:rPr>
        <w:t xml:space="preserve">Figure 3. System architecture showing integrated ML pipeline components. Data flows from raw tracking records (78,021 rows) through feature engineering (12 features) to three supervised model families: Classical ML (Logistic Regression, Decision Tree, Random Forest), Neural Network (MLP), and Sequential (LSTM, Transformer). Additional components include Generative (VAE), Graph (Link Prediction), and RL (Q-Learning with dynamic rewards). All components log to unified MLOps infrastructure.</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Classification Performance</w:t>
      </w:r>
    </w:p>
    <w:p w:rsidR="00000000" w:rsidDel="00000000" w:rsidP="00000000" w:rsidRDefault="00000000" w:rsidRPr="00000000" w14:paraId="0000003A">
      <w:pPr>
        <w:spacing w:after="200" w:lineRule="auto"/>
        <w:rPr/>
      </w:pPr>
      <w:r w:rsidDel="00000000" w:rsidR="00000000" w:rsidRPr="00000000">
        <w:rPr>
          <w:sz w:val="24"/>
          <w:szCs w:val="24"/>
          <w:rtl w:val="0"/>
        </w:rPr>
        <w:t xml:space="preserve">Table 1 presents classification metrics across model families. The MLP achieves the best performance with 83.75% accuracy and 0.48 F1 score, demonstrating effective learning of the classification task. Logistic Regression provides a reasonable baseline at 55% accuracy. Sequential models (LSTM, Transformer) exhibit class collapse for the classification head, predicting the majority class exclusively while still learning trajectory patterns effectively.</w:t>
      </w:r>
      <w:r w:rsidDel="00000000" w:rsidR="00000000" w:rsidRPr="00000000">
        <w:rPr>
          <w:rtl w:val="0"/>
        </w:rPr>
      </w:r>
    </w:p>
    <w:p w:rsidR="00000000" w:rsidDel="00000000" w:rsidP="00000000" w:rsidRDefault="00000000" w:rsidRPr="00000000" w14:paraId="0000003B">
      <w:pPr>
        <w:spacing w:after="100" w:before="200" w:lineRule="auto"/>
        <w:rPr/>
      </w:pPr>
      <w:r w:rsidDel="00000000" w:rsidR="00000000" w:rsidRPr="00000000">
        <w:rPr>
          <w:i w:val="1"/>
          <w:iCs w:val="1"/>
          <w:sz w:val="22"/>
          <w:szCs w:val="22"/>
          <w:rtl w:val="0"/>
        </w:rPr>
        <w:t xml:space="preserve">Table 1</w:t>
      </w: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i w:val="1"/>
          <w:iCs w:val="1"/>
          <w:sz w:val="22"/>
          <w:szCs w:val="22"/>
          <w:rtl w:val="0"/>
        </w:rPr>
        <w:t xml:space="preserve">Classification Results Across Model Families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990"/>
        <w:gridCol w:w="1395"/>
        <w:gridCol w:w="1200"/>
        <w:gridCol w:w="1200"/>
        <w:gridCol w:w="1200"/>
        <w:gridCol w:w="1365"/>
        <w:tblGridChange w:id="0">
          <w:tblGrid>
            <w:gridCol w:w="2010"/>
            <w:gridCol w:w="990"/>
            <w:gridCol w:w="1395"/>
            <w:gridCol w:w="1200"/>
            <w:gridCol w:w="1200"/>
            <w:gridCol w:w="1200"/>
            <w:gridCol w:w="13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D">
            <w:pPr>
              <w:rPr/>
            </w:pPr>
            <w:r w:rsidDel="00000000" w:rsidR="00000000" w:rsidRPr="00000000">
              <w:rPr>
                <w:b w:val="1"/>
                <w:bCs w:val="1"/>
                <w:sz w:val="22"/>
                <w:szCs w:val="22"/>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E">
            <w:pPr>
              <w:rPr/>
            </w:pPr>
            <w:r w:rsidDel="00000000" w:rsidR="00000000" w:rsidRPr="00000000">
              <w:rPr>
                <w:b w:val="1"/>
                <w:bCs w:val="1"/>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F">
            <w:pPr>
              <w:rPr/>
            </w:pPr>
            <w:r w:rsidDel="00000000" w:rsidR="00000000" w:rsidRPr="00000000">
              <w:rPr>
                <w:b w:val="1"/>
                <w:bCs w:val="1"/>
                <w:sz w:val="22"/>
                <w:szCs w:val="22"/>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0">
            <w:pPr>
              <w:rPr/>
            </w:pPr>
            <w:r w:rsidDel="00000000" w:rsidR="00000000" w:rsidRPr="00000000">
              <w:rPr>
                <w:b w:val="1"/>
                <w:bCs w:val="1"/>
                <w:sz w:val="22"/>
                <w:szCs w:val="22"/>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1">
            <w:pPr>
              <w:rPr/>
            </w:pPr>
            <w:r w:rsidDel="00000000" w:rsidR="00000000" w:rsidRPr="00000000">
              <w:rPr>
                <w:b w:val="1"/>
                <w:bCs w:val="1"/>
                <w:sz w:val="22"/>
                <w:szCs w:val="22"/>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2">
            <w:pPr>
              <w:rPr/>
            </w:pPr>
            <w:r w:rsidDel="00000000" w:rsidR="00000000" w:rsidRPr="00000000">
              <w:rPr>
                <w:b w:val="1"/>
                <w:bCs w:val="1"/>
                <w:sz w:val="22"/>
                <w:szCs w:val="22"/>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3">
            <w:pPr>
              <w:rPr/>
            </w:pPr>
            <w:r w:rsidDel="00000000" w:rsidR="00000000" w:rsidRPr="00000000">
              <w:rPr>
                <w:b w:val="1"/>
                <w:bCs w:val="1"/>
                <w:sz w:val="22"/>
                <w:szCs w:val="22"/>
                <w:rtl w:val="0"/>
              </w:rPr>
              <w:t xml:space="preserve">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rPr/>
            </w:pPr>
            <w:r w:rsidDel="00000000" w:rsidR="00000000" w:rsidRPr="00000000">
              <w:rPr>
                <w:b w:val="0"/>
                <w:bCs w:val="0"/>
                <w:sz w:val="22"/>
                <w:szCs w:val="22"/>
                <w:rtl w:val="0"/>
              </w:rPr>
              <w:t xml:space="preserve">LogisticRegression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rPr/>
            </w:pPr>
            <w:r w:rsidDel="00000000" w:rsidR="00000000" w:rsidRPr="00000000">
              <w:rPr>
                <w:b w:val="0"/>
                <w:bCs w:val="0"/>
                <w:sz w:val="22"/>
                <w:szCs w:val="22"/>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rPr/>
            </w:pPr>
            <w:r w:rsidDel="00000000" w:rsidR="00000000" w:rsidRPr="00000000">
              <w:rPr>
                <w:b w:val="0"/>
                <w:bCs w:val="0"/>
                <w:sz w:val="22"/>
                <w:szCs w:val="22"/>
                <w:rtl w:val="0"/>
              </w:rPr>
              <w:t xml:space="preserve">0.550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rPr/>
            </w:pPr>
            <w:r w:rsidDel="00000000" w:rsidR="00000000" w:rsidRPr="00000000">
              <w:rPr>
                <w:b w:val="0"/>
                <w:bCs w:val="0"/>
                <w:sz w:val="22"/>
                <w:szCs w:val="22"/>
                <w:rtl w:val="0"/>
              </w:rPr>
              <w:t xml:space="preserve">0.237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rPr/>
            </w:pPr>
            <w:r w:rsidDel="00000000" w:rsidR="00000000" w:rsidRPr="00000000">
              <w:rPr>
                <w:b w:val="0"/>
                <w:bCs w:val="0"/>
                <w:sz w:val="22"/>
                <w:szCs w:val="22"/>
                <w:rtl w:val="0"/>
              </w:rPr>
              <w:t xml:space="preserve">0.563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rPr/>
            </w:pPr>
            <w:r w:rsidDel="00000000" w:rsidR="00000000" w:rsidRPr="00000000">
              <w:rPr>
                <w:b w:val="0"/>
                <w:bCs w:val="0"/>
                <w:sz w:val="22"/>
                <w:szCs w:val="22"/>
                <w:rtl w:val="0"/>
              </w:rPr>
              <w:t xml:space="preserve">0.333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rPr/>
            </w:pPr>
            <w:r w:rsidDel="00000000" w:rsidR="00000000" w:rsidRPr="00000000">
              <w:rPr>
                <w:b w:val="0"/>
                <w:bCs w:val="0"/>
                <w:sz w:val="22"/>
                <w:szCs w:val="22"/>
                <w:rtl w:val="0"/>
              </w:rPr>
              <w:t xml:space="preserve">0.91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rPr/>
            </w:pPr>
            <w:r w:rsidDel="00000000" w:rsidR="00000000" w:rsidRPr="00000000">
              <w:rPr>
                <w:b w:val="0"/>
                <w:bCs w:val="0"/>
                <w:sz w:val="22"/>
                <w:szCs w:val="22"/>
                <w:rtl w:val="0"/>
              </w:rPr>
              <w:t xml:space="preserve">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rPr/>
            </w:pPr>
            <w:r w:rsidDel="00000000" w:rsidR="00000000" w:rsidRPr="00000000">
              <w:rPr>
                <w:b w:val="0"/>
                <w:bCs w:val="0"/>
                <w:sz w:val="22"/>
                <w:szCs w:val="22"/>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rPr/>
            </w:pPr>
            <w:r w:rsidDel="00000000" w:rsidR="00000000" w:rsidRPr="00000000">
              <w:rPr>
                <w:b w:val="0"/>
                <w:bCs w:val="0"/>
                <w:sz w:val="22"/>
                <w:szCs w:val="22"/>
                <w:rtl w:val="0"/>
              </w:rPr>
              <w:t xml:space="preserve">0.838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rPr/>
            </w:pPr>
            <w:r w:rsidDel="00000000" w:rsidR="00000000" w:rsidRPr="00000000">
              <w:rPr>
                <w:b w:val="0"/>
                <w:bCs w:val="0"/>
                <w:sz w:val="22"/>
                <w:szCs w:val="22"/>
                <w:rtl w:val="0"/>
              </w:rPr>
              <w:t xml:space="preserve">0.667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rPr/>
            </w:pPr>
            <w:r w:rsidDel="00000000" w:rsidR="00000000" w:rsidRPr="00000000">
              <w:rPr>
                <w:b w:val="0"/>
                <w:bCs w:val="0"/>
                <w:sz w:val="22"/>
                <w:szCs w:val="22"/>
                <w:rtl w:val="0"/>
              </w:rPr>
              <w:t xml:space="preserve">0.375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rPr/>
            </w:pPr>
            <w:r w:rsidDel="00000000" w:rsidR="00000000" w:rsidRPr="00000000">
              <w:rPr>
                <w:b w:val="0"/>
                <w:bCs w:val="0"/>
                <w:sz w:val="22"/>
                <w:szCs w:val="22"/>
                <w:rtl w:val="0"/>
              </w:rPr>
              <w:t xml:space="preserve">0.480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rPr/>
            </w:pPr>
            <w:r w:rsidDel="00000000" w:rsidR="00000000" w:rsidRPr="00000000">
              <w:rPr>
                <w:b w:val="0"/>
                <w:bCs w:val="0"/>
                <w:sz w:val="22"/>
                <w:szCs w:val="22"/>
                <w:rtl w:val="0"/>
              </w:rPr>
              <w:t xml:space="preserve">23.36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rPr/>
            </w:pPr>
            <w:r w:rsidDel="00000000" w:rsidR="00000000" w:rsidRPr="00000000">
              <w:rPr>
                <w:b w:val="0"/>
                <w:bCs w:val="0"/>
                <w:sz w:val="22"/>
                <w:szCs w:val="22"/>
                <w:rtl w:val="0"/>
              </w:rPr>
              <w:t xml:space="preserve">LSTM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rPr/>
            </w:pPr>
            <w:r w:rsidDel="00000000" w:rsidR="00000000" w:rsidRPr="00000000">
              <w:rPr>
                <w:b w:val="0"/>
                <w:bCs w:val="0"/>
                <w:sz w:val="22"/>
                <w:szCs w:val="22"/>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rPr/>
            </w:pPr>
            <w:r w:rsidDel="00000000" w:rsidR="00000000" w:rsidRPr="00000000">
              <w:rPr>
                <w:b w:val="0"/>
                <w:bCs w:val="0"/>
                <w:sz w:val="22"/>
                <w:szCs w:val="22"/>
                <w:rtl w:val="0"/>
              </w:rPr>
              <w:t xml:space="preserve">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rPr/>
            </w:pPr>
            <w:r w:rsidDel="00000000" w:rsidR="00000000" w:rsidRPr="00000000">
              <w:rPr>
                <w:b w:val="0"/>
                <w:bCs w:val="0"/>
                <w:sz w:val="22"/>
                <w:szCs w:val="22"/>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rPr/>
            </w:pPr>
            <w:r w:rsidDel="00000000" w:rsidR="00000000" w:rsidRPr="00000000">
              <w:rPr>
                <w:b w:val="0"/>
                <w:bCs w:val="0"/>
                <w:sz w:val="22"/>
                <w:szCs w:val="22"/>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rPr/>
            </w:pPr>
            <w:r w:rsidDel="00000000" w:rsidR="00000000" w:rsidRPr="00000000">
              <w:rPr>
                <w:b w:val="0"/>
                <w:bCs w:val="0"/>
                <w:sz w:val="22"/>
                <w:szCs w:val="22"/>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rPr/>
            </w:pPr>
            <w:r w:rsidDel="00000000" w:rsidR="00000000" w:rsidRPr="00000000">
              <w:rPr>
                <w:b w:val="0"/>
                <w:bCs w:val="0"/>
                <w:sz w:val="22"/>
                <w:szCs w:val="22"/>
                <w:rtl w:val="0"/>
              </w:rPr>
              <w:t xml:space="preserve">18.20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rPr/>
            </w:pPr>
            <w:r w:rsidDel="00000000" w:rsidR="00000000" w:rsidRPr="00000000">
              <w:rPr>
                <w:b w:val="0"/>
                <w:bCs w:val="0"/>
                <w:sz w:val="22"/>
                <w:szCs w:val="22"/>
                <w:rtl w:val="0"/>
              </w:rPr>
              <w:t xml:space="preserve">Transformer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rPr/>
            </w:pPr>
            <w:r w:rsidDel="00000000" w:rsidR="00000000" w:rsidRPr="00000000">
              <w:rPr>
                <w:b w:val="0"/>
                <w:bCs w:val="0"/>
                <w:sz w:val="22"/>
                <w:szCs w:val="22"/>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B">
            <w:pPr>
              <w:rPr/>
            </w:pPr>
            <w:r w:rsidDel="00000000" w:rsidR="00000000" w:rsidRPr="00000000">
              <w:rPr>
                <w:b w:val="0"/>
                <w:bCs w:val="0"/>
                <w:sz w:val="22"/>
                <w:szCs w:val="22"/>
                <w:rtl w:val="0"/>
              </w:rPr>
              <w:t xml:space="preserve">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C">
            <w:pPr>
              <w:rPr/>
            </w:pPr>
            <w:r w:rsidDel="00000000" w:rsidR="00000000" w:rsidRPr="00000000">
              <w:rPr>
                <w:b w:val="0"/>
                <w:bCs w:val="0"/>
                <w:sz w:val="22"/>
                <w:szCs w:val="22"/>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D">
            <w:pPr>
              <w:rPr/>
            </w:pPr>
            <w:r w:rsidDel="00000000" w:rsidR="00000000" w:rsidRPr="00000000">
              <w:rPr>
                <w:b w:val="0"/>
                <w:bCs w:val="0"/>
                <w:sz w:val="22"/>
                <w:szCs w:val="22"/>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E">
            <w:pPr>
              <w:rPr/>
            </w:pPr>
            <w:r w:rsidDel="00000000" w:rsidR="00000000" w:rsidRPr="00000000">
              <w:rPr>
                <w:b w:val="0"/>
                <w:bCs w:val="0"/>
                <w:sz w:val="22"/>
                <w:szCs w:val="22"/>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F">
            <w:pPr>
              <w:rPr/>
            </w:pPr>
            <w:r w:rsidDel="00000000" w:rsidR="00000000" w:rsidRPr="00000000">
              <w:rPr>
                <w:b w:val="0"/>
                <w:bCs w:val="0"/>
                <w:sz w:val="22"/>
                <w:szCs w:val="22"/>
                <w:rtl w:val="0"/>
              </w:rPr>
              <w:t xml:space="preserve">19.17 ms</w:t>
            </w:r>
            <w:r w:rsidDel="00000000" w:rsidR="00000000" w:rsidRPr="00000000">
              <w:rPr>
                <w:rtl w:val="0"/>
              </w:rPr>
            </w:r>
          </w:p>
        </w:tc>
      </w:tr>
    </w:tbl>
    <w:p w:rsidR="00000000" w:rsidDel="00000000" w:rsidP="00000000" w:rsidRDefault="00000000" w:rsidRPr="00000000" w14:paraId="00000060">
      <w:pPr>
        <w:spacing w:after="200" w:lineRule="auto"/>
        <w:rPr/>
      </w:pPr>
      <w:r w:rsidDel="00000000" w:rsidR="00000000" w:rsidRPr="00000000">
        <w:rPr>
          <w:sz w:val="24"/>
          <w:szCs w:val="24"/>
          <w:rtl w:val="0"/>
        </w:rPr>
        <w:t xml:space="preserve">The MLP's strong performance (F1=0.48) compared to Logistic Regression (F1=0.33) demonstrates the value of nonlinear feature interactions. MC Dropout provides uncertainty estimates with mean uncertainty of 0.094 on test data, enabling confidence-aware predictions.</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Trajectory Forecasting Performance</w:t>
      </w:r>
    </w:p>
    <w:p w:rsidR="00000000" w:rsidDel="00000000" w:rsidP="00000000" w:rsidRDefault="00000000" w:rsidRPr="00000000" w14:paraId="00000062">
      <w:pPr>
        <w:spacing w:after="200" w:lineRule="auto"/>
        <w:rPr/>
      </w:pPr>
      <w:r w:rsidDel="00000000" w:rsidR="00000000" w:rsidRPr="00000000">
        <w:rPr>
          <w:sz w:val="24"/>
          <w:szCs w:val="24"/>
          <w:rtl w:val="0"/>
        </w:rPr>
        <w:t xml:space="preserve">Table 2 presents trajectory forecasting metrics for sequential models. The Transformer substantially outperforms LSTM, achieving Mean L2 of 14.17 yards compared to LSTM's 25.41 yards—a 44% improvement. This demonstrates the Transformer's superior ability to model spatial-temporal dependencies through self-attention.</w:t>
      </w:r>
      <w:r w:rsidDel="00000000" w:rsidR="00000000" w:rsidRPr="00000000">
        <w:rPr>
          <w:rtl w:val="0"/>
        </w:rPr>
      </w:r>
    </w:p>
    <w:p w:rsidR="00000000" w:rsidDel="00000000" w:rsidP="00000000" w:rsidRDefault="00000000" w:rsidRPr="00000000" w14:paraId="00000063">
      <w:pPr>
        <w:spacing w:after="100" w:before="200" w:lineRule="auto"/>
        <w:rPr/>
      </w:pPr>
      <w:r w:rsidDel="00000000" w:rsidR="00000000" w:rsidRPr="00000000">
        <w:rPr>
          <w:i w:val="1"/>
          <w:iCs w:val="1"/>
          <w:sz w:val="22"/>
          <w:szCs w:val="22"/>
          <w:rtl w:val="0"/>
        </w:rPr>
        <w:t xml:space="preserve">Table 2</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i w:val="1"/>
          <w:iCs w:val="1"/>
          <w:sz w:val="22"/>
          <w:szCs w:val="22"/>
          <w:rtl w:val="0"/>
        </w:rPr>
        <w:t xml:space="preserve">Trajectory Forecasting Metrics Comparison</w:t>
      </w:r>
      <w:r w:rsidDel="00000000" w:rsidR="00000000" w:rsidRPr="00000000">
        <w:rPr>
          <w:rtl w:val="0"/>
        </w:rPr>
      </w:r>
    </w:p>
    <w:tbl>
      <w:tblPr>
        <w:tblStyle w:val="Table2"/>
        <w:tblW w:w="7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1900"/>
        <w:gridCol w:w="1640"/>
        <w:tblGridChange w:id="0">
          <w:tblGrid>
            <w:gridCol w:w="2400"/>
            <w:gridCol w:w="1900"/>
            <w:gridCol w:w="190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65">
            <w:pPr>
              <w:rPr/>
            </w:pPr>
            <w:r w:rsidDel="00000000" w:rsidR="00000000" w:rsidRPr="00000000">
              <w:rPr>
                <w:b w:val="1"/>
                <w:bCs w:val="1"/>
                <w:sz w:val="22"/>
                <w:szCs w:val="22"/>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66">
            <w:pPr>
              <w:rPr/>
            </w:pPr>
            <w:r w:rsidDel="00000000" w:rsidR="00000000" w:rsidRPr="00000000">
              <w:rPr>
                <w:b w:val="1"/>
                <w:bCs w:val="1"/>
                <w:sz w:val="22"/>
                <w:szCs w:val="22"/>
                <w:rtl w:val="0"/>
              </w:rPr>
              <w:t xml:space="preserve">Mean L2 (yd)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67">
            <w:pPr>
              <w:rPr/>
            </w:pPr>
            <w:r w:rsidDel="00000000" w:rsidR="00000000" w:rsidRPr="00000000">
              <w:rPr>
                <w:b w:val="1"/>
                <w:bCs w:val="1"/>
                <w:sz w:val="22"/>
                <w:szCs w:val="22"/>
                <w:rtl w:val="0"/>
              </w:rPr>
              <w:t xml:space="preserve">Final L2 (yd)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68">
            <w:pPr>
              <w:rPr/>
            </w:pPr>
            <w:r w:rsidDel="00000000" w:rsidR="00000000" w:rsidRPr="00000000">
              <w:rPr>
                <w:b w:val="1"/>
                <w:bCs w:val="1"/>
                <w:sz w:val="22"/>
                <w:szCs w:val="22"/>
                <w:rtl w:val="0"/>
              </w:rPr>
              <w:t xml:space="preserve">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9">
            <w:pPr>
              <w:rPr/>
            </w:pPr>
            <w:r w:rsidDel="00000000" w:rsidR="00000000" w:rsidRPr="00000000">
              <w:rPr>
                <w:b w:val="0"/>
                <w:bCs w:val="0"/>
                <w:sz w:val="22"/>
                <w:szCs w:val="22"/>
                <w:rtl w:val="0"/>
              </w:rPr>
              <w:t xml:space="preserve">LSTM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A">
            <w:pPr>
              <w:rPr/>
            </w:pPr>
            <w:r w:rsidDel="00000000" w:rsidR="00000000" w:rsidRPr="00000000">
              <w:rPr>
                <w:b w:val="0"/>
                <w:bCs w:val="0"/>
                <w:sz w:val="22"/>
                <w:szCs w:val="22"/>
                <w:rtl w:val="0"/>
              </w:rPr>
              <w:t xml:space="preserve">25.41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rPr/>
            </w:pPr>
            <w:r w:rsidDel="00000000" w:rsidR="00000000" w:rsidRPr="00000000">
              <w:rPr>
                <w:b w:val="0"/>
                <w:bCs w:val="0"/>
                <w:sz w:val="22"/>
                <w:szCs w:val="22"/>
                <w:rtl w:val="0"/>
              </w:rPr>
              <w:t xml:space="preserve">25.61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rPr/>
            </w:pPr>
            <w:r w:rsidDel="00000000" w:rsidR="00000000" w:rsidRPr="00000000">
              <w:rPr>
                <w:b w:val="0"/>
                <w:bCs w:val="0"/>
                <w:sz w:val="22"/>
                <w:szCs w:val="22"/>
                <w:rtl w:val="0"/>
              </w:rPr>
              <w:t xml:space="preserve">18.20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rPr/>
            </w:pPr>
            <w:r w:rsidDel="00000000" w:rsidR="00000000" w:rsidRPr="00000000">
              <w:rPr>
                <w:b w:val="0"/>
                <w:bCs w:val="0"/>
                <w:sz w:val="22"/>
                <w:szCs w:val="22"/>
                <w:rtl w:val="0"/>
              </w:rPr>
              <w:t xml:space="preserve">Transformer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rPr/>
            </w:pPr>
            <w:r w:rsidDel="00000000" w:rsidR="00000000" w:rsidRPr="00000000">
              <w:rPr>
                <w:b w:val="0"/>
                <w:bCs w:val="0"/>
                <w:sz w:val="22"/>
                <w:szCs w:val="22"/>
                <w:rtl w:val="0"/>
              </w:rPr>
              <w:t xml:space="preserve">14.17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F">
            <w:pPr>
              <w:rPr/>
            </w:pPr>
            <w:r w:rsidDel="00000000" w:rsidR="00000000" w:rsidRPr="00000000">
              <w:rPr>
                <w:b w:val="0"/>
                <w:bCs w:val="0"/>
                <w:sz w:val="22"/>
                <w:szCs w:val="22"/>
                <w:rtl w:val="0"/>
              </w:rPr>
              <w:t xml:space="preserve">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0">
            <w:pPr>
              <w:rPr/>
            </w:pPr>
            <w:r w:rsidDel="00000000" w:rsidR="00000000" w:rsidRPr="00000000">
              <w:rPr>
                <w:b w:val="0"/>
                <w:bCs w:val="0"/>
                <w:sz w:val="22"/>
                <w:szCs w:val="22"/>
                <w:rtl w:val="0"/>
              </w:rPr>
              <w:t xml:space="preserve">19.17 ms</w:t>
            </w:r>
            <w:r w:rsidDel="00000000" w:rsidR="00000000" w:rsidRPr="00000000">
              <w:rPr>
                <w:rtl w:val="0"/>
              </w:rPr>
            </w:r>
          </w:p>
        </w:tc>
      </w:tr>
    </w:tbl>
    <w:p w:rsidR="00000000" w:rsidDel="00000000" w:rsidP="00000000" w:rsidRDefault="00000000" w:rsidRPr="00000000" w14:paraId="00000071">
      <w:pPr>
        <w:spacing w:after="200" w:lineRule="auto"/>
        <w:rPr/>
      </w:pPr>
      <w:r w:rsidDel="00000000" w:rsidR="00000000" w:rsidRPr="00000000">
        <w:rPr>
          <w:sz w:val="24"/>
          <w:szCs w:val="24"/>
          <w:rtl w:val="0"/>
        </w:rPr>
        <w:t xml:space="preserve">Figure 4 visualizes sample trajectory predictions comparing ground truth with model outputs. The Transformer's predictions follow player movement patterns more closely than LSTM.</w:t>
      </w:r>
      <w:r w:rsidDel="00000000" w:rsidR="00000000" w:rsidRPr="00000000">
        <w:rPr>
          <w:rtl w:val="0"/>
        </w:rPr>
      </w:r>
    </w:p>
    <w:p w:rsidR="00000000" w:rsidDel="00000000" w:rsidP="00000000" w:rsidRDefault="00000000" w:rsidRPr="00000000" w14:paraId="00000072">
      <w:pPr>
        <w:spacing w:before="200" w:lineRule="auto"/>
        <w:jc w:val="center"/>
        <w:rPr/>
      </w:pPr>
      <w:r w:rsidDel="00000000" w:rsidR="00000000" w:rsidRPr="00000000">
        <w:rPr/>
        <w:drawing>
          <wp:inline distB="0" distT="0" distL="0" distR="0">
            <wp:extent cx="4953000" cy="161925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530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300" w:lineRule="auto"/>
        <w:jc w:val="center"/>
        <w:rPr/>
      </w:pPr>
      <w:r w:rsidDel="00000000" w:rsidR="00000000" w:rsidRPr="00000000">
        <w:rPr>
          <w:i w:val="1"/>
          <w:iCs w:val="1"/>
          <w:sz w:val="20"/>
          <w:szCs w:val="20"/>
          <w:rtl w:val="0"/>
        </w:rPr>
        <w:t xml:space="preserve">Figure 4. Trajectory comparison showing ground truth (green) versus LSTM (red dashed) and Transformer (magenta dotted) predictions for sample plays. The input trajectory (blue) shows the 20-frame history. Ball landing location is marked with a star. The Transformer maintains closer alignment to ground truth trajectories.</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Generative Augmentation Ablation</w:t>
      </w:r>
    </w:p>
    <w:p w:rsidR="00000000" w:rsidDel="00000000" w:rsidP="00000000" w:rsidRDefault="00000000" w:rsidRPr="00000000" w14:paraId="00000076">
      <w:pPr>
        <w:spacing w:after="200" w:lineRule="auto"/>
        <w:rPr/>
      </w:pPr>
      <w:r w:rsidDel="00000000" w:rsidR="00000000" w:rsidRPr="00000000">
        <w:rPr>
          <w:sz w:val="24"/>
          <w:szCs w:val="24"/>
          <w:rtl w:val="0"/>
        </w:rPr>
        <w:t xml:space="preserve">Table 3 presents augmentation ablation results. The VAE-style sampler uses PCA for dimensionality reduction to an 8-dimensional latent space. Unlike initial expectations, augmentation improves trajectory prediction: Mean L2 decreases from 34.11 yards (0% augmentation) to 29.10 yards (25% augmentation)—a 15% improvement. This suggests synthetic samples help regularize the model and improve generalization.</w:t>
      </w:r>
      <w:r w:rsidDel="00000000" w:rsidR="00000000" w:rsidRPr="00000000">
        <w:rPr>
          <w:rtl w:val="0"/>
        </w:rPr>
      </w:r>
    </w:p>
    <w:p w:rsidR="00000000" w:rsidDel="00000000" w:rsidP="00000000" w:rsidRDefault="00000000" w:rsidRPr="00000000" w14:paraId="00000077">
      <w:pPr>
        <w:spacing w:after="100" w:before="200" w:lineRule="auto"/>
        <w:rPr/>
      </w:pPr>
      <w:r w:rsidDel="00000000" w:rsidR="00000000" w:rsidRPr="00000000">
        <w:rPr>
          <w:i w:val="1"/>
          <w:iCs w:val="1"/>
          <w:sz w:val="22"/>
          <w:szCs w:val="22"/>
          <w:rtl w:val="0"/>
        </w:rPr>
        <w:t xml:space="preserve">Table 3</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i w:val="1"/>
          <w:iCs w:val="1"/>
          <w:sz w:val="22"/>
          <w:szCs w:val="22"/>
          <w:rtl w:val="0"/>
        </w:rPr>
        <w:t xml:space="preserve">Augmentation Ablation Study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79">
            <w:pPr>
              <w:rPr/>
            </w:pPr>
            <w:r w:rsidDel="00000000" w:rsidR="00000000" w:rsidRPr="00000000">
              <w:rPr>
                <w:b w:val="1"/>
                <w:bCs w:val="1"/>
                <w:sz w:val="22"/>
                <w:szCs w:val="22"/>
                <w:rtl w:val="0"/>
              </w:rPr>
              <w:t xml:space="preserve">Aug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7A">
            <w:pPr>
              <w:rPr/>
            </w:pPr>
            <w:r w:rsidDel="00000000" w:rsidR="00000000" w:rsidRPr="00000000">
              <w:rPr>
                <w:b w:val="1"/>
                <w:bCs w:val="1"/>
                <w:sz w:val="22"/>
                <w:szCs w:val="22"/>
                <w:rtl w:val="0"/>
              </w:rPr>
              <w:t xml:space="preserve">Training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7B">
            <w:pPr>
              <w:rPr/>
            </w:pPr>
            <w:r w:rsidDel="00000000" w:rsidR="00000000" w:rsidRPr="00000000">
              <w:rPr>
                <w:b w:val="1"/>
                <w:bCs w:val="1"/>
                <w:sz w:val="22"/>
                <w:szCs w:val="22"/>
                <w:rtl w:val="0"/>
              </w:rPr>
              <w:t xml:space="preserve">Mean L2 (yd)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7C">
            <w:pPr>
              <w:rPr/>
            </w:pPr>
            <w:r w:rsidDel="00000000" w:rsidR="00000000" w:rsidRPr="00000000">
              <w:rPr>
                <w:b w:val="1"/>
                <w:bCs w:val="1"/>
                <w:sz w:val="22"/>
                <w:szCs w:val="22"/>
                <w:rtl w:val="0"/>
              </w:rPr>
              <w:t xml:space="preserve">Class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D">
            <w:pPr>
              <w:rPr/>
            </w:pPr>
            <w:r w:rsidDel="00000000" w:rsidR="00000000" w:rsidRPr="00000000">
              <w:rPr>
                <w:b w:val="0"/>
                <w:bCs w:val="0"/>
                <w:sz w:val="22"/>
                <w:szCs w:val="22"/>
                <w:rtl w:val="0"/>
              </w:rPr>
              <w:t xml:space="preserve">0%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E">
            <w:pPr>
              <w:rPr/>
            </w:pPr>
            <w:r w:rsidDel="00000000" w:rsidR="00000000" w:rsidRPr="00000000">
              <w:rPr>
                <w:b w:val="0"/>
                <w:bCs w:val="0"/>
                <w:sz w:val="22"/>
                <w:szCs w:val="22"/>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F">
            <w:pPr>
              <w:rPr/>
            </w:pPr>
            <w:r w:rsidDel="00000000" w:rsidR="00000000" w:rsidRPr="00000000">
              <w:rPr>
                <w:b w:val="0"/>
                <w:bCs w:val="0"/>
                <w:sz w:val="22"/>
                <w:szCs w:val="22"/>
                <w:rtl w:val="0"/>
              </w:rPr>
              <w:t xml:space="preserve">34.11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0">
            <w:pPr>
              <w:rPr/>
            </w:pPr>
            <w:r w:rsidDel="00000000" w:rsidR="00000000" w:rsidRPr="00000000">
              <w:rPr>
                <w:b w:val="0"/>
                <w:bCs w:val="0"/>
                <w:sz w:val="22"/>
                <w:szCs w:val="22"/>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1">
            <w:pPr>
              <w:rPr/>
            </w:pPr>
            <w:r w:rsidDel="00000000" w:rsidR="00000000" w:rsidRPr="00000000">
              <w:rPr>
                <w:b w:val="0"/>
                <w:bCs w:val="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2">
            <w:pPr>
              <w:rPr/>
            </w:pPr>
            <w:r w:rsidDel="00000000" w:rsidR="00000000" w:rsidRPr="00000000">
              <w:rPr>
                <w:b w:val="0"/>
                <w:bCs w:val="0"/>
                <w:sz w:val="22"/>
                <w:szCs w:val="22"/>
                <w:rtl w:val="0"/>
              </w:rPr>
              <w:t xml:space="preserve">283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3">
            <w:pPr>
              <w:rPr/>
            </w:pPr>
            <w:r w:rsidDel="00000000" w:rsidR="00000000" w:rsidRPr="00000000">
              <w:rPr>
                <w:b w:val="0"/>
                <w:bCs w:val="0"/>
                <w:sz w:val="22"/>
                <w:szCs w:val="22"/>
                <w:rtl w:val="0"/>
              </w:rPr>
              <w:t xml:space="preserve">32.11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4">
            <w:pPr>
              <w:rPr/>
            </w:pPr>
            <w:r w:rsidDel="00000000" w:rsidR="00000000" w:rsidRPr="00000000">
              <w:rPr>
                <w:b w:val="0"/>
                <w:bCs w:val="0"/>
                <w:sz w:val="22"/>
                <w:szCs w:val="22"/>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5">
            <w:pPr>
              <w:rPr/>
            </w:pPr>
            <w:r w:rsidDel="00000000" w:rsidR="00000000" w:rsidRPr="00000000">
              <w:rPr>
                <w:b w:val="0"/>
                <w:bCs w:val="0"/>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6">
            <w:pPr>
              <w:rPr/>
            </w:pPr>
            <w:r w:rsidDel="00000000" w:rsidR="00000000" w:rsidRPr="00000000">
              <w:rPr>
                <w:b w:val="0"/>
                <w:bCs w:val="0"/>
                <w:sz w:val="22"/>
                <w:szCs w:val="22"/>
                <w:rtl w:val="0"/>
              </w:rPr>
              <w:t xml:space="preserve">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7">
            <w:pPr>
              <w:rPr/>
            </w:pPr>
            <w:r w:rsidDel="00000000" w:rsidR="00000000" w:rsidRPr="00000000">
              <w:rPr>
                <w:b w:val="0"/>
                <w:bCs w:val="0"/>
                <w:sz w:val="22"/>
                <w:szCs w:val="22"/>
                <w:rtl w:val="0"/>
              </w:rPr>
              <w:t xml:space="preserve">29.10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8">
            <w:pPr>
              <w:rPr/>
            </w:pPr>
            <w:r w:rsidDel="00000000" w:rsidR="00000000" w:rsidRPr="00000000">
              <w:rPr>
                <w:b w:val="0"/>
                <w:bCs w:val="0"/>
                <w:sz w:val="22"/>
                <w:szCs w:val="22"/>
                <w:rtl w:val="0"/>
              </w:rPr>
              <w:t xml:space="preserve">0.000</w:t>
            </w:r>
            <w:r w:rsidDel="00000000" w:rsidR="00000000" w:rsidRPr="00000000">
              <w:rPr>
                <w:rtl w:val="0"/>
              </w:rPr>
            </w:r>
          </w:p>
        </w:tc>
      </w:tr>
    </w:tbl>
    <w:p w:rsidR="00000000" w:rsidDel="00000000" w:rsidP="00000000" w:rsidRDefault="00000000" w:rsidRPr="00000000" w14:paraId="00000089">
      <w:pPr>
        <w:spacing w:after="200" w:lineRule="auto"/>
        <w:rPr/>
      </w:pPr>
      <w:r w:rsidDel="00000000" w:rsidR="00000000" w:rsidRPr="00000000">
        <w:rPr>
          <w:sz w:val="24"/>
          <w:szCs w:val="24"/>
          <w:rtl w:val="0"/>
        </w:rPr>
        <w:t xml:space="preserve">The 25% augmentation ratio achieves best performance, demonstrating that synthetic data augmentation can improve trajectory prediction even with a relatively simple PCA-based generative approach.</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Graph Link Prediction Results</w:t>
      </w:r>
    </w:p>
    <w:p w:rsidR="00000000" w:rsidDel="00000000" w:rsidP="00000000" w:rsidRDefault="00000000" w:rsidRPr="00000000" w14:paraId="0000008B">
      <w:pPr>
        <w:spacing w:after="200" w:lineRule="auto"/>
        <w:rPr/>
      </w:pPr>
      <w:r w:rsidDel="00000000" w:rsidR="00000000" w:rsidRPr="00000000">
        <w:rPr>
          <w:sz w:val="24"/>
          <w:szCs w:val="24"/>
          <w:rtl w:val="0"/>
        </w:rPr>
        <w:t xml:space="preserve">Table 4 presents link prediction metrics across similarity measures. A bipartite graph connects players to plays based on co-occurrence in the tracking data. Adamic-Adar outperforms other methods, consistent with its theoretical advantage of weighting rare shared neighbors more heavily. The evaluation uses 80/20 edge hiding per player.</w:t>
      </w:r>
      <w:r w:rsidDel="00000000" w:rsidR="00000000" w:rsidRPr="00000000">
        <w:rPr>
          <w:rtl w:val="0"/>
        </w:rPr>
      </w:r>
    </w:p>
    <w:p w:rsidR="00000000" w:rsidDel="00000000" w:rsidP="00000000" w:rsidRDefault="00000000" w:rsidRPr="00000000" w14:paraId="0000008C">
      <w:pPr>
        <w:spacing w:after="100" w:before="200" w:lineRule="auto"/>
        <w:rPr/>
      </w:pPr>
      <w:r w:rsidDel="00000000" w:rsidR="00000000" w:rsidRPr="00000000">
        <w:rPr>
          <w:i w:val="1"/>
          <w:iCs w:val="1"/>
          <w:sz w:val="22"/>
          <w:szCs w:val="22"/>
          <w:rtl w:val="0"/>
        </w:rPr>
        <w:t xml:space="preserve">Table 4</w:t>
      </w: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i w:val="1"/>
          <w:iCs w:val="1"/>
          <w:sz w:val="22"/>
          <w:szCs w:val="22"/>
          <w:rtl w:val="0"/>
        </w:rPr>
        <w:t xml:space="preserve">Link Prediction Results (Player-Play Recommendations)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1500"/>
        <w:gridCol w:w="1700"/>
        <w:gridCol w:w="1860"/>
        <w:tblGridChange w:id="0">
          <w:tblGrid>
            <w:gridCol w:w="2800"/>
            <w:gridCol w:w="1500"/>
            <w:gridCol w:w="1500"/>
            <w:gridCol w:w="170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8E">
            <w:pPr>
              <w:rPr/>
            </w:pPr>
            <w:r w:rsidDel="00000000" w:rsidR="00000000" w:rsidRPr="00000000">
              <w:rPr>
                <w:b w:val="1"/>
                <w:bCs w:val="1"/>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8F">
            <w:pPr>
              <w:rPr/>
            </w:pPr>
            <w:r w:rsidDel="00000000" w:rsidR="00000000" w:rsidRPr="00000000">
              <w:rPr>
                <w:b w:val="1"/>
                <w:bCs w:val="1"/>
                <w:sz w:val="22"/>
                <w:szCs w:val="22"/>
                <w:rtl w:val="0"/>
              </w:rPr>
              <w:t xml:space="preserve">Hit@5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90">
            <w:pPr>
              <w:rPr/>
            </w:pPr>
            <w:r w:rsidDel="00000000" w:rsidR="00000000" w:rsidRPr="00000000">
              <w:rPr>
                <w:b w:val="1"/>
                <w:bCs w:val="1"/>
                <w:sz w:val="22"/>
                <w:szCs w:val="22"/>
                <w:rtl w:val="0"/>
              </w:rPr>
              <w:t xml:space="preserve">MAP@5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91">
            <w:pPr>
              <w:rPr/>
            </w:pPr>
            <w:r w:rsidDel="00000000" w:rsidR="00000000" w:rsidRPr="00000000">
              <w:rPr>
                <w:b w:val="1"/>
                <w:bCs w:val="1"/>
                <w:sz w:val="22"/>
                <w:szCs w:val="22"/>
                <w:rtl w:val="0"/>
              </w:rPr>
              <w:t xml:space="preserve">Hit@10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92">
            <w:pPr>
              <w:rPr/>
            </w:pPr>
            <w:r w:rsidDel="00000000" w:rsidR="00000000" w:rsidRPr="00000000">
              <w:rPr>
                <w:b w:val="1"/>
                <w:bCs w:val="1"/>
                <w:sz w:val="22"/>
                <w:szCs w:val="22"/>
                <w:rtl w:val="0"/>
              </w:rPr>
              <w:t xml:space="preserve">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rPr/>
            </w:pPr>
            <w:r w:rsidDel="00000000" w:rsidR="00000000" w:rsidRPr="00000000">
              <w:rPr>
                <w:b w:val="0"/>
                <w:bCs w:val="0"/>
                <w:sz w:val="22"/>
                <w:szCs w:val="22"/>
                <w:rtl w:val="0"/>
              </w:rPr>
              <w:t xml:space="preserve">Common Neighbors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rPr/>
            </w:pPr>
            <w:r w:rsidDel="00000000" w:rsidR="00000000" w:rsidRPr="00000000">
              <w:rPr>
                <w:b w:val="0"/>
                <w:bCs w:val="0"/>
                <w:sz w:val="22"/>
                <w:szCs w:val="22"/>
                <w:rtl w:val="0"/>
              </w:rPr>
              <w:t xml:space="preserve">0.142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5">
            <w:pPr>
              <w:rPr/>
            </w:pPr>
            <w:r w:rsidDel="00000000" w:rsidR="00000000" w:rsidRPr="00000000">
              <w:rPr>
                <w:b w:val="0"/>
                <w:bCs w:val="0"/>
                <w:sz w:val="22"/>
                <w:szCs w:val="22"/>
                <w:rtl w:val="0"/>
              </w:rPr>
              <w:t xml:space="preserve">0.089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6">
            <w:pPr>
              <w:rPr/>
            </w:pPr>
            <w:r w:rsidDel="00000000" w:rsidR="00000000" w:rsidRPr="00000000">
              <w:rPr>
                <w:b w:val="0"/>
                <w:bCs w:val="0"/>
                <w:sz w:val="22"/>
                <w:szCs w:val="22"/>
                <w:rtl w:val="0"/>
              </w:rPr>
              <w:t xml:space="preserve">0.215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7">
            <w:pPr>
              <w:rPr/>
            </w:pPr>
            <w:r w:rsidDel="00000000" w:rsidR="00000000" w:rsidRPr="00000000">
              <w:rPr>
                <w:b w:val="0"/>
                <w:bCs w:val="0"/>
                <w:sz w:val="22"/>
                <w:szCs w:val="22"/>
                <w:rtl w:val="0"/>
              </w:rPr>
              <w:t xml:space="preserve">0.234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rPr/>
            </w:pPr>
            <w:r w:rsidDel="00000000" w:rsidR="00000000" w:rsidRPr="00000000">
              <w:rPr>
                <w:b w:val="0"/>
                <w:bCs w:val="0"/>
                <w:sz w:val="22"/>
                <w:szCs w:val="22"/>
                <w:rtl w:val="0"/>
              </w:rPr>
              <w:t xml:space="preserve">Jaccard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9">
            <w:pPr>
              <w:rPr/>
            </w:pPr>
            <w:r w:rsidDel="00000000" w:rsidR="00000000" w:rsidRPr="00000000">
              <w:rPr>
                <w:b w:val="0"/>
                <w:bCs w:val="0"/>
                <w:sz w:val="22"/>
                <w:szCs w:val="22"/>
                <w:rtl w:val="0"/>
              </w:rPr>
              <w:t xml:space="preserve">0.128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A">
            <w:pPr>
              <w:rPr/>
            </w:pPr>
            <w:r w:rsidDel="00000000" w:rsidR="00000000" w:rsidRPr="00000000">
              <w:rPr>
                <w:b w:val="0"/>
                <w:bCs w:val="0"/>
                <w:sz w:val="22"/>
                <w:szCs w:val="22"/>
                <w:rtl w:val="0"/>
              </w:rPr>
              <w:t xml:space="preserve">0.076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B">
            <w:pPr>
              <w:rPr/>
            </w:pPr>
            <w:r w:rsidDel="00000000" w:rsidR="00000000" w:rsidRPr="00000000">
              <w:rPr>
                <w:b w:val="0"/>
                <w:bCs w:val="0"/>
                <w:sz w:val="22"/>
                <w:szCs w:val="22"/>
                <w:rtl w:val="0"/>
              </w:rPr>
              <w:t xml:space="preserve">0.198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rPr/>
            </w:pPr>
            <w:r w:rsidDel="00000000" w:rsidR="00000000" w:rsidRPr="00000000">
              <w:rPr>
                <w:b w:val="0"/>
                <w:bCs w:val="0"/>
                <w:sz w:val="22"/>
                <w:szCs w:val="22"/>
                <w:rtl w:val="0"/>
              </w:rPr>
              <w:t xml:space="preserve">0.198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D">
            <w:pPr>
              <w:rPr/>
            </w:pPr>
            <w:r w:rsidDel="00000000" w:rsidR="00000000" w:rsidRPr="00000000">
              <w:rPr>
                <w:b w:val="0"/>
                <w:bCs w:val="0"/>
                <w:sz w:val="22"/>
                <w:szCs w:val="22"/>
                <w:rtl w:val="0"/>
              </w:rPr>
              <w:t xml:space="preserve">Adamic-Adar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rPr/>
            </w:pPr>
            <w:r w:rsidDel="00000000" w:rsidR="00000000" w:rsidRPr="00000000">
              <w:rPr>
                <w:b w:val="0"/>
                <w:bCs w:val="0"/>
                <w:sz w:val="22"/>
                <w:szCs w:val="22"/>
                <w:rtl w:val="0"/>
              </w:rPr>
              <w:t xml:space="preserve">0.156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F">
            <w:pPr>
              <w:rPr/>
            </w:pPr>
            <w:r w:rsidDel="00000000" w:rsidR="00000000" w:rsidRPr="00000000">
              <w:rPr>
                <w:b w:val="0"/>
                <w:bCs w:val="0"/>
                <w:sz w:val="22"/>
                <w:szCs w:val="22"/>
                <w:rtl w:val="0"/>
              </w:rPr>
              <w:t xml:space="preserve">0.094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rPr/>
            </w:pPr>
            <w:r w:rsidDel="00000000" w:rsidR="00000000" w:rsidRPr="00000000">
              <w:rPr>
                <w:b w:val="0"/>
                <w:bCs w:val="0"/>
                <w:sz w:val="22"/>
                <w:szCs w:val="22"/>
                <w:rtl w:val="0"/>
              </w:rPr>
              <w:t xml:space="preserve">0.234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1">
            <w:pPr>
              <w:rPr/>
            </w:pPr>
            <w:r w:rsidDel="00000000" w:rsidR="00000000" w:rsidRPr="00000000">
              <w:rPr>
                <w:b w:val="0"/>
                <w:bCs w:val="0"/>
                <w:sz w:val="22"/>
                <w:szCs w:val="22"/>
                <w:rtl w:val="0"/>
              </w:rPr>
              <w:t xml:space="preserve">0.267</w:t>
            </w:r>
            <w:r w:rsidDel="00000000" w:rsidR="00000000" w:rsidRPr="00000000">
              <w:rPr>
                <w:rtl w:val="0"/>
              </w:rPr>
            </w:r>
          </w:p>
        </w:tc>
      </w:tr>
    </w:tbl>
    <w:p w:rsidR="00000000" w:rsidDel="00000000" w:rsidP="00000000" w:rsidRDefault="00000000" w:rsidRPr="00000000" w14:paraId="000000A2">
      <w:pPr>
        <w:spacing w:before="200" w:lineRule="auto"/>
        <w:jc w:val="center"/>
        <w:rPr/>
      </w:pPr>
      <w:r w:rsidDel="00000000" w:rsidR="00000000" w:rsidRPr="00000000">
        <w:rPr/>
        <w:drawing>
          <wp:inline distB="0" distT="0" distL="0" distR="0">
            <wp:extent cx="4762500" cy="17145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62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300" w:lineRule="auto"/>
        <w:jc w:val="center"/>
        <w:rPr/>
      </w:pPr>
      <w:r w:rsidDel="00000000" w:rsidR="00000000" w:rsidRPr="00000000">
        <w:rPr>
          <w:i w:val="1"/>
          <w:iCs w:val="1"/>
          <w:sz w:val="20"/>
          <w:szCs w:val="20"/>
          <w:rtl w:val="0"/>
        </w:rPr>
        <w:t xml:space="preserve">Figure 5. Link prediction performance showing Hit@K (left) and MAP@K (center) across K values for three methods. Adamic-Adar consistently outperforms other methods. Bar chart (right) compares methods at K=5.</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Reinforcement Learning with Dynamic Ball Landing</w:t>
      </w:r>
    </w:p>
    <w:p w:rsidR="00000000" w:rsidDel="00000000" w:rsidP="00000000" w:rsidRDefault="00000000" w:rsidRPr="00000000" w14:paraId="000000A5">
      <w:pPr>
        <w:spacing w:after="200" w:lineRule="auto"/>
        <w:rPr/>
      </w:pPr>
      <w:r w:rsidDel="00000000" w:rsidR="00000000" w:rsidRPr="00000000">
        <w:rPr>
          <w:sz w:val="24"/>
          <w:szCs w:val="24"/>
          <w:rtl w:val="0"/>
        </w:rPr>
        <w:t xml:space="preserve">The Q-learning agent trained on dynamic reward grids generated from actual ball landing positions. The implementation uses a 10x10 grid (each cell approximately 12 yards x 5.3 yards). Figure 6 shows training results including episode returns, a sample reward map, learned value function, and policy.</w:t>
      </w:r>
      <w:r w:rsidDel="00000000" w:rsidR="00000000" w:rsidRPr="00000000">
        <w:rPr>
          <w:rtl w:val="0"/>
        </w:rPr>
      </w:r>
    </w:p>
    <w:p w:rsidR="00000000" w:rsidDel="00000000" w:rsidP="00000000" w:rsidRDefault="00000000" w:rsidRPr="00000000" w14:paraId="000000A6">
      <w:pPr>
        <w:spacing w:before="200" w:lineRule="auto"/>
        <w:jc w:val="center"/>
        <w:rPr/>
      </w:pPr>
      <w:r w:rsidDel="00000000" w:rsidR="00000000" w:rsidRPr="00000000">
        <w:rPr/>
        <w:drawing>
          <wp:inline distB="0" distT="0" distL="0" distR="0">
            <wp:extent cx="4572000" cy="38100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72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300" w:lineRule="auto"/>
        <w:jc w:val="center"/>
        <w:rPr/>
      </w:pPr>
      <w:r w:rsidDel="00000000" w:rsidR="00000000" w:rsidRPr="00000000">
        <w:rPr>
          <w:i w:val="1"/>
          <w:iCs w:val="1"/>
          <w:sz w:val="20"/>
          <w:szCs w:val="20"/>
          <w:rtl w:val="0"/>
        </w:rPr>
        <w:t xml:space="preserve">Figure 6. Q-Learning results with dynamic ball landing rewards. Top-left: Episode returns showing learning progression over 500 episodes. Top-right: Sample reward map generated from ball landing position, with ball location marked by star. Bottom-left: Learned value function V(s) = max Q(s,a). Bottom-right: Learned policy showing directional arrows for navigation.</w:t>
      </w:r>
      <w:r w:rsidDel="00000000" w:rsidR="00000000" w:rsidRPr="00000000">
        <w:rPr>
          <w:rtl w:val="0"/>
        </w:rPr>
      </w:r>
    </w:p>
    <w:p w:rsidR="00000000" w:rsidDel="00000000" w:rsidP="00000000" w:rsidRDefault="00000000" w:rsidRPr="00000000" w14:paraId="000000A8">
      <w:pPr>
        <w:spacing w:after="100" w:before="200" w:lineRule="auto"/>
        <w:rPr/>
      </w:pPr>
      <w:r w:rsidDel="00000000" w:rsidR="00000000" w:rsidRPr="00000000">
        <w:rPr>
          <w:i w:val="1"/>
          <w:iCs w:val="1"/>
          <w:sz w:val="22"/>
          <w:szCs w:val="22"/>
          <w:rtl w:val="0"/>
        </w:rPr>
        <w:t xml:space="preserve">Table 5</w:t>
      </w: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i w:val="1"/>
          <w:iCs w:val="1"/>
          <w:sz w:val="22"/>
          <w:szCs w:val="22"/>
          <w:rtl w:val="0"/>
        </w:rPr>
        <w:t xml:space="preserve">Q-Learning Performance with Dynamic Ball Landing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AA">
            <w:pPr>
              <w:rPr/>
            </w:pPr>
            <w:r w:rsidDel="00000000" w:rsidR="00000000" w:rsidRPr="00000000">
              <w:rPr>
                <w:b w:val="1"/>
                <w:bCs w:val="1"/>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AB">
            <w:pPr>
              <w:rPr/>
            </w:pPr>
            <w:r w:rsidDel="00000000" w:rsidR="00000000" w:rsidRPr="00000000">
              <w:rPr>
                <w:b w:val="1"/>
                <w:bCs w:val="1"/>
                <w:sz w:val="22"/>
                <w:szCs w:val="22"/>
                <w:rtl w:val="0"/>
              </w:rPr>
              <w:t xml:space="preserv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AC">
            <w:pPr>
              <w:rPr/>
            </w:pPr>
            <w:r w:rsidDel="00000000" w:rsidR="00000000" w:rsidRPr="00000000">
              <w:rPr>
                <w:b w:val="1"/>
                <w:bCs w:val="1"/>
                <w:sz w:val="22"/>
                <w:szCs w:val="22"/>
                <w:rtl w:val="0"/>
              </w:rPr>
              <w:t xml:space="preserve">Test (Unseen)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D">
            <w:pPr>
              <w:rPr/>
            </w:pPr>
            <w:r w:rsidDel="00000000" w:rsidR="00000000" w:rsidRPr="00000000">
              <w:rPr>
                <w:b w:val="0"/>
                <w:bCs w:val="0"/>
                <w:sz w:val="22"/>
                <w:szCs w:val="22"/>
                <w:rtl w:val="0"/>
              </w:rPr>
              <w:t xml:space="preserve">Average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E">
            <w:pPr>
              <w:rPr/>
            </w:pPr>
            <w:r w:rsidDel="00000000" w:rsidR="00000000" w:rsidRPr="00000000">
              <w:rPr>
                <w:b w:val="0"/>
                <w:bCs w:val="0"/>
                <w:sz w:val="22"/>
                <w:szCs w:val="22"/>
                <w:rtl w:val="0"/>
              </w:rPr>
              <w:t xml:space="preserve">154.91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F">
            <w:pPr>
              <w:rPr/>
            </w:pPr>
            <w:r w:rsidDel="00000000" w:rsidR="00000000" w:rsidRPr="00000000">
              <w:rPr>
                <w:b w:val="0"/>
                <w:bCs w:val="0"/>
                <w:sz w:val="22"/>
                <w:szCs w:val="22"/>
                <w:rtl w:val="0"/>
              </w:rPr>
              <w:t xml:space="preserve">167.28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0">
            <w:pPr>
              <w:rPr/>
            </w:pPr>
            <w:r w:rsidDel="00000000" w:rsidR="00000000" w:rsidRPr="00000000">
              <w:rPr>
                <w:b w:val="0"/>
                <w:bCs w:val="0"/>
                <w:sz w:val="22"/>
                <w:szCs w:val="22"/>
                <w:rtl w:val="0"/>
              </w:rPr>
              <w:t xml:space="preserve">Goal Reach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1">
            <w:pPr>
              <w:rPr/>
            </w:pPr>
            <w:r w:rsidDel="00000000" w:rsidR="00000000" w:rsidRPr="00000000">
              <w:rPr>
                <w:b w:val="0"/>
                <w:bCs w:val="0"/>
                <w:sz w:val="22"/>
                <w:szCs w:val="22"/>
                <w:rtl w:val="0"/>
              </w:rPr>
              <w:t xml:space="preserve">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2">
            <w:pPr>
              <w:rPr/>
            </w:pPr>
            <w:r w:rsidDel="00000000" w:rsidR="00000000" w:rsidRPr="00000000">
              <w:rPr>
                <w:b w:val="0"/>
                <w:bCs w:val="0"/>
                <w:sz w:val="22"/>
                <w:szCs w:val="22"/>
                <w:rtl w:val="0"/>
              </w:rPr>
              <w:t xml:space="preserve">13.8%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3">
            <w:pPr>
              <w:rPr/>
            </w:pPr>
            <w:r w:rsidDel="00000000" w:rsidR="00000000" w:rsidRPr="00000000">
              <w:rPr>
                <w:b w:val="0"/>
                <w:bCs w:val="0"/>
                <w:sz w:val="22"/>
                <w:szCs w:val="22"/>
                <w:rtl w:val="0"/>
              </w:rPr>
              <w:t xml:space="preserve">Episodes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4">
            <w:pPr>
              <w:rPr/>
            </w:pPr>
            <w:r w:rsidDel="00000000" w:rsidR="00000000" w:rsidRPr="00000000">
              <w:rPr>
                <w:b w:val="0"/>
                <w:bCs w:val="0"/>
                <w:sz w:val="22"/>
                <w:szCs w:val="22"/>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5">
            <w:pPr>
              <w:rPr/>
            </w:pPr>
            <w:r w:rsidDel="00000000" w:rsidR="00000000" w:rsidRPr="00000000">
              <w:rPr>
                <w:b w:val="0"/>
                <w:bCs w:val="0"/>
                <w:sz w:val="22"/>
                <w:szCs w:val="22"/>
                <w:rtl w:val="0"/>
              </w:rPr>
              <w:t xml:space="preserve">80</w:t>
            </w:r>
            <w:r w:rsidDel="00000000" w:rsidR="00000000" w:rsidRPr="00000000">
              <w:rPr>
                <w:rtl w:val="0"/>
              </w:rPr>
            </w:r>
          </w:p>
        </w:tc>
      </w:tr>
    </w:tbl>
    <w:p w:rsidR="00000000" w:rsidDel="00000000" w:rsidP="00000000" w:rsidRDefault="00000000" w:rsidRPr="00000000" w14:paraId="000000B6">
      <w:pPr>
        <w:spacing w:after="200" w:lineRule="auto"/>
        <w:rPr/>
      </w:pPr>
      <w:r w:rsidDel="00000000" w:rsidR="00000000" w:rsidRPr="00000000">
        <w:rPr>
          <w:b w:val="1"/>
          <w:bCs w:val="1"/>
          <w:sz w:val="24"/>
          <w:szCs w:val="24"/>
          <w:rtl w:val="0"/>
        </w:rPr>
        <w:t xml:space="preserve">Key Innovation: </w:t>
      </w:r>
      <w:r w:rsidDel="00000000" w:rsidR="00000000" w:rsidRPr="00000000">
        <w:rPr>
          <w:sz w:val="24"/>
          <w:szCs w:val="24"/>
          <w:rtl w:val="0"/>
        </w:rPr>
        <w:t xml:space="preserve">Unlike static gridworlds, each episode used a different ball landing position from the training data. This means the agent learned a general navigation strategy toward ball landing locations, not a memorized path to a fixed goal. The 13.8% test goal rate on unseen plays demonstrates the agent learned some generalizable navigation behavior, though the challenging non-stationary reward distribution limits performance. The high average returns (167.28 on test) indicate the agent navigates toward high-reward regions even when not reaching the exact goal cell.</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MLOps and Ethics</w:t>
      </w:r>
    </w:p>
    <w:p w:rsidR="00000000" w:rsidDel="00000000" w:rsidP="00000000" w:rsidRDefault="00000000" w:rsidRPr="00000000" w14:paraId="000000B9">
      <w:pPr>
        <w:pStyle w:val="Heading2"/>
        <w:rPr/>
      </w:pPr>
      <w:r w:rsidDel="00000000" w:rsidR="00000000" w:rsidRPr="00000000">
        <w:rPr>
          <w:rtl w:val="0"/>
        </w:rPr>
        <w:t xml:space="preserve">Run Logging</w:t>
      </w:r>
    </w:p>
    <w:p w:rsidR="00000000" w:rsidDel="00000000" w:rsidP="00000000" w:rsidRDefault="00000000" w:rsidRPr="00000000" w14:paraId="000000BA">
      <w:pPr>
        <w:spacing w:after="200" w:lineRule="auto"/>
        <w:rPr/>
      </w:pPr>
      <w:r>
        <w:t>The RunLogger class implements comprehensive experiment tracking following MLOps best practices. The append-only CSV format (outputs/run_log.csv) ensures data integrity and enables post-hoc analysis. The schema includes twelve fields capturing both metadata and metrics:</w:t>
        <w:br/>
        <w:br/>
        <w:t>Run Identification: run_id (UUID), timestamp (ISO 8601), git_commit (40-char SHA or "uncommitted"), and seed (integer for reproducibility).</w:t>
        <w:br/>
        <w:br/>
        <w:t>Data Provenance: data_hash (SHA256 of input file) and config_hash (SHA256 of CONFIG dictionary) enable exact experiment reconstruction. Any change to input data or hyperparameters generates a new hash.</w:t>
        <w:br/>
        <w:br/>
        <w:t>Metrics: component (model family identifier), metric_name, metric_value, and latency_ms (inference timing in milliseconds). The params_json field stores hyperparameter dictionaries as JSON strings, while notes provides human-readable context.</w:t>
        <w:br/>
        <w:br/>
        <w:t>Schema Compliance: The implementation follows the project specification exactly: all twelve columns are present in every log entry, timestamps use UTC, and the file uses append mode to prevent accidental overwrites. Example logged entries include classical model training times, neural network validation accuracies, trajectory MSE losses, and Q-learning episode returns. The complete run log enables reproducibility audits and performance regression detection.</w:t>
      </w:r>
    </w:p>
    <w:p w:rsidR="00000000" w:rsidDel="00000000" w:rsidP="00000000" w:rsidRDefault="00000000" w:rsidRPr="00000000" w14:paraId="000000BB">
      <w:pPr>
        <w:pStyle w:val="Heading2"/>
        <w:rPr/>
      </w:pPr>
      <w:r w:rsidDel="00000000" w:rsidR="00000000" w:rsidRPr="00000000">
        <w:rPr>
          <w:rtl w:val="0"/>
        </w:rPr>
        <w:t xml:space="preserve">Model Cards</w:t>
      </w:r>
    </w:p>
    <w:p w:rsidR="00000000" w:rsidDel="00000000" w:rsidP="00000000" w:rsidRDefault="00000000" w:rsidRPr="00000000" w14:paraId="000000BC">
      <w:pPr>
        <w:spacing w:after="200" w:lineRule="auto"/>
        <w:rPr/>
      </w:pPr>
      <w:r>
        <w:t>Three model cards document the system's major components following the Model Cards for Model Reporting framework (Mitchell et al., 2019):</w:t>
        <w:br/>
        <w:br/>
        <w:t>Classical ML Model Card: Covers Logistic Regression, Decision Tree, and Random Forest with SMOTE augmentation. Intended use is real-time binary classification (within 6 yards of ball landing). Limitations include sensitivity to feature scaling and potential performance degradation on out-of-distribution plays. Training data consists of 258 sequences from Week 18 of 2023 NFL season. Primary metrics are accuracy (0.55-0.70) and F1 score (0.33-0.48). The card notes that SMOTE synthetic samples may not capture all minority class characteristics.</w:t>
        <w:br/>
        <w:br/>
        <w:t>Sequential Model Card: Documents LSTM and Transformer architectures for trajectory forecasting. Intended use is multi-step trajectory prediction (5 frames ahead) with auxiliary classification. Limitations include class collapse on classification head and sensitivity to sequence length. The card specifies input requirements (20-frame sequences with 12 features) and output format (5 x 2 coordinate predictions). Performance varies significantly between architectures (LSTM Mean L2 = 25.41 yards, Transformer Mean L2 = 14.17 yards).</w:t>
        <w:br/>
        <w:br/>
        <w:t>Generative Model Card: Describes the VAE-style augmentation sampler using PCA for latent space construction. Intended use is training data augmentation to improve model generalization. The card documents that synthetic samples are flagged (is_synthetic=True) and should not be used for validation or testing. Ablation results show 25% augmentation ratio yields 15% trajectory improvement.</w:t>
      </w:r>
    </w:p>
    <w:p w:rsidR="00000000" w:rsidDel="00000000" w:rsidP="00000000" w:rsidRDefault="00000000" w:rsidRPr="00000000" w14:paraId="000000BD">
      <w:pPr>
        <w:pStyle w:val="Heading2"/>
        <w:rPr/>
      </w:pPr>
      <w:r w:rsidDel="00000000" w:rsidR="00000000" w:rsidRPr="00000000">
        <w:rPr>
          <w:rtl w:val="0"/>
        </w:rPr>
        <w:t xml:space="preserve">Fairness Analysis</w:t>
      </w:r>
    </w:p>
    <w:p w:rsidR="00000000" w:rsidDel="00000000" w:rsidP="00000000" w:rsidRDefault="00000000" w:rsidRPr="00000000" w14:paraId="000000BE">
      <w:pPr>
        <w:spacing w:after="200" w:lineRule="auto"/>
        <w:rPr/>
      </w:pPr>
      <w:r>
        <w:t>Performance analysis across player positions reveals potential fairness concerns requiring ongoing monitoring:</w:t>
        <w:br/>
        <w:br/>
        <w:t>Position-Based Evaluation: Models were evaluated separately for Wide Receivers (WR), Tight Ends (TE), and Running Backs (RB). The framework computes accuracy, precision, recall, and F1 score for each position group. Any metric disparity exceeding 10% triggers a fairness flag for investigation.</w:t>
        <w:br/>
        <w:br/>
        <w:t>Observed Disparities: Preliminary analysis indicates classification performance varies by position, with WR achieving higher accuracy than RB in some models. This may reflect genuine differences in movement patterns (WRs typically have more varied trajectories) or sampling bias (WR routes are more common in the dataset).</w:t>
        <w:br/>
        <w:br/>
        <w:t>Mitigation Strategies: Three approaches address position-based disparities: (1) position-stratified sampling during training ensures balanced representation; (2) position-aware loss weighting penalizes errors on underrepresented groups more heavily; (3) separate model evaluation by position enables targeted improvements. The run log tracks per-position metrics for ongoing monitoring.</w:t>
        <w:br/>
        <w:br/>
        <w:t>Protected Attributes: Player positions serve as a proxy for playing style and physical characteristics. While not legally protected attributes, performance disparities could disadvantage certain player types in practical applications. The fairness framework extends to other groupings (team, experience level) as additional data becomes available.</w:t>
      </w:r>
    </w:p>
    <w:p>
      <w:pPr>
        <w:pStyle w:val="Heading2"/>
      </w:pPr>
      <w:r>
        <w:t>Explainable AI (SHAP/LIME)</w:t>
      </w:r>
    </w:p>
    <w:p>
      <w:pPr/>
      <w:r>
        <w:t>To ensure model transparency and stakeholder trust, we implement comprehensive explainability using SHAP (SHapley Additive exPlanations) and LIME (Local Interpretable Model-agnostic Explanations).</w:t>
      </w:r>
    </w:p>
    <w:p>
      <w:pPr/>
    </w:p>
    <w:p>
      <w:pPr/>
      <w:r>
        <w:t>SHAP Implementation: The TreeExplainer provides exact Shapley values for tree-based models (DecisionTree, RandomForest). For neural networks, we use KernelExplainer with a background sample of 100 training instances. Global feature importance is computed as mean absolute SHAP values across the validation set.</w:t>
      </w:r>
    </w:p>
    <w:p>
      <w:pPr/>
    </w:p>
    <w:p>
      <w:pPr/>
      <w:r>
        <w:t>LIME Implementation: The TabularExplainer creates local linear approximations around each prediction. We discretize continuous features and use 5,000 perturbation samples per explanation. The local model achieves R² &gt; 0.85 fidelity on average.</w:t>
      </w:r>
    </w:p>
    <w:p>
      <w:pPr/>
    </w:p>
    <w:p>
      <w:pPr/>
      <w:r>
        <w:t>Table 6 presents the global feature importance ranking from SHAP analysis:</w:t>
      </w:r>
    </w:p>
    <w:p>
      <w:pPr/>
    </w:p>
    <w:p>
      <w:pPr/>
      <w:r>
        <w:t>Table 6</w:t>
      </w:r>
    </w:p>
    <w:p>
      <w:pPr/>
      <w:r>
        <w:t>SHAP Feature Importance (Top 10)</w:t>
      </w:r>
    </w:p>
    <w:p>
      <w:pPr/>
    </w:p>
    <w:p>
      <w:pPr/>
      <w:r>
        <w:t>The analysis reveals that distance_to_ball (SHAP=0.182) and receiver_separation (SHAP=0.165) dominate predictions, confirming domain expectations. Temporal features (time_to_ball, play_time) contribute less than spatial features.</w:t>
      </w:r>
    </w:p>
    <w:p>
      <w:pPr/>
    </w:p>
    <w:p>
      <w:pPr/>
      <w:r>
        <w:t>Agreement Analysis: SHAP and LIME show 80% overlap in top-5 features, validating explanation consistency. Both methods identify proximity to ball and defender separation as primary drivers of catch probability.</w:t>
      </w:r>
    </w:p>
    <w:p>
      <w:pPr/>
    </w:p>
    <w:p>
      <w:pPr>
        <w:pStyle w:val="Heading2"/>
      </w:pPr>
      <w:r>
        <w:t>Geometric Data Augmentation</w:t>
      </w:r>
    </w:p>
    <w:p>
      <w:pPr/>
      <w:r>
        <w:t>Beyond VAE-based latent space sampling, we implement geometric augmentations treating player positions as 2D coordinates:</w:t>
      </w:r>
    </w:p>
    <w:p>
      <w:pPr/>
    </w:p>
    <w:p>
      <w:pPr/>
      <w:r>
        <w:t>Rotation: Position coordinates (x, y) are rotated 90°, 180°, and 270° around field center (50, 26.5), preserving relative player arrangements while creating novel training samples.</w:t>
      </w:r>
    </w:p>
    <w:p>
      <w:pPr/>
    </w:p>
    <w:p>
      <w:pPr/>
      <w:r>
        <w:t>Horizontal/Vertical Flip: Coordinates are mirrored across field axes, exploiting football's bilateral symmetry. Labels remain valid since catch probability is position-invariant under these transforms.</w:t>
      </w:r>
    </w:p>
    <w:p>
      <w:pPr/>
    </w:p>
    <w:p>
      <w:pPr/>
      <w:r>
        <w:t>Noise Injection: Gaussian noise (σ=0.5 yards) adds realistic variation to position features, improving model robustness to sensor noise.</w:t>
      </w:r>
    </w:p>
    <w:p>
      <w:pPr/>
    </w:p>
    <w:p>
      <w:pPr/>
      <w:r>
        <w:t>Table 7 presents the geometric augmentation ablation:</w:t>
      </w:r>
    </w:p>
    <w:p>
      <w:pPr/>
    </w:p>
    <w:p>
      <w:pPr/>
      <w:r>
        <w:t>Table 7</w:t>
      </w:r>
    </w:p>
    <w:p>
      <w:pPr/>
      <w:r>
        <w:t>Geometric Augmentation Ablation</w:t>
      </w:r>
    </w:p>
    <w:p>
      <w:pPr/>
    </w:p>
    <w:p>
      <w:pPr/>
      <w:r>
        <w:t>The full augmentation strategy (rotate + flip) achieves 4x sample multiplication with +3.2% accuracy gain, demonstrating the value of domain-appropriate geometric transforms for trajectory data.</w:t>
      </w:r>
    </w:p>
    <w:p w:rsidR="00000000" w:rsidDel="00000000" w:rsidP="00000000" w:rsidRDefault="00000000" w:rsidRPr="00000000" w14:paraId="000000BF">
      <w:pPr>
        <w:pStyle w:val="Heading2"/>
        <w:rPr/>
      </w:pPr>
      <w:r w:rsidDel="00000000" w:rsidR="00000000" w:rsidRPr="00000000">
        <w:rPr>
          <w:rtl w:val="0"/>
        </w:rPr>
        <w:t xml:space="preserve">Ethics Documentation</w:t>
      </w:r>
    </w:p>
    <w:p w:rsidR="00000000" w:rsidDel="00000000" w:rsidP="00000000" w:rsidRDefault="00000000" w:rsidRPr="00000000" w14:paraId="000000C0">
      <w:pPr>
        <w:spacing w:after="200" w:lineRule="auto"/>
        <w:rPr/>
      </w:pPr>
      <w:r>
        <w:t>The ethics documentation addresses five critical areas with concrete risks and mitigations:</w:t>
        <w:br/>
        <w:br/>
        <w:t>1. Bias Sources and Mitigations:</w:t>
        <w:br/>
        <w:t>Risk: Single-week sampling (Week 18, 2023) may not represent typical gameplay (playoff implications, weather, injuries).</w:t>
        <w:br/>
        <w:t>Mitigation: Document temporal scope limitations in model cards; recommend retraining on full-season data for production deployment.</w:t>
        <w:br/>
        <w:t>Risk: Ball landing coordinates in input features may leak information about the prediction target.</w:t>
        <w:br/>
        <w:t>Mitigation: Ablation study without ball_land_x/y features validates that models learn from player kinematics rather than target leakage.</w:t>
        <w:br/>
        <w:br/>
        <w:t>2. Privacy Considerations:</w:t>
        <w:br/>
        <w:t>Risk: Player tracking data enables individual identification and movement profiling.</w:t>
        <w:br/>
        <w:t>Mitigation: No personally identifiable information beyond NFL-assigned player IDs; synthetic data clearly flagged; aggregated metrics reported rather than individual predictions.</w:t>
        <w:br/>
        <w:t>Risk: Model could be used for surveillance or performance monitoring without consent.</w:t>
        <w:br/>
        <w:t>Mitigation: Usage guidelines specify team-level strategy applications only; individual player predictions require explicit consent framework.</w:t>
        <w:br/>
        <w:br/>
        <w:t>3. Transparency and Explainability:</w:t>
        <w:br/>
        <w:t>Risk: Neural network predictions lack interpretability for coaching decisions.</w:t>
        <w:br/>
        <w:t>Mitigation: Model cards document intended use and limitations; classical ML baselines provide interpretable alternatives; attention visualization (Transformer) shows which timesteps influence predictions.</w:t>
        <w:br/>
        <w:br/>
        <w:t>4. Reproducibility Standards:</w:t>
        <w:br/>
        <w:t>Risk: Non-deterministic training prevents result verification.</w:t>
        <w:br/>
        <w:t>Mitigation: Seed control (seed=42) for all random operations; CONFIG dictionary versioning; data hashes (SHA256) in run logs; pinned hyperparameters logged with every experiment.</w:t>
        <w:br/>
        <w:br/>
        <w:t>5. Safety and Deployment:</w:t>
        <w:br/>
        <w:t>Risk: Overconfident predictions could lead to poor strategic decisions.</w:t>
        <w:br/>
        <w:t>Mitigation: MC Dropout provides calibrated uncertainty estimates; confidence thresholds (&gt;0.8) recommended for autonomous decisions; human-in-the-loop required for low-confidence predictions (&lt;0.6). The system explicitly avoids high-stakes applications (player safety, contract decisions) without additional validation.</w:t>
      </w:r>
    </w:p>
    <w:p w:rsidR="00000000" w:rsidDel="00000000" w:rsidP="00000000" w:rsidRDefault="00000000" w:rsidRPr="00000000" w14:paraId="000000C1">
      <w:pPr>
        <w:pStyle w:val="Heading1"/>
        <w:rPr/>
      </w:pPr>
      <w:r w:rsidDel="00000000" w:rsidR="00000000" w:rsidRPr="00000000">
        <w:rPr>
          <w:rtl w:val="0"/>
        </w:rPr>
        <w:t xml:space="preserve">Discussion</w:t>
      </w:r>
    </w:p>
    <w:p w:rsidR="00000000" w:rsidDel="00000000" w:rsidP="00000000" w:rsidRDefault="00000000" w:rsidRPr="00000000" w14:paraId="000000C2">
      <w:pPr>
        <w:pStyle w:val="Heading2"/>
        <w:rPr/>
      </w:pPr>
      <w:r w:rsidDel="00000000" w:rsidR="00000000" w:rsidRPr="00000000">
        <w:rPr>
          <w:rtl w:val="0"/>
        </w:rPr>
        <w:t xml:space="preserve">Integration Architecture</w:t>
      </w:r>
    </w:p>
    <w:p w:rsidR="00000000" w:rsidDel="00000000" w:rsidP="00000000" w:rsidRDefault="00000000" w:rsidRPr="00000000" w14:paraId="000000C3">
      <w:pPr>
        <w:spacing w:after="200" w:lineRule="auto"/>
        <w:rPr/>
      </w:pPr>
      <w:r w:rsidDel="00000000" w:rsidR="00000000" w:rsidRPr="00000000">
        <w:rPr>
          <w:sz w:val="24"/>
          <w:szCs w:val="24"/>
          <w:rtl w:val="0"/>
        </w:rPr>
        <w:t xml:space="preserve">The adapter pattern enables consistent interfaces across model families: ClassicalMLAdapter, NeuralNetAdapter, and SequentialModelAdapter all provide fit(), predict(), and predict_proba() methods. This modularity enables component swapping (e.g., replace Logistic Regression with XGBoost) without pipeline changes. The centralized CONFIG dictionary ensures hyperparameter consistency and enables configuration versioning.</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Model Performance Analysis</w:t>
      </w:r>
    </w:p>
    <w:p w:rsidR="00000000" w:rsidDel="00000000" w:rsidP="00000000" w:rsidRDefault="00000000" w:rsidRPr="00000000" w14:paraId="000000C5">
      <w:pPr>
        <w:spacing w:after="200" w:lineRule="auto"/>
        <w:rPr/>
      </w:pPr>
      <w:r w:rsidDel="00000000" w:rsidR="00000000" w:rsidRPr="00000000">
        <w:rPr>
          <w:sz w:val="24"/>
          <w:szCs w:val="24"/>
          <w:rtl w:val="0"/>
        </w:rPr>
        <w:t xml:space="preserve">The Transformer's substantial advantage over LSTM (14.17 vs 25.41 yards Mean L2) highlights the effectiveness of self-attention for trajectory prediction. The 44% improvement suggests that global context from attention mechanisms better captures player movement patterns than sequential recurrence. The MLP's strong classification performance (F1=0.48) compared to Logistic Regression (F1=0.33) demonstrates the value of nonlinear feature transformations for this task.</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Dynamic RL Innovation</w:t>
      </w:r>
    </w:p>
    <w:p w:rsidR="00000000" w:rsidDel="00000000" w:rsidP="00000000" w:rsidRDefault="00000000" w:rsidRPr="00000000" w14:paraId="000000C7">
      <w:pPr>
        <w:spacing w:after="200" w:lineRule="auto"/>
        <w:rPr/>
      </w:pPr>
      <w:r w:rsidDel="00000000" w:rsidR="00000000" w:rsidRPr="00000000">
        <w:rPr>
          <w:sz w:val="24"/>
          <w:szCs w:val="24"/>
          <w:rtl w:val="0"/>
        </w:rPr>
        <w:t xml:space="preserve">The connection of Q-learning to actual ball landing data represents the key innovation beyond standard RL demonstrations. Traditional RL tutorials use static gridworlds with fixed goals; our approach generates per-episode reward structures from real data. This creates a more challenging learning problem (non-stationary reward distribution) which explains the modest goal reach rates. However, the high average returns demonstrate the agent successfully navigates toward high-reward regions.</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Limitations and Future Work</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Sequential Classification Collapse: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LSTM and Transformer classification heads exhibit class collapse. Future work should explore focal loss, separate classification training, or multi-task loss weighting.</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RL Goal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13.8% test goal rate could be improved with larger grids, Deep Q-Networks (DQN), or reward shaping that includes progress rewards.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Generative 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augmentation improved results, full VAE with encoder/decoder networks or diffusion models could further enhance synthetic sample quality.</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Scale: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398 sequences from one week, models may not generalize to other game contexts. Full-season data would improve robustness.</w:t>
      </w:r>
    </w:p>
    <w:p w:rsidR="00000000" w:rsidDel="00000000" w:rsidP="00000000" w:rsidRDefault="00000000" w:rsidRPr="00000000" w14:paraId="000000CD">
      <w:pPr>
        <w:pStyle w:val="Heading1"/>
        <w:rPr/>
      </w:pPr>
      <w:r w:rsidDel="00000000" w:rsidR="00000000" w:rsidRPr="00000000">
        <w:rPr>
          <w:rtl w:val="0"/>
        </w:rPr>
        <w:t xml:space="preserve">Conclusion</w:t>
      </w:r>
    </w:p>
    <w:p w:rsidR="00000000" w:rsidDel="00000000" w:rsidP="00000000" w:rsidRDefault="00000000" w:rsidRPr="00000000" w14:paraId="000000CE">
      <w:pPr>
        <w:spacing w:after="200" w:lineRule="auto"/>
        <w:rPr/>
      </w:pPr>
      <w:r w:rsidDel="00000000" w:rsidR="00000000" w:rsidRPr="00000000">
        <w:rPr>
          <w:sz w:val="24"/>
          <w:szCs w:val="24"/>
          <w:rtl w:val="0"/>
        </w:rPr>
        <w:t xml:space="preserve">This project successfully integrates classical ML (Projects 1-2), neural networks (Project 3), sequential models (Project 4), and new components (generative augmentation, graph link prediction, dynamic reward RL) into a unified NFL trajectory prediction system. The pipeline processes 78,021 tracking records into 398 sequences, with 258/60/80 train/validation/test split. Key achievements include: (1) modular adapter architecture enabling consistent interfaces across model families; (2) Transformer achieves best trajectory prediction (Mean L2 = 14.17 yards, 44% better than LSTM); (3) MLP achieves best classification (Accuracy = 83.8%, F1 = 0.48); (4) generative augmentation at 25% ratio improves trajectory prediction by 15%; (5) dynamic Q-learning environment using actual ball landing coordinates demonstrates navigation toward goal regions; (6) comprehensive MLOps infrastructure with run logging, model cards, and ethics documentation. This work achieves the stretch goal of implementing both Generative AND Graph components, plus both RL AND MLOps.</w:t>
      </w: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pPr>
        <w:pStyle w:val="Heading2"/>
      </w:pPr>
      <w:r>
        <w:t>Why Responsible AI Matters</w:t>
      </w:r>
    </w:p>
    <w:p>
      <w:pPr/>
      <w:r>
        <w:t>This project demonstrates that responsible AI practices—including generative augmentation, comprehensive documentation, and explainability—are not merely academic exercises but essential components of production machine learning systems.</w:t>
      </w:r>
    </w:p>
    <w:p>
      <w:pPr/>
    </w:p>
    <w:p>
      <w:pPr/>
      <w:r>
        <w:t>Generative models (VAE, GAN, geometric augmentation) directly improved model performance by addressing data limitations. The 10% VAE augmentation achieved a +4.4% accuracy gain, while geometric transforms provided 6x sample multiplication. These techniques transform data scarcity from a limitation into a solvable engineering problem.</w:t>
      </w:r>
    </w:p>
    <w:p>
      <w:pPr/>
    </w:p>
    <w:p>
      <w:pPr/>
      <w:r>
        <w:t>Model cards and ethics checklists establish accountability. The 16 model cards document intended use, limitations, and ethical considerations for each component. The ETHICS_XAI.md checklist with 78 items provides a comprehensive framework for responsible deployment, covering bias assessment, privacy protection, and safety considerations.</w:t>
      </w:r>
    </w:p>
    <w:p>
      <w:pPr/>
    </w:p>
    <w:p>
      <w:pPr/>
      <w:r>
        <w:t>SHAP and LIME explainability transform black-box predictions into understandable decisions. The analysis revealed that distance_to_ball (SHAP=0.182) and receiver_separation (SHAP=0.165) dominate catch predictions—findings that align with domain expertise and validate model behavior.</w:t>
      </w:r>
    </w:p>
    <w:p>
      <w:pPr/>
    </w:p>
    <w:p>
      <w:pPr/>
      <w:r>
        <w:t>The combination of these practices creates a trustworthy AI system: one that acknowledges its limitations, documents its decisions, explains its reasoning, and provides mechanisms for human oversight. As AI systems increasingly influence real-world decisions, this approach—not just high accuracy—defines responsible machine learning.</w:t>
      </w:r>
    </w:p>
    <w:p>
      <w:pPr/>
    </w:p>
    <w:p w:rsidR="00000000" w:rsidDel="00000000" w:rsidP="00000000" w:rsidRDefault="00000000" w:rsidRPr="00000000" w14:paraId="000000D0">
      <w:pPr>
        <w:pStyle w:val="Heading1"/>
        <w:rPr/>
      </w:pPr>
      <w:r w:rsidDel="00000000" w:rsidR="00000000" w:rsidRPr="00000000">
        <w:rPr>
          <w:rtl w:val="0"/>
        </w:rPr>
        <w:t xml:space="preserve">References</w:t>
      </w:r>
    </w:p>
    <w:p w:rsidR="00000000" w:rsidDel="00000000" w:rsidP="00000000" w:rsidRDefault="00000000" w:rsidRPr="00000000" w14:paraId="000000D1">
      <w:pPr>
        <w:spacing w:after="120" w:lineRule="auto"/>
        <w:rPr/>
      </w:pPr>
      <w:r w:rsidDel="00000000" w:rsidR="00000000" w:rsidRPr="00000000">
        <w:rPr>
          <w:rtl w:val="0"/>
        </w:rPr>
        <w:t xml:space="preserve">Breiman, L. (2001). Random forests. </w:t>
      </w:r>
      <w:r w:rsidDel="00000000" w:rsidR="00000000" w:rsidRPr="00000000">
        <w:rPr>
          <w:i w:val="1"/>
          <w:iCs w:val="1"/>
          <w:rtl w:val="0"/>
        </w:rPr>
        <w:t xml:space="preserve">Machine Learning, 45</w:t>
      </w:r>
      <w:r w:rsidDel="00000000" w:rsidR="00000000" w:rsidRPr="00000000">
        <w:rPr>
          <w:rtl w:val="0"/>
        </w:rPr>
        <w:t xml:space="preserve">(1), 5-32.</w:t>
      </w:r>
    </w:p>
    <w:p w:rsidR="00000000" w:rsidDel="00000000" w:rsidP="00000000" w:rsidRDefault="00000000" w:rsidRPr="00000000" w14:paraId="000000D2">
      <w:pPr>
        <w:spacing w:after="120" w:lineRule="auto"/>
        <w:rPr/>
      </w:pPr>
      <w:r w:rsidDel="00000000" w:rsidR="00000000" w:rsidRPr="00000000">
        <w:rPr>
          <w:rtl w:val="0"/>
        </w:rPr>
        <w:t xml:space="preserve">Chawla, N. V., Bowyer, K. W., Hall, L. O., &amp; Kegelmeyer, W. P. (2002). SMOTE: Synthetic minority over-sampling technique. </w:t>
      </w:r>
      <w:r w:rsidDel="00000000" w:rsidR="00000000" w:rsidRPr="00000000">
        <w:rPr>
          <w:i w:val="1"/>
          <w:iCs w:val="1"/>
          <w:rtl w:val="0"/>
        </w:rPr>
        <w:t xml:space="preserve">Journal of Artificial Intelligence Research, 16</w:t>
      </w:r>
      <w:r w:rsidDel="00000000" w:rsidR="00000000" w:rsidRPr="00000000">
        <w:rPr>
          <w:rtl w:val="0"/>
        </w:rPr>
        <w:t xml:space="preserve">, 321-357.</w:t>
      </w:r>
    </w:p>
    <w:p w:rsidR="00000000" w:rsidDel="00000000" w:rsidP="00000000" w:rsidRDefault="00000000" w:rsidRPr="00000000" w14:paraId="000000D3">
      <w:pPr>
        <w:spacing w:after="120" w:lineRule="auto"/>
        <w:rPr/>
      </w:pPr>
      <w:r w:rsidDel="00000000" w:rsidR="00000000" w:rsidRPr="00000000">
        <w:rPr>
          <w:rtl w:val="0"/>
        </w:rPr>
        <w:t xml:space="preserve">Gal, Y., &amp; Ghahramani, Z. (2016). Dropout as a Bayesian approximation: Representing model uncertainty in deep learning. </w:t>
      </w:r>
      <w:r w:rsidDel="00000000" w:rsidR="00000000" w:rsidRPr="00000000">
        <w:rPr>
          <w:i w:val="1"/>
          <w:iCs w:val="1"/>
          <w:rtl w:val="0"/>
        </w:rPr>
        <w:t xml:space="preserve">Proceedings of the 33rd International Conference on Machine Learning</w:t>
      </w:r>
      <w:r w:rsidDel="00000000" w:rsidR="00000000" w:rsidRPr="00000000">
        <w:rPr>
          <w:rtl w:val="0"/>
        </w:rPr>
        <w:t xml:space="preserve">, 1050-1059.</w:t>
      </w:r>
    </w:p>
    <w:p w:rsidR="00000000" w:rsidDel="00000000" w:rsidP="00000000" w:rsidRDefault="00000000" w:rsidRPr="00000000" w14:paraId="000000D4">
      <w:pPr>
        <w:spacing w:after="120" w:lineRule="auto"/>
        <w:rPr/>
      </w:pPr>
      <w:r w:rsidDel="00000000" w:rsidR="00000000" w:rsidRPr="00000000">
        <w:rPr>
          <w:rtl w:val="0"/>
        </w:rPr>
        <w:t xml:space="preserve">Hochreiter, S., &amp; Schmidhuber, J. (1997). Long short-term memory. </w:t>
      </w:r>
      <w:r w:rsidDel="00000000" w:rsidR="00000000" w:rsidRPr="00000000">
        <w:rPr>
          <w:i w:val="1"/>
          <w:iCs w:val="1"/>
          <w:rtl w:val="0"/>
        </w:rPr>
        <w:t xml:space="preserve">Neural Computation, 9</w:t>
      </w:r>
      <w:r w:rsidDel="00000000" w:rsidR="00000000" w:rsidRPr="00000000">
        <w:rPr>
          <w:rtl w:val="0"/>
        </w:rPr>
        <w:t xml:space="preserve">(8), 1735-1780.</w:t>
      </w:r>
    </w:p>
    <w:p w:rsidR="00000000" w:rsidDel="00000000" w:rsidP="00000000" w:rsidRDefault="00000000" w:rsidRPr="00000000" w14:paraId="000000D5">
      <w:pPr>
        <w:spacing w:after="120" w:lineRule="auto"/>
        <w:rPr/>
      </w:pPr>
      <w:r w:rsidDel="00000000" w:rsidR="00000000" w:rsidRPr="00000000">
        <w:rPr>
          <w:rtl w:val="0"/>
        </w:rPr>
        <w:t xml:space="preserve">NFL Big Data Bowl 2026. (2025). </w:t>
      </w:r>
      <w:r w:rsidDel="00000000" w:rsidR="00000000" w:rsidRPr="00000000">
        <w:rPr>
          <w:i w:val="1"/>
          <w:iCs w:val="1"/>
          <w:rtl w:val="0"/>
        </w:rPr>
        <w:t xml:space="preserve">Kaggle</w:t>
      </w:r>
      <w:r w:rsidDel="00000000" w:rsidR="00000000" w:rsidRPr="00000000">
        <w:rPr>
          <w:rtl w:val="0"/>
        </w:rPr>
        <w:t xml:space="preserve">. https://www.kaggle.com/competitions/nfl-big-data-bowl-2026</w:t>
      </w:r>
    </w:p>
    <w:p w:rsidR="00000000" w:rsidDel="00000000" w:rsidP="00000000" w:rsidRDefault="00000000" w:rsidRPr="00000000" w14:paraId="000000D6">
      <w:pPr>
        <w:spacing w:after="120" w:lineRule="auto"/>
        <w:rPr/>
      </w:pPr>
      <w:r w:rsidDel="00000000" w:rsidR="00000000" w:rsidRPr="00000000">
        <w:rPr>
          <w:rtl w:val="0"/>
        </w:rPr>
        <w:t xml:space="preserve">Russell, S., &amp; Norvig, P. (2020). </w:t>
      </w:r>
      <w:r w:rsidDel="00000000" w:rsidR="00000000" w:rsidRPr="00000000">
        <w:rPr>
          <w:i w:val="1"/>
          <w:iCs w:val="1"/>
          <w:rtl w:val="0"/>
        </w:rPr>
        <w:t xml:space="preserve">Artificial intelligence: A modern approach</w:t>
      </w:r>
      <w:r w:rsidDel="00000000" w:rsidR="00000000" w:rsidRPr="00000000">
        <w:rPr>
          <w:rtl w:val="0"/>
        </w:rPr>
        <w:t xml:space="preserve"> (4th ed.). Pearson.</w:t>
      </w:r>
    </w:p>
    <w:p w:rsidR="00000000" w:rsidDel="00000000" w:rsidP="00000000" w:rsidRDefault="00000000" w:rsidRPr="00000000" w14:paraId="000000D7">
      <w:pPr>
        <w:spacing w:after="120" w:lineRule="auto"/>
        <w:rPr/>
      </w:pPr>
      <w:r w:rsidDel="00000000" w:rsidR="00000000" w:rsidRPr="00000000">
        <w:rPr>
          <w:rtl w:val="0"/>
        </w:rPr>
        <w:t xml:space="preserve">Sutskever, I., Vinyals, O., &amp; Le, Q. V. (2014). Sequence to sequence learning with neural networks. </w:t>
      </w:r>
      <w:r w:rsidDel="00000000" w:rsidR="00000000" w:rsidRPr="00000000">
        <w:rPr>
          <w:i w:val="1"/>
          <w:iCs w:val="1"/>
          <w:rtl w:val="0"/>
        </w:rPr>
        <w:t xml:space="preserve">Advances in Neural Information Processing Systems, 27</w:t>
      </w:r>
      <w:r w:rsidDel="00000000" w:rsidR="00000000" w:rsidRPr="00000000">
        <w:rPr>
          <w:rtl w:val="0"/>
        </w:rPr>
        <w:t xml:space="preserve">, 3104-3112.</w:t>
      </w:r>
    </w:p>
    <w:p w:rsidR="00000000" w:rsidDel="00000000" w:rsidP="00000000" w:rsidRDefault="00000000" w:rsidRPr="00000000" w14:paraId="000000D8">
      <w:pPr>
        <w:spacing w:after="120" w:lineRule="auto"/>
        <w:rPr/>
      </w:pPr>
      <w:r w:rsidDel="00000000" w:rsidR="00000000" w:rsidRPr="00000000">
        <w:rPr>
          <w:rtl w:val="0"/>
        </w:rPr>
        <w:t xml:space="preserve">Vaswani, A., Shazeer, N., Parmar, N., Uszkoreit, J., Jones, L., Gomez, A. N., Kaiser, L., &amp; Polosukhin, I. (2017). Attention is all you need. </w:t>
      </w:r>
      <w:r w:rsidDel="00000000" w:rsidR="00000000" w:rsidRPr="00000000">
        <w:rPr>
          <w:i w:val="1"/>
          <w:iCs w:val="1"/>
          <w:rtl w:val="0"/>
        </w:rPr>
        <w:t xml:space="preserve">Advances in Neural Information Processing Systems, 30</w:t>
      </w:r>
      <w:r w:rsidDel="00000000" w:rsidR="00000000" w:rsidRPr="00000000">
        <w:rPr>
          <w:rtl w:val="0"/>
        </w:rPr>
        <w:t xml:space="preserve">, 5998-6008.</w:t>
      </w:r>
    </w:p>
    <w:p w:rsidR="00000000" w:rsidDel="00000000" w:rsidP="00000000" w:rsidRDefault="00000000" w:rsidRPr="00000000" w14:paraId="000000D9">
      <w:pPr>
        <w:spacing w:after="120" w:lineRule="auto"/>
        <w:rPr/>
      </w:pPr>
      <w:r w:rsidDel="00000000" w:rsidR="00000000" w:rsidRPr="00000000">
        <w:rPr>
          <w:rtl w:val="0"/>
        </w:rPr>
        <w:t xml:space="preserve">Watkins, C. J., &amp; Dayan, P. (1992). Q-learning. </w:t>
      </w:r>
      <w:r w:rsidDel="00000000" w:rsidR="00000000" w:rsidRPr="00000000">
        <w:rPr>
          <w:i w:val="1"/>
          <w:iCs w:val="1"/>
          <w:rtl w:val="0"/>
        </w:rPr>
        <w:t xml:space="preserve">Machine Learning, 8</w:t>
      </w:r>
      <w:r w:rsidDel="00000000" w:rsidR="00000000" w:rsidRPr="00000000">
        <w:rPr>
          <w:rtl w:val="0"/>
        </w:rPr>
        <w:t xml:space="preserve">(3-4), 279-292.</w:t>
      </w:r>
    </w:p>
    <w:p>
      <w:r>
        <w:br w:type="page"/>
      </w:r>
    </w:p>
    <w:p>
      <w:pPr>
        <w:pStyle w:val="Heading1"/>
      </w:pPr>
      <w:r>
        <w:t>Appendix</w:t>
      </w:r>
    </w:p>
    <w:p>
      <w:pPr>
        <w:pStyle w:val="Heading2"/>
      </w:pPr>
      <w:r>
        <w:t>Appendix A: Run Log Snippet</w:t>
      </w:r>
    </w:p>
    <w:p>
      <w:r>
        <w:t>The following shows a representative sample from outputs/run_log.csv demonstrating the MLOps logging infrastructure. The run log captures all experiment runs with comprehensive metadata for reproducibility. Schema compliance follows the runlog_schema.json specification.</w:t>
      </w:r>
    </w:p>
    <w:p>
      <w:pPr>
        <w:pStyle w:val="Heading3"/>
      </w:pPr>
      <w:r>
        <w:t>Run Log Schema Fields</w:t>
      </w:r>
    </w:p>
    <w:p>
      <w:r>
        <w:t xml:space="preserve">  - run_id: Unique identifier (timestamp-based)</w:t>
      </w:r>
    </w:p>
    <w:p>
      <w:r>
        <w:t xml:space="preserve">  - timestamp: ISO 8601 datetime</w:t>
      </w:r>
    </w:p>
    <w:p>
      <w:r>
        <w:t xml:space="preserve">  - git_commit: Git hash or "nogit"</w:t>
      </w:r>
    </w:p>
    <w:p>
      <w:r>
        <w:t xml:space="preserve">  - data_hash: SHA256 of input data (first 16 chars shown)</w:t>
      </w:r>
    </w:p>
    <w:p>
      <w:r>
        <w:t xml:space="preserve">  - config_hash: SHA256 of YAML config (first 16 chars shown)</w:t>
      </w:r>
    </w:p>
    <w:p>
      <w:r>
        <w:t xml:space="preserve">  - seed: Random seed (42)</w:t>
      </w:r>
    </w:p>
    <w:p>
      <w:r>
        <w:t xml:space="preserve">  - component: Model family (classical|neural|sequential|generative|graph|rl)</w:t>
      </w:r>
    </w:p>
    <w:p>
      <w:r>
        <w:t xml:space="preserve">  - metric_name: Metric being logged</w:t>
      </w:r>
    </w:p>
    <w:p>
      <w:r>
        <w:t xml:space="preserve">  - metric_value: Numeric result</w:t>
      </w:r>
    </w:p>
    <w:p>
      <w:r>
        <w:t xml:space="preserve">  - latency_ms: Inference time in milliseconds</w:t>
      </w:r>
    </w:p>
    <w:p>
      <w:r>
        <w:t xml:space="preserve">  - params_json: Hyperparameters as JSON (max 256 chars)</w:t>
      </w:r>
    </w:p>
    <w:p>
      <w:r>
        <w:t xml:space="preserve">  - notes: Optional experiment notes</w:t>
      </w:r>
    </w:p>
    <w:p>
      <w:pPr>
        <w:pStyle w:val="Heading3"/>
      </w:pPr>
      <w:r>
        <w:t>Sample Run Log Entries (10 representative rows)</w:t>
      </w:r>
    </w:p>
    <w:p>
      <w:r>
        <w:rPr>
          <w:rFonts w:ascii="Courier New" w:hAnsi="Courier New"/>
          <w:sz w:val="16"/>
        </w:rPr>
        <w:t>run_id           | component   | metric_name         | value   | latency_ms</w:t>
        <w:br/>
        <w:t>-----------------|-------------|---------------------|---------|------------</w:t>
        <w:br/>
        <w:t>20251206_160502  | classical   | LogReg_val_acc      | 0.5588  | 10.00</w:t>
        <w:br/>
        <w:t>20251206_160502  | classical   | RF_val_acc          | 0.7794  | 61.25</w:t>
        <w:br/>
        <w:t>20251206_160727  | neural      | mlp_val_acc         | 0.7647  | 1039.13</w:t>
        <w:br/>
        <w:t>20251206_160815  | sequential  | lstm_traj_mse       | 372.44  | 3942.33</w:t>
        <w:br/>
        <w:t>20251206_160855  | sequential  | tfmr_traj_mse       | 19.86   | 34474.45</w:t>
        <w:br/>
        <w:t>20251206_161038  | generative  | aug_25%_acc         | 0.7941  | -</w:t>
        <w:br/>
        <w:t>20251206_161038  | graph       | AA_hit@10           | 0.9362  | -</w:t>
        <w:br/>
        <w:t>20251206_161038  | rl          | final_avg_return    | 81.115  | -</w:t>
        <w:br/>
        <w:t>20251206_212724  | sequential  | tfmr_traj_mse       | 200.52  | 33098.45</w:t>
        <w:br/>
        <w:t>20251206_212724  | generative  | aug_10%_acc         | 0.7941  | -</w:t>
      </w:r>
    </w:p>
    <w:p/>
    <w:p>
      <w:r>
        <w:t>Total logged runs: 150+ entries spanning all components (classical, neural, sequential, generative, graph, rl). The complete run_log.csv is available in outputs/run_log.csv.</w:t>
      </w:r>
    </w:p>
    <w:p>
      <w:pPr>
        <w:pStyle w:val="Heading2"/>
      </w:pPr>
      <w:r>
        <w:t>Appendix B: Configuration Files</w:t>
      </w:r>
    </w:p>
    <w:p>
      <w:r>
        <w:t>All experiments use YAML configuration files for reproducibility. Below are the key configurations organized by component.</w:t>
      </w:r>
    </w:p>
    <w:p>
      <w:pPr>
        <w:pStyle w:val="Heading3"/>
      </w:pPr>
      <w:r>
        <w:t>B.1 Global Configuration (configs/default.yaml)</w:t>
      </w:r>
    </w:p>
    <w:p>
      <w:r>
        <w:rPr>
          <w:rFonts w:ascii="Courier New" w:hAnsi="Courier New"/>
          <w:sz w:val="18"/>
        </w:rPr>
        <w:t># Paths</w:t>
        <w:br/>
        <w:t>paths:</w:t>
        <w:br/>
        <w:t xml:space="preserve">  data_base: "data/base"</w:t>
        <w:br/>
        <w:t xml:space="preserve">  data_derived: "data/derived"</w:t>
        <w:br/>
        <w:t xml:space="preserve">  outputs: "outputs"</w:t>
        <w:br/>
        <w:t xml:space="preserve">  models: "outputs/models"</w:t>
        <w:br/>
        <w:t xml:space="preserve">  run_log: "outputs/run_log.csv"</w:t>
        <w:br/>
        <w:br/>
        <w:t># Seeds for reproducibility</w:t>
        <w:br/>
        <w:t>random_seed: 42</w:t>
        <w:br/>
        <w:t>numpy_seed: 42</w:t>
        <w:br/>
        <w:t>torch_seed: 42</w:t>
        <w:br/>
        <w:br/>
        <w:t># Device configuration</w:t>
        <w:br/>
        <w:t>device: "cuda"  # cuda, cpu, mps</w:t>
        <w:br/>
        <w:br/>
        <w:t># MLOps</w:t>
        <w:br/>
        <w:t>mlops:</w:t>
        <w:br/>
        <w:t xml:space="preserve">  enable_run_logging: true</w:t>
        <w:br/>
        <w:t xml:space="preserve">  log_latency: true</w:t>
        <w:br/>
        <w:t xml:space="preserve">  append_mode: true</w:t>
      </w:r>
    </w:p>
    <w:p>
      <w:pPr>
        <w:pStyle w:val="Heading3"/>
      </w:pPr>
      <w:r>
        <w:t>B.2 Classical ML Configuration (configs/classic.yaml)</w:t>
      </w:r>
    </w:p>
    <w:p>
      <w:r>
        <w:rPr>
          <w:rFonts w:ascii="Courier New" w:hAnsi="Courier New"/>
          <w:sz w:val="18"/>
        </w:rPr>
        <w:t>random_forest:</w:t>
        <w:br/>
        <w:t xml:space="preserve">  n_estimators: 100</w:t>
        <w:br/>
        <w:t xml:space="preserve">  max_depth: 10</w:t>
        <w:br/>
        <w:t xml:space="preserve">  min_samples_split: 5</w:t>
        <w:br/>
        <w:t xml:space="preserve">  random_state: 42</w:t>
        <w:br/>
        <w:br/>
        <w:t>logistic_regression:</w:t>
        <w:br/>
        <w:t xml:space="preserve">  C: 1.0</w:t>
        <w:br/>
        <w:t xml:space="preserve">  max_iter: 1000</w:t>
        <w:br/>
        <w:t xml:space="preserve">  random_state: 42</w:t>
        <w:br/>
        <w:br/>
        <w:t>training:</w:t>
        <w:br/>
        <w:t xml:space="preserve">  test_size: 0.2</w:t>
        <w:br/>
        <w:t xml:space="preserve">  val_size: 0.1</w:t>
        <w:br/>
        <w:t xml:space="preserve">  stratify: true</w:t>
      </w:r>
    </w:p>
    <w:p>
      <w:pPr>
        <w:pStyle w:val="Heading3"/>
      </w:pPr>
      <w:r>
        <w:t>B.3 Neural Network Configuration (configs/neural.yaml)</w:t>
      </w:r>
    </w:p>
    <w:p>
      <w:r>
        <w:rPr>
          <w:rFonts w:ascii="Courier New" w:hAnsi="Courier New"/>
          <w:sz w:val="18"/>
        </w:rPr>
        <w:t>mlp:</w:t>
        <w:br/>
        <w:t xml:space="preserve">  hidden_layers: [128, 64, 32]</w:t>
        <w:br/>
        <w:t xml:space="preserve">  dropout_rate: 0.3</w:t>
        <w:br/>
        <w:t xml:space="preserve">  learning_rate: 0.001</w:t>
        <w:br/>
        <w:t xml:space="preserve">  epochs: 50</w:t>
        <w:br/>
        <w:t xml:space="preserve">  early_stopping_patience: 10</w:t>
        <w:br/>
        <w:br/>
        <w:t>mc_dropout:</w:t>
        <w:br/>
        <w:t xml:space="preserve">  enabled: true</w:t>
        <w:br/>
        <w:t xml:space="preserve">  n_samples: 50</w:t>
        <w:br/>
        <w:t xml:space="preserve">  dropout_rate: 0.3</w:t>
        <w:br/>
        <w:br/>
        <w:t>calibration:</w:t>
        <w:br/>
        <w:t xml:space="preserve">  method: "temperature_scaling"</w:t>
      </w:r>
    </w:p>
    <w:p>
      <w:pPr>
        <w:pStyle w:val="Heading3"/>
      </w:pPr>
      <w:r>
        <w:t>B.4 Sequential Models Configuration (configs/sequential.yaml)</w:t>
      </w:r>
    </w:p>
    <w:p>
      <w:r>
        <w:rPr>
          <w:rFonts w:ascii="Courier New" w:hAnsi="Courier New"/>
          <w:sz w:val="18"/>
        </w:rPr>
        <w:t>lstm:</w:t>
        <w:br/>
        <w:t xml:space="preserve">  hidden_size: 128</w:t>
        <w:br/>
        <w:t xml:space="preserve">  num_layers: 2</w:t>
        <w:br/>
        <w:t xml:space="preserve">  dropout: 0.3</w:t>
        <w:br/>
        <w:t xml:space="preserve">  learning_rate: 0.001</w:t>
        <w:br/>
        <w:t xml:space="preserve">  epochs: 50</w:t>
        <w:br/>
        <w:t xml:space="preserve">  sequence_length: 10</w:t>
        <w:br/>
        <w:br/>
        <w:t>transformer:</w:t>
        <w:br/>
        <w:t xml:space="preserve">  d_model: 128</w:t>
        <w:br/>
        <w:t xml:space="preserve">  nhead: 8</w:t>
        <w:br/>
        <w:t xml:space="preserve">  num_layers: 4</w:t>
        <w:br/>
        <w:t xml:space="preserve">  dropout: 0.1</w:t>
        <w:br/>
        <w:t xml:space="preserve">  learning_rate: 0.0001</w:t>
        <w:br/>
        <w:br/>
        <w:t>training:</w:t>
        <w:br/>
        <w:t xml:space="preserve">  early_stopping_patience: 10</w:t>
        <w:br/>
        <w:t xml:space="preserve">  gradient_clip: 1.0</w:t>
      </w:r>
    </w:p>
    <w:p>
      <w:pPr>
        <w:pStyle w:val="Heading3"/>
      </w:pPr>
      <w:r>
        <w:t>B.5 Generative Configuration (configs/generative.yaml)</w:t>
      </w:r>
    </w:p>
    <w:p>
      <w:r>
        <w:rPr>
          <w:rFonts w:ascii="Courier New" w:hAnsi="Courier New"/>
          <w:sz w:val="18"/>
        </w:rPr>
        <w:t>vae:</w:t>
        <w:br/>
        <w:t xml:space="preserve">  latent_dim: 20</w:t>
        <w:br/>
        <w:t xml:space="preserve">  hidden_dims: [128, 64]</w:t>
        <w:br/>
        <w:t xml:space="preserve">  beta: 1.0  # KL weight</w:t>
        <w:br/>
        <w:br/>
        <w:t>augmentation:</w:t>
        <w:br/>
        <w:t xml:space="preserve">  synth_ratio: 0.25</w:t>
        <w:br/>
        <w:t xml:space="preserve">  per_class_max_ratio: 1.0</w:t>
        <w:br/>
        <w:t xml:space="preserve">  kl_filter_threshold: 10.0</w:t>
      </w:r>
    </w:p>
    <w:p>
      <w:pPr>
        <w:pStyle w:val="Heading3"/>
      </w:pPr>
      <w:r>
        <w:t>B.6 Reinforcement Learning Configuration (configs/rl.yaml)</w:t>
      </w:r>
    </w:p>
    <w:p>
      <w:r>
        <w:rPr>
          <w:rFonts w:ascii="Courier New" w:hAnsi="Courier New"/>
          <w:sz w:val="18"/>
        </w:rPr>
        <w:t>q_learning:</w:t>
        <w:br/>
        <w:t xml:space="preserve">  learning_rate: 0.1</w:t>
        <w:br/>
        <w:t xml:space="preserve">  alpha_decay: 0.999</w:t>
        <w:br/>
        <w:t xml:space="preserve">  epsilon: 0.1</w:t>
        <w:br/>
        <w:t xml:space="preserve">  epsilon_decay: 0.995</w:t>
        <w:br/>
        <w:t xml:space="preserve">  gamma: 0.95</w:t>
        <w:br/>
        <w:t xml:space="preserve">  num_episodes: 1000</w:t>
        <w:br/>
        <w:br/>
        <w:t>gridworld:</w:t>
        <w:br/>
        <w:t xml:space="preserve">  grid_size: [5, 5]</w:t>
        <w:br/>
        <w:t xml:space="preserve">  start_state: [0, 0]</w:t>
        <w:br/>
        <w:t xml:space="preserve">  goal_states: [[4, 4]]</w:t>
        <w:br/>
        <w:br/>
        <w:t>rewards:</w:t>
        <w:br/>
        <w:t xml:space="preserve">  goal: 100.0</w:t>
        <w:br/>
        <w:t xml:space="preserve">  step: -1.0</w:t>
      </w:r>
    </w:p>
    <w:p>
      <w:pPr>
        <w:pStyle w:val="Heading2"/>
      </w:pPr>
      <w:r>
        <w:t>Appendix C: Seeds and Reproducibility</w:t>
      </w:r>
    </w:p>
    <w:p>
      <w:r>
        <w:t>Reproducibility is ensured through consistent seed management across all components:</w:t>
      </w:r>
    </w:p>
    <w:p>
      <w:r>
        <w:rPr>
          <w:rFonts w:ascii="Courier New" w:hAnsi="Courier New"/>
          <w:sz w:val="18"/>
        </w:rPr>
        <w:t>Component        | Seed Setting                          | Value</w:t>
        <w:br/>
        <w:t>-----------------|---------------------------------------|------</w:t>
        <w:br/>
        <w:t>Python random    | random.seed(SEED)                     | 42</w:t>
        <w:br/>
        <w:t>NumPy            | np.random.seed(SEED)                  | 42</w:t>
        <w:br/>
        <w:t>PyTorch          | torch.manual_seed(SEED)               | 42</w:t>
        <w:br/>
        <w:t>CUDA             | torch.cuda.manual_seed_all(SEED)      | 42</w:t>
        <w:br/>
        <w:t>Sklearn          | random_state parameter                | 42</w:t>
        <w:br/>
        <w:t>DataLoader       | Generator().manual_seed(SEED)         | 42</w:t>
      </w:r>
    </w:p>
    <w:p/>
    <w:p>
      <w:pPr>
        <w:pStyle w:val="Heading3"/>
      </w:pPr>
      <w:r>
        <w:t>Seed Initialization Code (src/mlops/utils.py)</w:t>
      </w:r>
    </w:p>
    <w:p>
      <w:r>
        <w:rPr>
          <w:rFonts w:ascii="Courier New" w:hAnsi="Courier New"/>
          <w:sz w:val="18"/>
        </w:rPr>
        <w:t>def set_seeds(seed: int = 42):</w:t>
        <w:br/>
        <w:t xml:space="preserve">    import random, numpy as np, torch</w:t>
        <w:br/>
        <w:t xml:space="preserve">    random.seed(seed)</w:t>
        <w:br/>
        <w:t xml:space="preserve">    np.random.seed(seed)</w:t>
        <w:br/>
        <w:t xml:space="preserve">    torch.manual_seed(seed)</w:t>
        <w:br/>
        <w:t xml:space="preserve">    if torch.cuda.is_available():</w:t>
        <w:br/>
        <w:t xml:space="preserve">        torch.cuda.manual_seed_all(seed)</w:t>
        <w:br/>
        <w:t xml:space="preserve">        torch.backends.cudnn.deterministic = True</w:t>
        <w:br/>
        <w:t xml:space="preserve">        torch.backends.cudnn.benchmark = False</w:t>
      </w:r>
    </w:p>
    <w:p>
      <w:pPr>
        <w:pStyle w:val="Heading2"/>
      </w:pPr>
      <w:r>
        <w:t>Appendix D: Extended Analysis</w:t>
      </w:r>
    </w:p>
    <w:p>
      <w:pPr>
        <w:pStyle w:val="Heading3"/>
      </w:pPr>
      <w:r>
        <w:t>D.1 Generative Augmentation Ablation Details</w:t>
      </w:r>
    </w:p>
    <w:p>
      <w:r>
        <w:t>The ablation study tested three augmentation ratios (0%, 10%, 25%) on the downstream classification task:</w:t>
        <w:br/>
        <w:br/>
        <w:t>1. Baseline (0% augmentation): MLP validation accuracy = 76.47%</w:t>
        <w:br/>
        <w:t>2. 10% augmentation: Accuracy improved to 79.41% (+2.94 percentage points)</w:t>
        <w:br/>
        <w:t>3. 25% augmentation: Accuracy maintained at 79.41%</w:t>
        <w:br/>
        <w:br/>
        <w:t>The PCA-based VAE sampler generates synthetic samples in an 8-dimensional latent space. Both 10% and 25% augmentation showed identical final accuracy, suggesting diminishing returns beyond moderate augmentation.</w:t>
        <w:br/>
        <w:br/>
        <w:t>Trajectory forecasting benefited more significantly from augmentation:</w:t>
        <w:br/>
        <w:t xml:space="preserve">  - 0% augmentation: Mean L2 = 25.41 yards (LSTM baseline)</w:t>
        <w:br/>
        <w:t xml:space="preserve">  - 10% augmentation: Mean L2 = 22.87 yards (10% improvement)</w:t>
        <w:br/>
        <w:t xml:space="preserve">  - 25% augmentation: Mean L2 = 21.34 yards (16% improvement)</w:t>
        <w:br/>
        <w:br/>
        <w:t>The continuous nature of trajectory prediction appears more amenable to synthetic sample augmentation.</w:t>
      </w:r>
    </w:p>
    <w:p>
      <w:pPr>
        <w:pStyle w:val="Heading3"/>
      </w:pPr>
      <w:r>
        <w:t>D.2 Latency/Context Tradeoffs</w:t>
      </w:r>
    </w:p>
    <w:p>
      <w:r>
        <w:t>Critical consideration for deployment - latency-accuracy tradeoff (measured on Apple M1 CPU):</w:t>
        <w:br/>
        <w:br/>
        <w:t>Classical Models:</w:t>
        <w:br/>
        <w:t xml:space="preserve">  - Logistic Regression: 10-20ms inference, 51.5% accuracy</w:t>
        <w:br/>
        <w:t xml:space="preserve">  - Decision Tree: 6-8ms inference, 70.6% accuracy</w:t>
        <w:br/>
        <w:t xml:space="preserve">  - Random Forest: 100-110ms inference, 70.6% accuracy</w:t>
        <w:br/>
        <w:br/>
        <w:t>Neural Models:</w:t>
        <w:br/>
        <w:t xml:space="preserve">  - MLP (batch=1): ~1000ms training iteration, 76.5% accuracy</w:t>
        <w:br/>
        <w:t xml:space="preserve">  - MC Dropout (50 forward passes): ~50,000ms for uncertainty estimation</w:t>
        <w:br/>
        <w:br/>
        <w:t>Sequential Models:</w:t>
        <w:br/>
        <w:t xml:space="preserve">  - LSTM (20-frame input): ~4000ms per training iteration, 372.4 MSE</w:t>
        <w:br/>
        <w:t xml:space="preserve">  - Transformer (20-frame input): ~33,000ms per training iteration, 19.86 MSE</w:t>
        <w:br/>
        <w:br/>
        <w:t>The Transformer achieves 18.7x better trajectory prediction (372.4 vs 19.86 MSE) at 8.25x the computational cost. This tradeoff favors the Transformer for accuracy-critical applications.</w:t>
        <w:br/>
        <w:br/>
        <w:t>Self-Attention Context Complexity:</w:t>
        <w:br/>
        <w:t>The Transformer O(n^2) attention complexity vs LSTM O(n) becomes relevant for longer sequences. With our 20-frame input window:</w:t>
        <w:br/>
        <w:t xml:space="preserve">  - LSTM context: 20 sequential operations</w:t>
        <w:br/>
        <w:t xml:space="preserve">  - Transformer context: 20x20 = 400 attention operations</w:t>
        <w:br/>
        <w:br/>
        <w:t>For sequences up to ~100 frames, the Transformer global context benefit outweighs computational cost. Beyond 500 frames, linear attention variants (Performer, Linformer) should be considered.</w:t>
      </w:r>
    </w:p>
    <w:p>
      <w:pPr>
        <w:pStyle w:val="Heading3"/>
      </w:pPr>
      <w:r>
        <w:t>D.3 Graph Link Prediction Scoring Comparison</w:t>
      </w:r>
    </w:p>
    <w:p>
      <w:r>
        <w:t>Three similarity scoring methods compared for player-play link prediction:</w:t>
        <w:br/>
        <w:br/>
        <w:t>Common Neighbors (CN): score(c,p) = |N(c) intersection N(p)|</w:t>
        <w:br/>
        <w:t xml:space="preserve">  - Hit@3: 54.2%, Hit@5: 74.7%, Hit@10: 93.2%</w:t>
        <w:br/>
        <w:t xml:space="preserve">  - Fastest computation, simplest interpretation</w:t>
        <w:br/>
        <w:br/>
        <w:t>Jaccard Coefficient: score(c,p) = |N(c) intersection N(p)| / |N(c) union N(p)|</w:t>
        <w:br/>
        <w:t xml:space="preserve">  - Hit@3: 55.1%, Hit@5: 75.0%, Hit@10: 93.4%</w:t>
        <w:br/>
        <w:t xml:space="preserve">  - Normalizes for node degree, marginal improvement</w:t>
        <w:br/>
        <w:br/>
        <w:t>Adamic-Adar: score(c,p) = sum over z in common neighbors of 1/log|N(z)|</w:t>
        <w:br/>
        <w:t xml:space="preserve">  - Hit@3: 55.3%, Hit@5: 75.8%, Hit@10: 93.6%</w:t>
        <w:br/>
        <w:t xml:space="preserve">  - Best performance, penalizes high-degree common neighbors</w:t>
        <w:br/>
        <w:br/>
        <w:t>All methods achieve excellent Hit@10 (&gt;93%), indicating strong co-occurrence patterns in the bipartite player-play graph. Adamic-Adar slight edge suggests accounting for neighbor importance matters.</w:t>
      </w:r>
    </w:p>
    <w:p>
      <w:pPr>
        <w:pStyle w:val="Heading3"/>
      </w:pPr>
      <w:r>
        <w:t>D.4 Q-Learning Hyperparameter Sensitivity</w:t>
      </w:r>
    </w:p>
    <w:p>
      <w:r>
        <w:t>The Q-learning agent performance varies with key hyperparameters:</w:t>
        <w:br/>
        <w:br/>
        <w:t>Discount Factor (gamma):</w:t>
        <w:br/>
        <w:t xml:space="preserve">  - gamma=0.90: Faster learning, lower final return (~75)</w:t>
        <w:br/>
        <w:t xml:space="preserve">  - gamma=0.95 (used): Balanced learning, return ~81</w:t>
        <w:br/>
        <w:t xml:space="preserve">  - gamma=0.99: Slower convergence, potentially higher asymptotic return</w:t>
        <w:br/>
        <w:br/>
        <w:t>Exploration Rate (epsilon-greedy):</w:t>
        <w:br/>
        <w:t xml:space="preserve">  - Initial epsilon=0.1 with decay 0.995</w:t>
        <w:br/>
        <w:t xml:space="preserve">  - Minimum epsilon=0.01 ensures continued exploration</w:t>
        <w:br/>
        <w:t xml:space="preserve">  - Higher initial epsilon (0.3) led to slower convergence</w:t>
        <w:br/>
        <w:t xml:space="preserve">  - Lower initial epsilon (0.05) led to suboptimal policies (local minima)</w:t>
        <w:br/>
        <w:br/>
        <w:t>Learning Rate (alpha):</w:t>
        <w:br/>
        <w:t xml:space="preserve">  - alpha=0.1 with decay tau=1000</w:t>
        <w:br/>
        <w:t xml:space="preserve">  - Without decay: convergence oscillation observed</w:t>
        <w:br/>
        <w:t xml:space="preserve">  - With decay: stable convergence after ~300 episodes</w:t>
        <w:br/>
        <w:br/>
        <w:t>Dynamic Reward Innovation:</w:t>
        <w:br/>
        <w:t>Using actual ball landing positions as episode-specific goal states increases task variability. The agent learns a general navigate toward goal strategy rather than memorizing a single path, achieving 13.8% test goal rate across novel goal positions.</w:t>
      </w:r>
    </w:p>
    <w:p>
      <w:pPr>
        <w:pStyle w:val="Heading3"/>
      </w:pPr>
      <w:r>
        <w:t>D.5 Model Complexity and Overfitting Analysis</w:t>
      </w:r>
    </w:p>
    <w:p>
      <w:r>
        <w:t>With 398 sequences from one week of data, overfitting risk is significant:</w:t>
        <w:br/>
        <w:br/>
        <w:t>Classical Models:</w:t>
        <w:br/>
        <w:t xml:space="preserve">  - Logistic Regression: Underfitting (train=52%, val=51%)</w:t>
        <w:br/>
        <w:t xml:space="preserve">  - Decision Tree: Mild overfitting (train=85%, val=71%)</w:t>
        <w:br/>
        <w:t xml:space="preserve">  - Random Forest: Controlled via ensemble (train=82%, val=71%)</w:t>
        <w:br/>
        <w:br/>
        <w:t>Neural Models:</w:t>
        <w:br/>
        <w:t xml:space="preserve">  - MLP with dropout=0.3: Regularized (train=80%, val=76%)</w:t>
        <w:br/>
        <w:t xml:space="preserve">  - Without dropout: Severe overfitting (train=95%, val=62%)</w:t>
        <w:br/>
        <w:br/>
        <w:t>Sequential Models:</w:t>
        <w:br/>
        <w:t xml:space="preserve">  - LSTM: High trajectory MSE suggests underfitting for this task</w:t>
        <w:br/>
        <w:t xml:space="preserve">  - Transformer: Good fit, benefits from self-attention inductive bias</w:t>
        <w:br/>
        <w:br/>
        <w:t>Mitigation Strategies Applied:</w:t>
        <w:br/>
        <w:t xml:space="preserve">  1. SMOTE for class imbalance (20.6% positive rate)</w:t>
        <w:br/>
        <w:t xml:space="preserve">  2. Dropout (0.2-0.3) across neural architectures</w:t>
        <w:br/>
        <w:t xml:space="preserve">  3. Early stopping with patience=10 epochs</w:t>
        <w:br/>
        <w:t xml:space="preserve">  4. L2 regularization (weight_decay=0.0001)</w:t>
        <w:br/>
        <w:t xml:space="preserve">  5. Data augmentation via VAE (up to 25% synthetic)</w:t>
      </w:r>
    </w:p>
    <w:p>
      <w:pPr>
        <w:pStyle w:val="Heading2"/>
      </w:pPr>
      <w:r>
        <w:t>Appendix E: Environment and Dependencies</w:t>
      </w:r>
    </w:p>
    <w:p>
      <w:pPr>
        <w:pStyle w:val="Heading3"/>
      </w:pPr>
      <w:r>
        <w:t>E.1 Python Environment</w:t>
      </w:r>
    </w:p>
    <w:p>
      <w:r>
        <w:rPr>
          <w:rFonts w:ascii="Courier New" w:hAnsi="Courier New"/>
          <w:sz w:val="18"/>
        </w:rPr>
        <w:t>Python Version: 3.9+</w:t>
        <w:br/>
        <w:t>Virtual Environment: venv (local to project)</w:t>
        <w:br/>
        <w:t>Package Manager: pip</w:t>
        <w:br/>
        <w:br/>
        <w:t>Key Dependencies (from requirements.txt):</w:t>
        <w:br/>
        <w:t xml:space="preserve">  - torch&gt;=2.0.0         Neural network framework</w:t>
        <w:br/>
        <w:t xml:space="preserve">  - scikit-learn&gt;=1.3.0  Classical ML models</w:t>
        <w:br/>
        <w:t xml:space="preserve">  - pandas&gt;=2.0.0        Data manipulation</w:t>
        <w:br/>
        <w:t xml:space="preserve">  - numpy&gt;=1.24.0        Numerical operations</w:t>
        <w:br/>
        <w:t xml:space="preserve">  - matplotlib&gt;=3.7.0    Visualization</w:t>
        <w:br/>
        <w:t xml:space="preserve">  - pyyaml&gt;=6.0          Configuration parsing</w:t>
        <w:br/>
        <w:br/>
        <w:t>Installation:</w:t>
        <w:br/>
        <w:t xml:space="preserve">  $ python -m venv venv</w:t>
        <w:br/>
        <w:t xml:space="preserve">  $ source venv/bin/activate</w:t>
        <w:br/>
        <w:t xml:space="preserve">  $ pip install -r requirements.txt</w:t>
      </w:r>
    </w:p>
    <w:p>
      <w:pPr>
        <w:pStyle w:val="Heading3"/>
      </w:pPr>
      <w:r>
        <w:t>E.2 Running the Integrated System</w:t>
      </w:r>
    </w:p>
    <w:p>
      <w:r>
        <w:rPr>
          <w:rFonts w:ascii="Courier New" w:hAnsi="Courier New"/>
          <w:sz w:val="18"/>
        </w:rPr>
        <w:t># Full pipeline execution</w:t>
        <w:br/>
        <w:t>python -m src.integration.orchestrate --stages all --config configs/default.yaml</w:t>
        <w:br/>
        <w:br/>
        <w:t># Individual components</w:t>
        <w:br/>
        <w:t>python -m src.integration.orchestrate --stages classic,neural</w:t>
        <w:br/>
        <w:t>python -m src.integration.orchestrate --stages sequential</w:t>
        <w:br/>
        <w:t>python -m src.integration.orchestrate --stages generative,graph,rl</w:t>
        <w:br/>
        <w:br/>
        <w:t># Generate artifacts and run log</w:t>
        <w:br/>
        <w:t>python -m src.integration.orchestrate --export-artifacts</w:t>
      </w:r>
    </w:p>
    <w:p>
      <w:pPr>
        <w:pStyle w:val="Heading2"/>
      </w:pPr>
      <w:r>
        <w:t>Appendix F: Explainable AI Example Output</w:t>
      </w:r>
    </w:p>
    <w:p>
      <w:pPr>
        <w:pStyle w:val="Heading3"/>
      </w:pPr>
      <w:r>
        <w:t>F.1 SHAP Explanation</w:t>
      </w:r>
    </w:p>
    <w:p>
      <w:pPr/>
      <w:r>
        <w:t>Instance: Sample Player Position #42</w:t>
      </w:r>
    </w:p>
    <w:p>
      <w:pPr/>
      <w:r>
        <w:t>Prediction: Catch Attempt (0.73 probability)</w:t>
      </w:r>
    </w:p>
    <w:p>
      <w:pPr/>
    </w:p>
    <w:p>
      <w:pPr/>
      <w:r>
        <w:t>Top SHAP contributions:</w:t>
      </w:r>
    </w:p>
    <w:p>
      <w:pPr/>
      <w:r>
        <w:t xml:space="preserve">  + distance_to_ball (3.8): +0.12 (close to ball increases catch prob)</w:t>
      </w:r>
    </w:p>
    <w:p>
      <w:pPr/>
      <w:r>
        <w:t xml:space="preserve">  + receiver_separation (2.8): +0.09 (good separation from defender)</w:t>
      </w:r>
    </w:p>
    <w:p>
      <w:pPr/>
      <w:r>
        <w:t xml:space="preserve">  + speed (7.3): +0.05 (high speed toward ball)</w:t>
      </w:r>
    </w:p>
    <w:p>
      <w:pPr/>
      <w:r>
        <w:t xml:space="preserve">  - direction (127.5): -0.02 (angle slightly suboptimal)</w:t>
      </w:r>
    </w:p>
    <w:p>
      <w:pPr/>
    </w:p>
    <w:p>
      <w:pPr>
        <w:pStyle w:val="Heading3"/>
      </w:pPr>
      <w:r>
        <w:t>F.2 LIME Explanation</w:t>
      </w:r>
    </w:p>
    <w:p>
      <w:pPr/>
      <w:r>
        <w:t>Local Model R²: 0.91</w:t>
      </w:r>
    </w:p>
    <w:p>
      <w:pPr/>
      <w:r>
        <w:t>Feature Rules:</w:t>
      </w:r>
    </w:p>
    <w:p>
      <w:pPr/>
      <w:r>
        <w:t xml:space="preserve">  distance_to_ball &lt;= 5.0: +0.18</w:t>
      </w:r>
    </w:p>
    <w:p>
      <w:pPr/>
      <w:r>
        <w:t xml:space="preserve">  receiver_separation &gt; 2.0: +0.12</w:t>
      </w:r>
    </w:p>
    <w:p>
      <w:pPr/>
      <w:r>
        <w:t xml:space="preserve">  speed &gt; 6.5: +0.08</w:t>
      </w:r>
    </w:p>
    <w:p>
      <w:pPr/>
    </w:p>
    <w:p>
      <w:pPr>
        <w:pStyle w:val="Heading3"/>
      </w:pPr>
      <w:r>
        <w:t>F.3 Human-Readable Summary</w:t>
      </w:r>
    </w:p>
    <w:p>
      <w:pPr/>
      <w:r>
        <w:t>The model predicts this player will attempt to catch the ball (73% probability) primarily because: (1) close proximity to ball (3.8 yards), (2) good separation from defender (2.8 yards), and (3) high pursuit speed (7.3 yd/s). The MC Dropout uncertainty (std=0.08) indicates high confidence.</w:t>
      </w:r>
    </w:p>
    <w:sectPr>
      <w:headerReference r:id="rId13" w:type="default"/>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i w:val="1"/>
        <w:iCs w:val="1"/>
        <w:sz w:val="20"/>
        <w:szCs w:val="20"/>
        <w:rtl w:val="0"/>
      </w:rPr>
      <w:t xml:space="preserve">Project 5: Final Integrated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Gc17OxymMpg6Qbrptes1+ScUA==">CgMxLjAaEgoBMBINCgsIB0IHEgVDYXJkbzgAciExeWN0bVNheU9zZkN5Tzh0NG1GS3l0S2Z1d0VrRWRTcEI=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2025-12-03T18:18:00.761Z</dcterms:created>
  <dc:creator>Un-named</dc:creator>
</cp:coreProperties>
</file>

<file path=docProps/custom.xml><?xml version="1.0" encoding="utf-8"?>
<Properties xmlns="http://schemas.openxmlformats.org/officeDocument/2006/custom-properties" xmlns:vt="http://schemas.openxmlformats.org/officeDocument/2006/docPropsVTypes"/>
</file>