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ACADEMIC PERFORMANCE FEEDBACK MANAGEMENT INFORMATION SYSTEM</w:t>
      </w:r>
    </w:p>
    <w:p>
      <w:pPr>
        <w:pStyle w:val="Title"/>
      </w:pPr>
      <w:r>
        <w:t>Developer Technical Manual</w:t>
      </w:r>
    </w:p>
    <w:p>
      <w:pPr>
        <w:spacing w:after="300"/>
      </w:pPr>
      <w:r>
        <w:rPr>
          <w:color w:val="7C4DCC"/>
          <w:sz w:val="28"/>
        </w:rPr>
        <w:t>Architecture, local setup, data flow and implementation notes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vAlign w:val="center"/>
            <w:shd w:fill="4C237F"/>
          </w:tcPr>
          <w:p>
            <w:pPr>
              <w:spacing w:after="40"/>
            </w:pPr>
            <w:r/>
            <w:r>
              <w:rPr>
                <w:rFonts w:ascii="Aptos" w:hAnsi="Aptos"/>
                <w:b/>
                <w:color w:val="FFFFFF"/>
                <w:sz w:val="18"/>
              </w:rPr>
              <w:t>Document details</w:t>
            </w:r>
          </w:p>
        </w:tc>
        <w:tc>
          <w:tcPr>
            <w:tcW w:type="dxa" w:w="7704"/>
            <w:vAlign w:val="center"/>
            <w:shd w:fill="4C237F"/>
          </w:tcPr>
          <w:p>
            <w:pPr>
              <w:spacing w:after="40"/>
            </w:pPr>
            <w:r/>
            <w:r>
              <w:rPr>
                <w:rFonts w:ascii="Aptos" w:hAnsi="Aptos"/>
                <w:b/>
                <w:color w:val="FFFFFF"/>
                <w:sz w:val="18"/>
              </w:rPr>
              <w:t>Value</w:t>
            </w:r>
          </w:p>
        </w:tc>
      </w:tr>
      <w:tr>
        <w:tc>
          <w:tcPr>
            <w:tcW w:type="dxa" w:w="2088"/>
            <w:vAlign w:val="center"/>
          </w:tcPr>
          <w:p>
            <w:pPr>
              <w:spacing w:after="40"/>
            </w:pPr>
            <w:r/>
            <w:r>
              <w:rPr>
                <w:rFonts w:ascii="Aptos" w:hAnsi="Aptos"/>
                <w:b w:val="0"/>
                <w:color w:val="20202A"/>
                <w:sz w:val="18"/>
              </w:rPr>
              <w:t>Prepared for</w:t>
            </w:r>
          </w:p>
        </w:tc>
        <w:tc>
          <w:tcPr>
            <w:tcW w:type="dxa" w:w="7704"/>
            <w:vAlign w:val="center"/>
          </w:tcPr>
          <w:p>
            <w:pPr>
              <w:spacing w:after="40"/>
            </w:pPr>
            <w:r/>
            <w:r>
              <w:rPr>
                <w:rFonts w:ascii="Aptos" w:hAnsi="Aptos"/>
                <w:b w:val="0"/>
                <w:color w:val="20202A"/>
                <w:sz w:val="18"/>
              </w:rPr>
              <w:t>APFIS project handover and university project review</w:t>
            </w:r>
          </w:p>
        </w:tc>
      </w:tr>
      <w:tr>
        <w:tc>
          <w:tcPr>
            <w:tcW w:type="dxa" w:w="2088"/>
            <w:vAlign w:val="center"/>
            <w:shd w:fill="F7F5FA"/>
          </w:tcPr>
          <w:p>
            <w:pPr>
              <w:spacing w:after="40"/>
            </w:pPr>
            <w:r/>
            <w:r>
              <w:rPr>
                <w:rFonts w:ascii="Aptos" w:hAnsi="Aptos"/>
                <w:b w:val="0"/>
                <w:color w:val="20202A"/>
                <w:sz w:val="18"/>
              </w:rPr>
              <w:t>Authors</w:t>
            </w:r>
          </w:p>
        </w:tc>
        <w:tc>
          <w:tcPr>
            <w:tcW w:type="dxa" w:w="7704"/>
            <w:vAlign w:val="center"/>
            <w:shd w:fill="F7F5FA"/>
          </w:tcPr>
          <w:p>
            <w:pPr>
              <w:spacing w:after="40"/>
            </w:pPr>
            <w:r/>
            <w:r>
              <w:rPr>
                <w:rFonts w:ascii="Aptos" w:hAnsi="Aptos"/>
                <w:b w:val="0"/>
                <w:color w:val="20202A"/>
                <w:sz w:val="18"/>
              </w:rPr>
              <w:t>Gosego Sebaetse and Thamsanqa Ndlakuse</w:t>
            </w:r>
          </w:p>
        </w:tc>
      </w:tr>
      <w:tr>
        <w:tc>
          <w:tcPr>
            <w:tcW w:type="dxa" w:w="2088"/>
            <w:vAlign w:val="center"/>
          </w:tcPr>
          <w:p>
            <w:pPr>
              <w:spacing w:after="40"/>
            </w:pPr>
            <w:r/>
            <w:r>
              <w:rPr>
                <w:rFonts w:ascii="Aptos" w:hAnsi="Aptos"/>
                <w:b w:val="0"/>
                <w:color w:val="20202A"/>
                <w:sz w:val="18"/>
              </w:rPr>
              <w:t>Version</w:t>
            </w:r>
          </w:p>
        </w:tc>
        <w:tc>
          <w:tcPr>
            <w:tcW w:type="dxa" w:w="7704"/>
            <w:vAlign w:val="center"/>
          </w:tcPr>
          <w:p>
            <w:pPr>
              <w:spacing w:after="40"/>
            </w:pPr>
            <w:r/>
            <w:r>
              <w:rPr>
                <w:rFonts w:ascii="Aptos" w:hAnsi="Aptos"/>
                <w:b w:val="0"/>
                <w:color w:val="20202A"/>
                <w:sz w:val="18"/>
              </w:rPr>
              <w:t>1.0</w:t>
            </w:r>
          </w:p>
        </w:tc>
      </w:tr>
      <w:tr>
        <w:tc>
          <w:tcPr>
            <w:tcW w:type="dxa" w:w="2088"/>
            <w:vAlign w:val="center"/>
            <w:shd w:fill="F7F5FA"/>
          </w:tcPr>
          <w:p>
            <w:pPr>
              <w:spacing w:after="40"/>
            </w:pPr>
            <w:r/>
            <w:r>
              <w:rPr>
                <w:rFonts w:ascii="Aptos" w:hAnsi="Aptos"/>
                <w:b w:val="0"/>
                <w:color w:val="20202A"/>
                <w:sz w:val="18"/>
              </w:rPr>
              <w:t>Prepared</w:t>
            </w:r>
          </w:p>
        </w:tc>
        <w:tc>
          <w:tcPr>
            <w:tcW w:type="dxa" w:w="7704"/>
            <w:vAlign w:val="center"/>
            <w:shd w:fill="F7F5FA"/>
          </w:tcPr>
          <w:p>
            <w:pPr>
              <w:spacing w:after="40"/>
            </w:pPr>
            <w:r/>
            <w:r>
              <w:rPr>
                <w:rFonts w:ascii="Aptos" w:hAnsi="Aptos"/>
                <w:b w:val="0"/>
                <w:color w:val="20202A"/>
                <w:sz w:val="18"/>
              </w:rPr>
              <w:t>29 October 2026</w:t>
            </w:r>
          </w:p>
        </w:tc>
      </w:tr>
      <w:tr>
        <w:tc>
          <w:tcPr>
            <w:tcW w:type="dxa" w:w="2088"/>
            <w:vAlign w:val="center"/>
          </w:tcPr>
          <w:p>
            <w:pPr>
              <w:spacing w:after="40"/>
            </w:pPr>
            <w:r/>
            <w:r>
              <w:rPr>
                <w:rFonts w:ascii="Aptos" w:hAnsi="Aptos"/>
                <w:b w:val="0"/>
                <w:color w:val="20202A"/>
                <w:sz w:val="18"/>
              </w:rPr>
              <w:t>Audience</w:t>
            </w:r>
          </w:p>
        </w:tc>
        <w:tc>
          <w:tcPr>
            <w:tcW w:type="dxa" w:w="7704"/>
            <w:vAlign w:val="center"/>
          </w:tcPr>
          <w:p>
            <w:pPr>
              <w:spacing w:after="40"/>
            </w:pPr>
            <w:r/>
            <w:r>
              <w:rPr>
                <w:rFonts w:ascii="Aptos" w:hAnsi="Aptos"/>
                <w:b w:val="0"/>
                <w:color w:val="20202A"/>
                <w:sz w:val="18"/>
              </w:rPr>
              <w:t>Developers, maintainers and technical reviewers</w:t>
            </w:r>
          </w:p>
        </w:tc>
      </w:tr>
    </w:tbl>
    <w:p>
      <w:pPr>
        <w:spacing w:after="40"/>
      </w:pPr>
    </w:p>
    <w:p>
      <w:pPr>
        <w:pStyle w:val="Heading1"/>
      </w:pPr>
      <w:r>
        <w:t>About this manual</w:t>
      </w:r>
    </w:p>
    <w:p>
      <w:r>
        <w:t>Architecture, local setup, data flow and implementation notes This guide describes the APFIS implementation in the repository snapshot reviewed for this document. The example manuals supplied with the request informed the section structure only; their AACMS features and claims are not part of APFIS.</w:t>
      </w:r>
    </w:p>
    <w:p>
      <w:r>
        <w:t>Implementation note: APFIS is a prototype for local demonstration and academic review. It is not connected to an institutional learning management system, student information system, email service, or production database.</w:t>
      </w:r>
    </w:p>
    <w:p>
      <w:r>
        <w:br w:type="page"/>
      </w:r>
    </w:p>
    <w:p>
      <w:pPr>
        <w:pStyle w:val="Heading1"/>
      </w:pPr>
      <w:r>
        <w:t>Contents</w:t>
      </w:r>
    </w:p>
    <w:p>
      <w:pPr>
        <w:pStyle w:val="ListBullet"/>
        <w:spacing w:after="60"/>
      </w:pPr>
      <w:r>
        <w:t>1. Purpose and implementation scope</w:t>
      </w:r>
    </w:p>
    <w:p>
      <w:pPr>
        <w:pStyle w:val="ListBullet"/>
        <w:spacing w:after="60"/>
      </w:pPr>
      <w:r>
        <w:t>2. System architecture</w:t>
      </w:r>
    </w:p>
    <w:p>
      <w:pPr>
        <w:pStyle w:val="ListBullet"/>
        <w:spacing w:after="60"/>
      </w:pPr>
      <w:r>
        <w:t>3. Technology and prerequisites</w:t>
      </w:r>
    </w:p>
    <w:p>
      <w:pPr>
        <w:pStyle w:val="ListBullet"/>
        <w:spacing w:after="60"/>
      </w:pPr>
      <w:r>
        <w:t>4. Repository map</w:t>
      </w:r>
    </w:p>
    <w:p>
      <w:pPr>
        <w:pStyle w:val="ListBullet"/>
        <w:spacing w:after="60"/>
      </w:pPr>
      <w:r>
        <w:t>5. Local setup and operation</w:t>
      </w:r>
    </w:p>
    <w:p>
      <w:pPr>
        <w:pStyle w:val="ListBullet"/>
        <w:spacing w:after="60"/>
      </w:pPr>
      <w:r>
        <w:t>6. Data model and privacy boundaries</w:t>
      </w:r>
    </w:p>
    <w:p>
      <w:pPr>
        <w:pStyle w:val="ListBullet"/>
        <w:spacing w:after="60"/>
      </w:pPr>
      <w:r>
        <w:t>7. Calculations and decision logic</w:t>
      </w:r>
    </w:p>
    <w:p>
      <w:pPr>
        <w:pStyle w:val="ListBullet"/>
        <w:spacing w:after="60"/>
      </w:pPr>
      <w:r>
        <w:t>8. Routes and user interface</w:t>
      </w:r>
    </w:p>
    <w:p>
      <w:pPr>
        <w:pStyle w:val="ListBullet"/>
        <w:spacing w:after="60"/>
      </w:pPr>
      <w:r>
        <w:t>9. Validation, testing and maintenance</w:t>
      </w:r>
    </w:p>
    <w:p>
      <w:pPr>
        <w:pStyle w:val="ListBullet"/>
        <w:spacing w:after="60"/>
      </w:pPr>
      <w:r>
        <w:t>10. Limitations and future integration</w:t>
      </w:r>
    </w:p>
    <w:p>
      <w:pPr>
        <w:pStyle w:val="ListBullet"/>
        <w:spacing w:after="60"/>
      </w:pPr>
      <w:r>
        <w:t>Appendix A. Common commands</w:t>
      </w:r>
    </w:p>
    <w:p>
      <w:pPr>
        <w:pStyle w:val="ListBullet"/>
        <w:spacing w:after="60"/>
      </w:pPr>
      <w:r>
        <w:t>Appendix B. Source files to inspect first</w:t>
      </w:r>
    </w:p>
    <w:p>
      <w:pPr>
        <w:pStyle w:val="ListBullet"/>
        <w:spacing w:after="60"/>
      </w:pPr>
      <w:r>
        <w:t>Appendix C. Glossary</w:t>
      </w:r>
    </w:p>
    <w:p>
      <w:r>
        <w:br w:type="page"/>
      </w:r>
    </w:p>
    <w:p>
      <w:pPr>
        <w:pStyle w:val="Heading1"/>
      </w:pPr>
      <w:r>
        <w:t>1. Purpose and implementation scope</w:t>
      </w:r>
    </w:p>
    <w:p>
      <w:r>
        <w:t>This manual helps a developer run APFIS locally, locate the main implementation areas, understand how the two applications handle data, and maintain the calculation workflows. It documents behaviour found in the current source code. It does not treat research goals, earlier specifications, or the example AACMS manuals as evidence that an unimplemented feature exists.</w:t>
      </w:r>
    </w:p>
    <w:p>
      <w:r>
        <w:t>APFIS is a suite with a landing page and two independent Flask applications: a lecturer Decision Support System (DSS) and a Student Performance Assistant. The lecturer tool analyses a cohort and assessment plan. The student tool lets one student model a module and explore marks needed in remaining assessments.</w:t>
      </w:r>
    </w:p>
    <w:p>
      <w:pPr>
        <w:pStyle w:val="Heading1"/>
      </w:pPr>
      <w:r>
        <w:t>2. System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vAlign w:val="center"/>
            <w:shd w:fill="4C237F"/>
          </w:tcPr>
          <w:p>
            <w:pPr>
              <w:spacing w:after="40"/>
            </w:pPr>
            <w:r/>
            <w:r>
              <w:rPr>
                <w:rFonts w:ascii="Aptos" w:hAnsi="Aptos"/>
                <w:b/>
                <w:color w:val="FFFFFF"/>
                <w:sz w:val="18"/>
              </w:rPr>
              <w:t>Component</w:t>
            </w:r>
          </w:p>
        </w:tc>
        <w:tc>
          <w:tcPr>
            <w:tcW w:type="dxa" w:w="3600"/>
            <w:vAlign w:val="center"/>
            <w:shd w:fill="4C237F"/>
          </w:tcPr>
          <w:p>
            <w:pPr>
              <w:spacing w:after="40"/>
            </w:pPr>
            <w:r/>
            <w:r>
              <w:rPr>
                <w:rFonts w:ascii="Aptos" w:hAnsi="Aptos"/>
                <w:b/>
                <w:color w:val="FFFFFF"/>
                <w:sz w:val="18"/>
              </w:rPr>
              <w:t>Implementation</w:t>
            </w:r>
          </w:p>
        </w:tc>
        <w:tc>
          <w:tcPr>
            <w:tcW w:type="dxa" w:w="4464"/>
            <w:vAlign w:val="center"/>
            <w:shd w:fill="4C237F"/>
          </w:tcPr>
          <w:p>
            <w:pPr>
              <w:spacing w:after="40"/>
            </w:pPr>
            <w:r/>
            <w:r>
              <w:rPr>
                <w:rFonts w:ascii="Aptos" w:hAnsi="Aptos"/>
                <w:b/>
                <w:color w:val="FFFFFF"/>
                <w:sz w:val="18"/>
              </w:rPr>
              <w:t>Data boundary</w:t>
            </w:r>
          </w:p>
        </w:tc>
      </w:tr>
      <w:tr>
        <w:tc>
          <w:tcPr>
            <w:tcW w:type="dxa" w:w="1728"/>
            <w:vAlign w:val="center"/>
          </w:tcPr>
          <w:p>
            <w:pPr>
              <w:spacing w:after="40"/>
            </w:pPr>
            <w:r/>
            <w:r>
              <w:rPr>
                <w:rFonts w:ascii="Aptos" w:hAnsi="Aptos"/>
                <w:b w:val="0"/>
                <w:color w:val="20202A"/>
                <w:sz w:val="18"/>
              </w:rPr>
              <w:t>Landing page</w:t>
            </w:r>
          </w:p>
        </w:tc>
        <w:tc>
          <w:tcPr>
            <w:tcW w:type="dxa" w:w="3600"/>
            <w:vAlign w:val="center"/>
          </w:tcPr>
          <w:p>
            <w:pPr>
              <w:spacing w:after="40"/>
            </w:pPr>
            <w:r/>
            <w:r>
              <w:rPr>
                <w:rFonts w:ascii="Aptos" w:hAnsi="Aptos"/>
                <w:b w:val="0"/>
                <w:color w:val="20202A"/>
                <w:sz w:val="18"/>
              </w:rPr>
              <w:t>Small Flask server serving gateway/index.html on port 5000</w:t>
            </w:r>
          </w:p>
        </w:tc>
        <w:tc>
          <w:tcPr>
            <w:tcW w:type="dxa" w:w="4464"/>
            <w:vAlign w:val="center"/>
          </w:tcPr>
          <w:p>
            <w:pPr>
              <w:spacing w:after="40"/>
            </w:pPr>
            <w:r/>
            <w:r>
              <w:rPr>
                <w:rFonts w:ascii="Aptos" w:hAnsi="Aptos"/>
                <w:b w:val="0"/>
                <w:color w:val="20202A"/>
                <w:sz w:val="18"/>
              </w:rPr>
              <w:t>Links to the two apps; it does not proxy or exchange academic records.</w:t>
            </w:r>
          </w:p>
        </w:tc>
      </w:tr>
      <w:tr>
        <w:tc>
          <w:tcPr>
            <w:tcW w:type="dxa" w:w="1728"/>
            <w:vAlign w:val="center"/>
            <w:shd w:fill="F7F5FA"/>
          </w:tcPr>
          <w:p>
            <w:pPr>
              <w:spacing w:after="40"/>
            </w:pPr>
            <w:r/>
            <w:r>
              <w:rPr>
                <w:rFonts w:ascii="Aptos" w:hAnsi="Aptos"/>
                <w:b w:val="0"/>
                <w:color w:val="20202A"/>
                <w:sz w:val="18"/>
              </w:rPr>
              <w:t>Lecturer DSS</w:t>
            </w:r>
          </w:p>
        </w:tc>
        <w:tc>
          <w:tcPr>
            <w:tcW w:type="dxa" w:w="3600"/>
            <w:vAlign w:val="center"/>
            <w:shd w:fill="F7F5FA"/>
          </w:tcPr>
          <w:p>
            <w:pPr>
              <w:spacing w:after="40"/>
            </w:pPr>
            <w:r/>
            <w:r>
              <w:rPr>
                <w:rFonts w:ascii="Aptos" w:hAnsi="Aptos"/>
                <w:b w:val="0"/>
                <w:color w:val="20202A"/>
                <w:sz w:val="18"/>
              </w:rPr>
              <w:t>Flask app factory, routes, templates, Python calculation services</w:t>
            </w:r>
          </w:p>
        </w:tc>
        <w:tc>
          <w:tcPr>
            <w:tcW w:type="dxa" w:w="4464"/>
            <w:vAlign w:val="center"/>
            <w:shd w:fill="F7F5FA"/>
          </w:tcPr>
          <w:p>
            <w:pPr>
              <w:spacing w:after="40"/>
            </w:pPr>
            <w:r/>
            <w:r>
              <w:rPr>
                <w:rFonts w:ascii="Aptos" w:hAnsi="Aptos"/>
                <w:b w:val="0"/>
                <w:color w:val="20202A"/>
                <w:sz w:val="18"/>
              </w:rPr>
              <w:t>One process-level in-memory store; reset when that process restarts.</w:t>
            </w:r>
          </w:p>
        </w:tc>
      </w:tr>
      <w:tr>
        <w:tc>
          <w:tcPr>
            <w:tcW w:type="dxa" w:w="1728"/>
            <w:vAlign w:val="center"/>
          </w:tcPr>
          <w:p>
            <w:pPr>
              <w:spacing w:after="40"/>
            </w:pPr>
            <w:r/>
            <w:r>
              <w:rPr>
                <w:rFonts w:ascii="Aptos" w:hAnsi="Aptos"/>
                <w:b w:val="0"/>
                <w:color w:val="20202A"/>
                <w:sz w:val="18"/>
              </w:rPr>
              <w:t>Student Performance Assistant</w:t>
            </w:r>
          </w:p>
        </w:tc>
        <w:tc>
          <w:tcPr>
            <w:tcW w:type="dxa" w:w="3600"/>
            <w:vAlign w:val="center"/>
          </w:tcPr>
          <w:p>
            <w:pPr>
              <w:spacing w:after="40"/>
            </w:pPr>
            <w:r/>
            <w:r>
              <w:rPr>
                <w:rFonts w:ascii="Aptos" w:hAnsi="Aptos"/>
                <w:b w:val="0"/>
                <w:color w:val="20202A"/>
                <w:sz w:val="18"/>
              </w:rPr>
              <w:t>Flask serves Jinja templates and static JavaScript; browser computes workflow results</w:t>
            </w:r>
          </w:p>
        </w:tc>
        <w:tc>
          <w:tcPr>
            <w:tcW w:type="dxa" w:w="4464"/>
            <w:vAlign w:val="center"/>
          </w:tcPr>
          <w:p>
            <w:pPr>
              <w:spacing w:after="40"/>
            </w:pPr>
            <w:r/>
            <w:r>
              <w:rPr>
                <w:rFonts w:ascii="Aptos" w:hAnsi="Aptos"/>
                <w:b w:val="0"/>
                <w:color w:val="20202A"/>
                <w:sz w:val="18"/>
              </w:rPr>
              <w:t>Student model and intermediate calculations use browser localStorage.</w:t>
            </w:r>
          </w:p>
        </w:tc>
      </w:tr>
    </w:tbl>
    <w:p>
      <w:pPr>
        <w:spacing w:after="40"/>
      </w:pPr>
    </w:p>
    <w:p>
      <w:r>
        <w:t>The separate applications are intentional. They each contain their own backend package and app/config modules. The landing page links to each local service; no API, shared database, common session, or data synchronisation between lecturer and student views is implemented.</w:t>
      </w:r>
    </w:p>
    <w:p>
      <w:pPr>
        <w:spacing w:before="60" w:after="160"/>
        <w:ind w:left="259"/>
      </w:pPr>
      <w:r>
        <w:rPr>
          <w:rFonts w:ascii="Consolas" w:hAnsi="Consolas"/>
          <w:color w:val="4C237F"/>
          <w:sz w:val="17"/>
        </w:rPr>
        <w:t>Browser → gateway :5000 → lecturer DSS :5001</w:t>
        <w:br/>
        <w:t xml:space="preserve">                          ↘ Student Performance Assistant :5002</w:t>
        <w:br/>
        <w:t>Lecturer browser ↔ lecturer Flask process memory</w:t>
        <w:br/>
        <w:t>Student browser localStorage ↔ student workflow JavaScript</w:t>
      </w:r>
    </w:p>
    <w:p>
      <w:pPr>
        <w:pStyle w:val="Heading1"/>
      </w:pPr>
      <w:r>
        <w:t>3. Technology and prerequisites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vAlign w:val="center"/>
            <w:shd w:fill="4C237F"/>
          </w:tcPr>
          <w:p>
            <w:pPr>
              <w:spacing w:after="40"/>
            </w:pPr>
            <w:r/>
            <w:r>
              <w:rPr>
                <w:rFonts w:ascii="Aptos" w:hAnsi="Aptos"/>
                <w:b/>
                <w:color w:val="FFFFFF"/>
                <w:sz w:val="18"/>
              </w:rPr>
              <w:t>Area</w:t>
            </w:r>
          </w:p>
        </w:tc>
        <w:tc>
          <w:tcPr>
            <w:tcW w:type="dxa" w:w="7488"/>
            <w:vAlign w:val="center"/>
            <w:shd w:fill="4C237F"/>
          </w:tcPr>
          <w:p>
            <w:pPr>
              <w:spacing w:after="40"/>
            </w:pPr>
            <w:r/>
            <w:r>
              <w:rPr>
                <w:rFonts w:ascii="Aptos" w:hAnsi="Aptos"/>
                <w:b/>
                <w:color w:val="FFFFFF"/>
                <w:sz w:val="18"/>
              </w:rPr>
              <w:t>Observed technology</w:t>
            </w:r>
          </w:p>
        </w:tc>
      </w:tr>
      <w:tr>
        <w:tc>
          <w:tcPr>
            <w:tcW w:type="dxa" w:w="2160"/>
            <w:vAlign w:val="center"/>
          </w:tcPr>
          <w:p>
            <w:pPr>
              <w:spacing w:after="40"/>
            </w:pPr>
            <w:r/>
            <w:r>
              <w:rPr>
                <w:rFonts w:ascii="Aptos" w:hAnsi="Aptos"/>
                <w:b w:val="0"/>
                <w:color w:val="20202A"/>
                <w:sz w:val="18"/>
              </w:rPr>
              <w:t>Runtime</w:t>
            </w:r>
          </w:p>
        </w:tc>
        <w:tc>
          <w:tcPr>
            <w:tcW w:type="dxa" w:w="7488"/>
            <w:vAlign w:val="center"/>
          </w:tcPr>
          <w:p>
            <w:pPr>
              <w:spacing w:after="40"/>
            </w:pPr>
            <w:r/>
            <w:r>
              <w:rPr>
                <w:rFonts w:ascii="Aptos" w:hAnsi="Aptos"/>
                <w:b w:val="0"/>
                <w:color w:val="20202A"/>
                <w:sz w:val="18"/>
              </w:rPr>
              <w:t>Python 3; Flask applications</w:t>
            </w:r>
          </w:p>
        </w:tc>
      </w:tr>
      <w:tr>
        <w:tc>
          <w:tcPr>
            <w:tcW w:type="dxa" w:w="2160"/>
            <w:vAlign w:val="center"/>
            <w:shd w:fill="F7F5FA"/>
          </w:tcPr>
          <w:p>
            <w:pPr>
              <w:spacing w:after="40"/>
            </w:pPr>
            <w:r/>
            <w:r>
              <w:rPr>
                <w:rFonts w:ascii="Aptos" w:hAnsi="Aptos"/>
                <w:b w:val="0"/>
                <w:color w:val="20202A"/>
                <w:sz w:val="18"/>
              </w:rPr>
              <w:t>Lecturer calculations</w:t>
            </w:r>
          </w:p>
        </w:tc>
        <w:tc>
          <w:tcPr>
            <w:tcW w:type="dxa" w:w="7488"/>
            <w:vAlign w:val="center"/>
            <w:shd w:fill="F7F5FA"/>
          </w:tcPr>
          <w:p>
            <w:pPr>
              <w:spacing w:after="40"/>
            </w:pPr>
            <w:r/>
            <w:r>
              <w:rPr>
                <w:rFonts w:ascii="Aptos" w:hAnsi="Aptos"/>
                <w:b w:val="0"/>
                <w:color w:val="20202A"/>
                <w:sz w:val="18"/>
              </w:rPr>
              <w:t>NumPy, pandas, SciPy optimisation; PuLP is listed among project dependencies</w:t>
            </w:r>
          </w:p>
        </w:tc>
      </w:tr>
      <w:tr>
        <w:tc>
          <w:tcPr>
            <w:tcW w:type="dxa" w:w="2160"/>
            <w:vAlign w:val="center"/>
          </w:tcPr>
          <w:p>
            <w:pPr>
              <w:spacing w:after="40"/>
            </w:pPr>
            <w:r/>
            <w:r>
              <w:rPr>
                <w:rFonts w:ascii="Aptos" w:hAnsi="Aptos"/>
                <w:b w:val="0"/>
                <w:color w:val="20202A"/>
                <w:sz w:val="18"/>
              </w:rPr>
              <w:t>Student interface</w:t>
            </w:r>
          </w:p>
        </w:tc>
        <w:tc>
          <w:tcPr>
            <w:tcW w:type="dxa" w:w="7488"/>
            <w:vAlign w:val="center"/>
          </w:tcPr>
          <w:p>
            <w:pPr>
              <w:spacing w:after="40"/>
            </w:pPr>
            <w:r/>
            <w:r>
              <w:rPr>
                <w:rFonts w:ascii="Aptos" w:hAnsi="Aptos"/>
                <w:b w:val="0"/>
                <w:color w:val="20202A"/>
                <w:sz w:val="18"/>
              </w:rPr>
              <w:t>Flask/Jinja templates, Bootstrap styling, browser JavaScript and localStorage</w:t>
            </w:r>
          </w:p>
        </w:tc>
      </w:tr>
      <w:tr>
        <w:tc>
          <w:tcPr>
            <w:tcW w:type="dxa" w:w="2160"/>
            <w:vAlign w:val="center"/>
            <w:shd w:fill="F7F5FA"/>
          </w:tcPr>
          <w:p>
            <w:pPr>
              <w:spacing w:after="40"/>
            </w:pPr>
            <w:r/>
            <w:r>
              <w:rPr>
                <w:rFonts w:ascii="Aptos" w:hAnsi="Aptos"/>
                <w:b w:val="0"/>
                <w:color w:val="20202A"/>
                <w:sz w:val="18"/>
              </w:rPr>
              <w:t>Persistence</w:t>
            </w:r>
          </w:p>
        </w:tc>
        <w:tc>
          <w:tcPr>
            <w:tcW w:type="dxa" w:w="7488"/>
            <w:vAlign w:val="center"/>
            <w:shd w:fill="F7F5FA"/>
          </w:tcPr>
          <w:p>
            <w:pPr>
              <w:spacing w:after="40"/>
            </w:pPr>
            <w:r/>
            <w:r>
              <w:rPr>
                <w:rFonts w:ascii="Aptos" w:hAnsi="Aptos"/>
                <w:b w:val="0"/>
                <w:color w:val="20202A"/>
                <w:sz w:val="18"/>
              </w:rPr>
              <w:t>No database is configured in the inspected apps; lecturer store is in memory and student data is browser-local</w:t>
            </w:r>
          </w:p>
        </w:tc>
      </w:tr>
      <w:tr>
        <w:tc>
          <w:tcPr>
            <w:tcW w:type="dxa" w:w="2160"/>
            <w:vAlign w:val="center"/>
          </w:tcPr>
          <w:p>
            <w:pPr>
              <w:spacing w:after="40"/>
            </w:pPr>
            <w:r/>
            <w:r>
              <w:rPr>
                <w:rFonts w:ascii="Aptos" w:hAnsi="Aptos"/>
                <w:b w:val="0"/>
                <w:color w:val="20202A"/>
                <w:sz w:val="18"/>
              </w:rPr>
              <w:t>External service</w:t>
            </w:r>
          </w:p>
        </w:tc>
        <w:tc>
          <w:tcPr>
            <w:tcW w:type="dxa" w:w="7488"/>
            <w:vAlign w:val="center"/>
          </w:tcPr>
          <w:p>
            <w:pPr>
              <w:spacing w:after="40"/>
            </w:pPr>
            <w:r/>
            <w:r>
              <w:rPr>
                <w:rFonts w:ascii="Aptos" w:hAnsi="Aptos"/>
                <w:b w:val="0"/>
                <w:color w:val="20202A"/>
                <w:sz w:val="18"/>
              </w:rPr>
              <w:t>No LMS integration, email/SMS delivery, or remote student-data source is present</w:t>
            </w:r>
          </w:p>
        </w:tc>
      </w:tr>
    </w:tbl>
    <w:p>
      <w:pPr>
        <w:spacing w:after="40"/>
      </w:pPr>
    </w:p>
    <w:p>
      <w:r>
        <w:t>Use a current Python 3 installation and a modern browser. Install the repository-level requirements into an isolated virtual environment. Verify package versions in the requirements files when reproducing a specific build.</w:t>
      </w:r>
    </w:p>
    <w:p>
      <w:pPr>
        <w:pStyle w:val="Heading1"/>
      </w:pPr>
      <w:r>
        <w:t>4. Repository map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744"/>
            <w:vAlign w:val="center"/>
            <w:shd w:fill="4C237F"/>
          </w:tcPr>
          <w:p>
            <w:pPr>
              <w:spacing w:after="40"/>
            </w:pPr>
            <w:r/>
            <w:r>
              <w:rPr>
                <w:rFonts w:ascii="Aptos" w:hAnsi="Aptos"/>
                <w:b/>
                <w:color w:val="FFFFFF"/>
                <w:sz w:val="18"/>
              </w:rPr>
              <w:t>Path</w:t>
            </w:r>
          </w:p>
        </w:tc>
        <w:tc>
          <w:tcPr>
            <w:tcW w:type="dxa" w:w="5904"/>
            <w:vAlign w:val="center"/>
            <w:shd w:fill="4C237F"/>
          </w:tcPr>
          <w:p>
            <w:pPr>
              <w:spacing w:after="40"/>
            </w:pPr>
            <w:r/>
            <w:r>
              <w:rPr>
                <w:rFonts w:ascii="Aptos" w:hAnsi="Aptos"/>
                <w:b/>
                <w:color w:val="FFFFFF"/>
                <w:sz w:val="18"/>
              </w:rPr>
              <w:t>Responsibility</w:t>
            </w:r>
          </w:p>
        </w:tc>
      </w:tr>
      <w:tr>
        <w:tc>
          <w:tcPr>
            <w:tcW w:type="dxa" w:w="3744"/>
            <w:vAlign w:val="center"/>
          </w:tcPr>
          <w:p>
            <w:pPr>
              <w:spacing w:after="40"/>
            </w:pPr>
            <w:r/>
            <w:r>
              <w:rPr>
                <w:rFonts w:ascii="Aptos" w:hAnsi="Aptos"/>
                <w:b w:val="0"/>
                <w:color w:val="20202A"/>
                <w:sz w:val="18"/>
              </w:rPr>
              <w:t>gateway/</w:t>
            </w:r>
          </w:p>
        </w:tc>
        <w:tc>
          <w:tcPr>
            <w:tcW w:type="dxa" w:w="5904"/>
            <w:vAlign w:val="center"/>
          </w:tcPr>
          <w:p>
            <w:pPr>
              <w:spacing w:after="40"/>
            </w:pPr>
            <w:r/>
            <w:r>
              <w:rPr>
                <w:rFonts w:ascii="Aptos" w:hAnsi="Aptos"/>
                <w:b w:val="0"/>
                <w:color w:val="20202A"/>
                <w:sz w:val="18"/>
              </w:rPr>
              <w:t>Landing page server and HTML entry point.</w:t>
            </w:r>
          </w:p>
        </w:tc>
      </w:tr>
      <w:tr>
        <w:tc>
          <w:tcPr>
            <w:tcW w:type="dxa" w:w="3744"/>
            <w:vAlign w:val="center"/>
            <w:shd w:fill="F7F5FA"/>
          </w:tcPr>
          <w:p>
            <w:pPr>
              <w:spacing w:after="40"/>
            </w:pPr>
            <w:r/>
            <w:r>
              <w:rPr>
                <w:rFonts w:ascii="Aptos" w:hAnsi="Aptos"/>
                <w:b w:val="0"/>
                <w:color w:val="20202A"/>
                <w:sz w:val="18"/>
              </w:rPr>
              <w:t>apps/lecturer/app.py, config.py</w:t>
            </w:r>
          </w:p>
        </w:tc>
        <w:tc>
          <w:tcPr>
            <w:tcW w:type="dxa" w:w="5904"/>
            <w:vAlign w:val="center"/>
            <w:shd w:fill="F7F5FA"/>
          </w:tcPr>
          <w:p>
            <w:pPr>
              <w:spacing w:after="40"/>
            </w:pPr>
            <w:r/>
            <w:r>
              <w:rPr>
                <w:rFonts w:ascii="Aptos" w:hAnsi="Aptos"/>
                <w:b w:val="0"/>
                <w:color w:val="20202A"/>
                <w:sz w:val="18"/>
              </w:rPr>
              <w:t>Lecturer Flask entry point and configuration.</w:t>
            </w:r>
          </w:p>
        </w:tc>
      </w:tr>
      <w:tr>
        <w:tc>
          <w:tcPr>
            <w:tcW w:type="dxa" w:w="3744"/>
            <w:vAlign w:val="center"/>
          </w:tcPr>
          <w:p>
            <w:pPr>
              <w:spacing w:after="40"/>
            </w:pPr>
            <w:r/>
            <w:r>
              <w:rPr>
                <w:rFonts w:ascii="Aptos" w:hAnsi="Aptos"/>
                <w:b w:val="0"/>
                <w:color w:val="20202A"/>
                <w:sz w:val="18"/>
              </w:rPr>
              <w:t>apps/lecturer/backend/routes/</w:t>
            </w:r>
          </w:p>
        </w:tc>
        <w:tc>
          <w:tcPr>
            <w:tcW w:type="dxa" w:w="5904"/>
            <w:vAlign w:val="center"/>
          </w:tcPr>
          <w:p>
            <w:pPr>
              <w:spacing w:after="40"/>
            </w:pPr>
            <w:r/>
            <w:r>
              <w:rPr>
                <w:rFonts w:ascii="Aptos" w:hAnsi="Aptos"/>
                <w:b w:val="0"/>
                <w:color w:val="20202A"/>
                <w:sz w:val="18"/>
              </w:rPr>
              <w:t>Module, student, cohort, home/dashboard and tutorial routes.</w:t>
            </w:r>
          </w:p>
        </w:tc>
      </w:tr>
      <w:tr>
        <w:tc>
          <w:tcPr>
            <w:tcW w:type="dxa" w:w="3744"/>
            <w:vAlign w:val="center"/>
            <w:shd w:fill="F7F5FA"/>
          </w:tcPr>
          <w:p>
            <w:pPr>
              <w:spacing w:after="40"/>
            </w:pPr>
            <w:r/>
            <w:r>
              <w:rPr>
                <w:rFonts w:ascii="Aptos" w:hAnsi="Aptos"/>
                <w:b w:val="0"/>
                <w:color w:val="20202A"/>
                <w:sz w:val="18"/>
              </w:rPr>
              <w:t>apps/lecturer/backend/algorithms/</w:t>
            </w:r>
          </w:p>
        </w:tc>
        <w:tc>
          <w:tcPr>
            <w:tcW w:type="dxa" w:w="5904"/>
            <w:vAlign w:val="center"/>
            <w:shd w:fill="F7F5FA"/>
          </w:tcPr>
          <w:p>
            <w:pPr>
              <w:spacing w:after="40"/>
            </w:pPr>
            <w:r/>
            <w:r>
              <w:rPr>
                <w:rFonts w:ascii="Aptos" w:hAnsi="Aptos"/>
                <w:b w:val="0"/>
                <w:color w:val="20202A"/>
                <w:sz w:val="18"/>
              </w:rPr>
              <w:t>Feasible bounds, target participation plan and cohort weight solver.</w:t>
            </w:r>
          </w:p>
        </w:tc>
      </w:tr>
      <w:tr>
        <w:tc>
          <w:tcPr>
            <w:tcW w:type="dxa" w:w="3744"/>
            <w:vAlign w:val="center"/>
          </w:tcPr>
          <w:p>
            <w:pPr>
              <w:spacing w:after="40"/>
            </w:pPr>
            <w:r/>
            <w:r>
              <w:rPr>
                <w:rFonts w:ascii="Aptos" w:hAnsi="Aptos"/>
                <w:b w:val="0"/>
                <w:color w:val="20202A"/>
                <w:sz w:val="18"/>
              </w:rPr>
              <w:t>apps/lecturer/backend/services/participation.py</w:t>
            </w:r>
          </w:p>
        </w:tc>
        <w:tc>
          <w:tcPr>
            <w:tcW w:type="dxa" w:w="5904"/>
            <w:vAlign w:val="center"/>
          </w:tcPr>
          <w:p>
            <w:pPr>
              <w:spacing w:after="40"/>
            </w:pPr>
            <w:r/>
            <w:r>
              <w:rPr>
                <w:rFonts w:ascii="Aptos" w:hAnsi="Aptos"/>
                <w:b w:val="0"/>
                <w:color w:val="20202A"/>
                <w:sz w:val="18"/>
              </w:rPr>
              <w:t>Shared best-N-of-M participation calculation and ranking rules.</w:t>
            </w:r>
          </w:p>
        </w:tc>
      </w:tr>
      <w:tr>
        <w:tc>
          <w:tcPr>
            <w:tcW w:type="dxa" w:w="3744"/>
            <w:vAlign w:val="center"/>
            <w:shd w:fill="F7F5FA"/>
          </w:tcPr>
          <w:p>
            <w:pPr>
              <w:spacing w:after="40"/>
            </w:pPr>
            <w:r/>
            <w:r>
              <w:rPr>
                <w:rFonts w:ascii="Aptos" w:hAnsi="Aptos"/>
                <w:b w:val="0"/>
                <w:color w:val="20202A"/>
                <w:sz w:val="18"/>
              </w:rPr>
              <w:t>apps/lecturer/backend/data/</w:t>
            </w:r>
          </w:p>
        </w:tc>
        <w:tc>
          <w:tcPr>
            <w:tcW w:type="dxa" w:w="5904"/>
            <w:vAlign w:val="center"/>
            <w:shd w:fill="F7F5FA"/>
          </w:tcPr>
          <w:p>
            <w:pPr>
              <w:spacing w:after="40"/>
            </w:pPr>
            <w:r/>
            <w:r>
              <w:rPr>
                <w:rFonts w:ascii="Aptos" w:hAnsi="Aptos"/>
                <w:b w:val="0"/>
                <w:color w:val="20202A"/>
                <w:sz w:val="18"/>
              </w:rPr>
              <w:t>In-memory store, data loader and simulated sample CSV.</w:t>
            </w:r>
          </w:p>
        </w:tc>
      </w:tr>
      <w:tr>
        <w:tc>
          <w:tcPr>
            <w:tcW w:type="dxa" w:w="3744"/>
            <w:vAlign w:val="center"/>
          </w:tcPr>
          <w:p>
            <w:pPr>
              <w:spacing w:after="40"/>
            </w:pPr>
            <w:r/>
            <w:r>
              <w:rPr>
                <w:rFonts w:ascii="Aptos" w:hAnsi="Aptos"/>
                <w:b w:val="0"/>
                <w:color w:val="20202A"/>
                <w:sz w:val="18"/>
              </w:rPr>
              <w:t>apps/lecturer/frontend/templates/ and static/</w:t>
            </w:r>
          </w:p>
        </w:tc>
        <w:tc>
          <w:tcPr>
            <w:tcW w:type="dxa" w:w="5904"/>
            <w:vAlign w:val="center"/>
          </w:tcPr>
          <w:p>
            <w:pPr>
              <w:spacing w:after="40"/>
            </w:pPr>
            <w:r/>
            <w:r>
              <w:rPr>
                <w:rFonts w:ascii="Aptos" w:hAnsi="Aptos"/>
                <w:b w:val="0"/>
                <w:color w:val="20202A"/>
                <w:sz w:val="18"/>
              </w:rPr>
              <w:t>Lecturer pages, styles and browser interactions.</w:t>
            </w:r>
          </w:p>
        </w:tc>
      </w:tr>
      <w:tr>
        <w:tc>
          <w:tcPr>
            <w:tcW w:type="dxa" w:w="3744"/>
            <w:vAlign w:val="center"/>
            <w:shd w:fill="F7F5FA"/>
          </w:tcPr>
          <w:p>
            <w:pPr>
              <w:spacing w:after="40"/>
            </w:pPr>
            <w:r/>
            <w:r>
              <w:rPr>
                <w:rFonts w:ascii="Aptos" w:hAnsi="Aptos"/>
                <w:b w:val="0"/>
                <w:color w:val="20202A"/>
                <w:sz w:val="18"/>
              </w:rPr>
              <w:t>apps/student/app.py and backend/</w:t>
            </w:r>
          </w:p>
        </w:tc>
        <w:tc>
          <w:tcPr>
            <w:tcW w:type="dxa" w:w="5904"/>
            <w:vAlign w:val="center"/>
            <w:shd w:fill="F7F5FA"/>
          </w:tcPr>
          <w:p>
            <w:pPr>
              <w:spacing w:after="40"/>
            </w:pPr>
            <w:r/>
            <w:r>
              <w:rPr>
                <w:rFonts w:ascii="Aptos" w:hAnsi="Aptos"/>
                <w:b w:val="0"/>
                <w:color w:val="20202A"/>
                <w:sz w:val="18"/>
              </w:rPr>
              <w:t>Student Flask app and page routes.</w:t>
            </w:r>
          </w:p>
        </w:tc>
      </w:tr>
      <w:tr>
        <w:tc>
          <w:tcPr>
            <w:tcW w:type="dxa" w:w="3744"/>
            <w:vAlign w:val="center"/>
          </w:tcPr>
          <w:p>
            <w:pPr>
              <w:spacing w:after="40"/>
            </w:pPr>
            <w:r/>
            <w:r>
              <w:rPr>
                <w:rFonts w:ascii="Aptos" w:hAnsi="Aptos"/>
                <w:b w:val="0"/>
                <w:color w:val="20202A"/>
                <w:sz w:val="18"/>
              </w:rPr>
              <w:t>apps/student/frontend/templates/</w:t>
            </w:r>
          </w:p>
        </w:tc>
        <w:tc>
          <w:tcPr>
            <w:tcW w:type="dxa" w:w="5904"/>
            <w:vAlign w:val="center"/>
          </w:tcPr>
          <w:p>
            <w:pPr>
              <w:spacing w:after="40"/>
            </w:pPr>
            <w:r/>
            <w:r>
              <w:rPr>
                <w:rFonts w:ascii="Aptos" w:hAnsi="Aptos"/>
                <w:b w:val="0"/>
                <w:color w:val="20202A"/>
                <w:sz w:val="18"/>
              </w:rPr>
              <w:t>Welcome, returning student and four workflow phase screens.</w:t>
            </w:r>
          </w:p>
        </w:tc>
      </w:tr>
      <w:tr>
        <w:tc>
          <w:tcPr>
            <w:tcW w:type="dxa" w:w="3744"/>
            <w:vAlign w:val="center"/>
            <w:shd w:fill="F7F5FA"/>
          </w:tcPr>
          <w:p>
            <w:pPr>
              <w:spacing w:after="40"/>
            </w:pPr>
            <w:r/>
            <w:r>
              <w:rPr>
                <w:rFonts w:ascii="Aptos" w:hAnsi="Aptos"/>
                <w:b w:val="0"/>
                <w:color w:val="20202A"/>
                <w:sz w:val="18"/>
              </w:rPr>
              <w:t>apps/student/frontend/static/js/app.js</w:t>
            </w:r>
          </w:p>
        </w:tc>
        <w:tc>
          <w:tcPr>
            <w:tcW w:type="dxa" w:w="5904"/>
            <w:vAlign w:val="center"/>
            <w:shd w:fill="F7F5FA"/>
          </w:tcPr>
          <w:p>
            <w:pPr>
              <w:spacing w:after="40"/>
            </w:pPr>
            <w:r/>
            <w:r>
              <w:rPr>
                <w:rFonts w:ascii="Aptos" w:hAnsi="Aptos"/>
                <w:b w:val="0"/>
                <w:color w:val="20202A"/>
                <w:sz w:val="18"/>
              </w:rPr>
              <w:t>Student-side model, profile, improvement-option and summary calculations.</w:t>
            </w:r>
          </w:p>
        </w:tc>
      </w:tr>
      <w:tr>
        <w:tc>
          <w:tcPr>
            <w:tcW w:type="dxa" w:w="3744"/>
            <w:vAlign w:val="center"/>
          </w:tcPr>
          <w:p>
            <w:pPr>
              <w:spacing w:after="40"/>
            </w:pPr>
            <w:r/>
            <w:r>
              <w:rPr>
                <w:rFonts w:ascii="Aptos" w:hAnsi="Aptos"/>
                <w:b w:val="0"/>
                <w:color w:val="20202A"/>
                <w:sz w:val="18"/>
              </w:rPr>
              <w:t>apps/student/frontend/static/js/returning.js</w:t>
            </w:r>
          </w:p>
        </w:tc>
        <w:tc>
          <w:tcPr>
            <w:tcW w:type="dxa" w:w="5904"/>
            <w:vAlign w:val="center"/>
          </w:tcPr>
          <w:p>
            <w:pPr>
              <w:spacing w:after="40"/>
            </w:pPr>
            <w:r/>
            <w:r>
              <w:rPr>
                <w:rFonts w:ascii="Aptos" w:hAnsi="Aptos"/>
                <w:b w:val="0"/>
                <w:color w:val="20202A"/>
                <w:sz w:val="18"/>
              </w:rPr>
              <w:t>CSV import and model reconstruction for a returning student.</w:t>
            </w:r>
          </w:p>
        </w:tc>
      </w:tr>
      <w:tr>
        <w:tc>
          <w:tcPr>
            <w:tcW w:type="dxa" w:w="3744"/>
            <w:vAlign w:val="center"/>
            <w:shd w:fill="F7F5FA"/>
          </w:tcPr>
          <w:p>
            <w:pPr>
              <w:spacing w:after="40"/>
            </w:pPr>
            <w:r/>
            <w:r>
              <w:rPr>
                <w:rFonts w:ascii="Aptos" w:hAnsi="Aptos"/>
                <w:b w:val="0"/>
                <w:color w:val="20202A"/>
                <w:sz w:val="18"/>
              </w:rPr>
              <w:t>product-film/output/stills/</w:t>
            </w:r>
          </w:p>
        </w:tc>
        <w:tc>
          <w:tcPr>
            <w:tcW w:type="dxa" w:w="5904"/>
            <w:vAlign w:val="center"/>
            <w:shd w:fill="F7F5FA"/>
          </w:tcPr>
          <w:p>
            <w:pPr>
              <w:spacing w:after="40"/>
            </w:pPr>
            <w:r/>
            <w:r>
              <w:rPr>
                <w:rFonts w:ascii="Aptos" w:hAnsi="Aptos"/>
                <w:b w:val="0"/>
                <w:color w:val="20202A"/>
                <w:sz w:val="18"/>
              </w:rPr>
              <w:t>Approved film stills used as illustrative interface references in the user manual.</w:t>
            </w:r>
          </w:p>
        </w:tc>
      </w:tr>
    </w:tbl>
    <w:p>
      <w:pPr>
        <w:spacing w:after="40"/>
      </w:pPr>
    </w:p>
    <w:p>
      <w:pPr>
        <w:pStyle w:val="Heading1"/>
      </w:pPr>
      <w:r>
        <w:t>5. Local setup and operation</w:t>
      </w:r>
    </w:p>
    <w:p>
      <w:pPr>
        <w:pStyle w:val="Heading2"/>
      </w:pPr>
      <w:r>
        <w:t>5.1 Create an environment and install packages</w:t>
      </w:r>
    </w:p>
    <w:p>
      <w:pPr>
        <w:spacing w:before="60" w:after="160"/>
        <w:ind w:left="259"/>
      </w:pPr>
      <w:r>
        <w:rPr>
          <w:rFonts w:ascii="Consolas" w:hAnsi="Consolas"/>
          <w:color w:val="4C237F"/>
          <w:sz w:val="17"/>
        </w:rPr>
        <w:t>cd &lt;repository-root&gt;</w:t>
        <w:br/>
        <w:t>python -m venv .venv</w:t>
        <w:br/>
        <w:t>.venv\Scripts\Activate.ps1</w:t>
        <w:br/>
        <w:t>python -m pip install -r requirements.txt</w:t>
      </w:r>
    </w:p>
    <w:p>
      <w:pPr>
        <w:pStyle w:val="Heading2"/>
      </w:pPr>
      <w:r>
        <w:t>5.2 Start the three local processes</w:t>
      </w:r>
    </w:p>
    <w:p>
      <w:r>
        <w:t>Open three PowerShell windows from the repository root. Activate the same virtual environment in each window.</w:t>
      </w:r>
    </w:p>
    <w:p>
      <w:pPr>
        <w:spacing w:before="60" w:after="160"/>
        <w:ind w:left="259"/>
      </w:pPr>
      <w:r>
        <w:rPr>
          <w:rFonts w:ascii="Consolas" w:hAnsi="Consolas"/>
          <w:color w:val="4C237F"/>
          <w:sz w:val="17"/>
        </w:rPr>
        <w:t># Window 1</w:t>
        <w:br/>
        <w:t>cd apps\lecturer</w:t>
        <w:br/>
        <w:t>flask --app app run --port 5001</w:t>
        <w:br/>
        <w:br/>
        <w:t># Window 2</w:t>
        <w:br/>
        <w:t>cd apps\student</w:t>
        <w:br/>
        <w:t>flask --app app run --port 5002</w:t>
        <w:br/>
        <w:br/>
        <w:t># Window 3</w:t>
        <w:br/>
        <w:t>cd gateway</w:t>
        <w:br/>
        <w:t>python gateway.py</w:t>
      </w:r>
    </w:p>
    <w:p>
      <w:r>
        <w:t>Open http://localhost:5000. The landing page checks the local services and links to the lecturer and student tools. If started directly, the lecturer app is at port 5001 and the student app at port 5002.</w:t>
      </w:r>
    </w:p>
    <w:p>
      <w:pPr>
        <w:pStyle w:val="Heading2"/>
      </w:pPr>
      <w:r>
        <w:t>5.3 Configuration and development safety</w:t>
      </w:r>
    </w:p>
    <w:p>
      <w:r>
        <w:t>The lecturer Config reads SECRET_KEY, FLASK_DEBUG, DEFAULT_PASS_THRESHOLD and DEFAULT_TARGET_CLASS_AVERAGE. Its current defaults include a development secret and debug mode. Do not expose this configuration as a production service. Set a private secret and disable debug when running outside a trusted local development session. The student Flask app is also configured for local use and does not provide account authentication.</w:t>
      </w:r>
    </w:p>
    <w:p>
      <w:pPr>
        <w:pStyle w:val="Heading1"/>
      </w:pPr>
      <w:r>
        <w:t>6. Data model and privacy boundaries</w:t>
      </w:r>
    </w:p>
    <w:p>
      <w:pPr>
        <w:pStyle w:val="Heading2"/>
      </w:pPr>
      <w:r>
        <w:t>6.1 Lecturer application</w:t>
      </w:r>
    </w:p>
    <w:p>
      <w:r>
        <w:t>The lecturer DataStore holds modules, assessment plans, students and marks in process memory. The application factory seeds a simulated CS101 module from apps/lecturer/backend/data/sample_data.csv when the store is empty. Module data is lost when the lecturer server restarts. CSV import and export are available. The importer includes validation intended to reject personally identifiable fields; confirm the current accepted headers and validation rules in backend/data/loader.py before preparing a file.</w:t>
      </w:r>
    </w:p>
    <w:p>
      <w:pPr>
        <w:pStyle w:val="Heading2"/>
      </w:pPr>
      <w:r>
        <w:t>6.2 Student application</w:t>
      </w:r>
    </w:p>
    <w:p>
      <w:r>
        <w:t>The Student Performance Assistant stores studentModel and phase calculation objects in browser localStorage. Browser storage is specific to the browser profile and origin. Clearing site data or changing browser/profile can remove or isolate the model. The CSV summary export allows a user to save a copy and the returning-student workflow imports that application-specific file format. Avoid entering real personal records in demonstration environments.</w:t>
      </w:r>
    </w:p>
    <w:p>
      <w:pPr>
        <w:pStyle w:val="Heading2"/>
      </w:pPr>
      <w:r>
        <w:t>6.3 Separation and data handling</w:t>
      </w:r>
    </w:p>
    <w:p>
      <w:pPr>
        <w:pStyle w:val="ListBullet"/>
        <w:spacing w:after="60"/>
      </w:pPr>
      <w:r>
        <w:t>The landing page only navigates; the apps do not share records or send marks between each other.</w:t>
      </w:r>
    </w:p>
    <w:p>
      <w:pPr>
        <w:pStyle w:val="ListBullet"/>
        <w:spacing w:after="60"/>
      </w:pPr>
      <w:r>
        <w:t>The lecturer app has no external database in this build; its server memory is not durable storage.</w:t>
      </w:r>
    </w:p>
    <w:p>
      <w:pPr>
        <w:pStyle w:val="ListBullet"/>
        <w:spacing w:after="60"/>
      </w:pPr>
      <w:r>
        <w:t>The student browser stores user-entered details locally; this is not an institutional account store or encrypted remote service.</w:t>
      </w:r>
    </w:p>
    <w:p>
      <w:pPr>
        <w:pStyle w:val="ListBullet"/>
        <w:spacing w:after="60"/>
      </w:pPr>
      <w:r>
        <w:t>No login, role-based access control, email, push notification, or LMS event ingestion is implemented in the inspected source.</w:t>
      </w:r>
    </w:p>
    <w:p>
      <w:pPr>
        <w:pStyle w:val="Heading1"/>
      </w:pPr>
      <w:r>
        <w:t>7. Calculations and decision logic</w:t>
      </w:r>
    </w:p>
    <w:p>
      <w:pPr>
        <w:pStyle w:val="Heading2"/>
      </w:pPr>
      <w:r>
        <w:t>7.1 Lecturer participation and risk flag</w:t>
      </w:r>
    </w:p>
    <w:p>
      <w:r>
        <w:t>Assessment weights are applied through a shared participation service. For a type with M items and N counted items, the completed items are ranked by percentage mark; the best N count, with earliest plan order breaking ties. Each counted slot contributes the type weight divided by N. A blank mark is treated as not yet assessed, not as zero.</w:t>
      </w:r>
    </w:p>
    <w:p>
      <w:r>
        <w:t>The current participation mark is the accrued weighted contribution. The feasible range runs from that accrued amount to the best achievable value if remaining items receive full marks and can displace lower completed items. A student is marked at risk only when their maximum feasible final mark is strictly below the module pass threshold. The flag is therefore a rule-based best-case test, not a trained prediction model or probability.</w:t>
      </w:r>
    </w:p>
    <w:p>
      <w:pPr>
        <w:pStyle w:val="Heading2"/>
      </w:pPr>
      <w:r>
        <w:t>7.2 Individual target plan</w:t>
      </w:r>
    </w:p>
    <w:p>
      <w:r>
        <w:t>After showing the feasible region, the lecturer selects an absolute target inside it. The planner uses monotone bisection to find the minimum uniform percentage for the remaining items that reaches the target. It also evaluates whether any remaining items can be skipped under best-N-of-M and calculates the required percentage for the remaining active items. Values are rounded for display only.</w:t>
      </w:r>
    </w:p>
    <w:p>
      <w:pPr>
        <w:pStyle w:val="Heading2"/>
      </w:pPr>
      <w:r>
        <w:t>7.3 Cohort weight planning</w:t>
      </w:r>
    </w:p>
    <w:p>
      <w:r>
        <w:t>The lecturer supplies a target cohort average and minimum/maximum weight ranges for each assessment type. The solver uses SciPy's constrained nonlinear optimisation. Ranges must have positive minimums, each minimum must not exceed its maximum, and the aggregate ranges must allow weights to sum to 100%. An assessment weight cannot be zero; a 1% floor is enforced. The interface reports the solver outcome and achieved average. This is an optimisation scenario, not a guarantee that changing weights will cause a target average in a real cohort.</w:t>
      </w:r>
    </w:p>
    <w:p>
      <w:r>
        <w:t>Implementation notes in the source mark some methodological differences from the referenced research paper as open items. In particular, the best-N-of-M extension and the treatment of not-yet-completed marks in cohort optimisation are project-specific. Review apps/lecturer/docs/technical_specification.md and algorithm comments before making research claims.</w:t>
      </w:r>
    </w:p>
    <w:p>
      <w:pPr>
        <w:pStyle w:val="Heading2"/>
      </w:pPr>
      <w:r>
        <w:t>7.4 Student-side profile and options</w:t>
      </w:r>
    </w:p>
    <w:p>
      <w:r>
        <w:t>The student enters an assessment framework and existing marks. Browser JavaScript calculates an academic profile and improvement options from the stored model, then Phase 4 displays a read-only summary and CSV export. The result is a personal planning aid based on entered information; it is not an official grade, lecturer recommendation, or direct student-facing message from the lecturer DSS.</w:t>
      </w:r>
    </w:p>
    <w:p>
      <w:pPr>
        <w:pStyle w:val="Heading1"/>
      </w:pPr>
      <w:r>
        <w:t>8. Routes and user interface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vAlign w:val="center"/>
            <w:shd w:fill="4C237F"/>
          </w:tcPr>
          <w:p>
            <w:pPr>
              <w:spacing w:after="40"/>
            </w:pPr>
            <w:r/>
            <w:r>
              <w:rPr>
                <w:rFonts w:ascii="Aptos" w:hAnsi="Aptos"/>
                <w:b/>
                <w:color w:val="FFFFFF"/>
                <w:sz w:val="18"/>
              </w:rPr>
              <w:t>App area</w:t>
            </w:r>
          </w:p>
        </w:tc>
        <w:tc>
          <w:tcPr>
            <w:tcW w:type="dxa" w:w="7920"/>
            <w:vAlign w:val="center"/>
            <w:shd w:fill="4C237F"/>
          </w:tcPr>
          <w:p>
            <w:pPr>
              <w:spacing w:after="40"/>
            </w:pPr>
            <w:r/>
            <w:r>
              <w:rPr>
                <w:rFonts w:ascii="Aptos" w:hAnsi="Aptos"/>
                <w:b/>
                <w:color w:val="FFFFFF"/>
                <w:sz w:val="18"/>
              </w:rPr>
              <w:t>Implemented pages or actions</w:t>
            </w:r>
          </w:p>
        </w:tc>
      </w:tr>
      <w:tr>
        <w:tc>
          <w:tcPr>
            <w:tcW w:type="dxa" w:w="1728"/>
            <w:vAlign w:val="center"/>
          </w:tcPr>
          <w:p>
            <w:pPr>
              <w:spacing w:after="40"/>
            </w:pPr>
            <w:r/>
            <w:r>
              <w:rPr>
                <w:rFonts w:ascii="Aptos" w:hAnsi="Aptos"/>
                <w:b w:val="0"/>
                <w:color w:val="20202A"/>
                <w:sz w:val="18"/>
              </w:rPr>
              <w:t>Gateway</w:t>
            </w:r>
          </w:p>
        </w:tc>
        <w:tc>
          <w:tcPr>
            <w:tcW w:type="dxa" w:w="7920"/>
            <w:vAlign w:val="center"/>
          </w:tcPr>
          <w:p>
            <w:pPr>
              <w:spacing w:after="40"/>
            </w:pPr>
            <w:r/>
            <w:r>
              <w:rPr>
                <w:rFonts w:ascii="Aptos" w:hAnsi="Aptos"/>
                <w:b w:val="0"/>
                <w:color w:val="20202A"/>
                <w:sz w:val="18"/>
              </w:rPr>
              <w:t>Landing page at /; provides links/status for local services.</w:t>
            </w:r>
          </w:p>
        </w:tc>
      </w:tr>
      <w:tr>
        <w:tc>
          <w:tcPr>
            <w:tcW w:type="dxa" w:w="1728"/>
            <w:vAlign w:val="center"/>
            <w:shd w:fill="F7F5FA"/>
          </w:tcPr>
          <w:p>
            <w:pPr>
              <w:spacing w:after="40"/>
            </w:pPr>
            <w:r/>
            <w:r>
              <w:rPr>
                <w:rFonts w:ascii="Aptos" w:hAnsi="Aptos"/>
                <w:b w:val="0"/>
                <w:color w:val="20202A"/>
                <w:sz w:val="18"/>
              </w:rPr>
              <w:t>Lecturer</w:t>
            </w:r>
          </w:p>
        </w:tc>
        <w:tc>
          <w:tcPr>
            <w:tcW w:type="dxa" w:w="7920"/>
            <w:vAlign w:val="center"/>
            <w:shd w:fill="F7F5FA"/>
          </w:tcPr>
          <w:p>
            <w:pPr>
              <w:spacing w:after="40"/>
            </w:pPr>
            <w:r/>
            <w:r>
              <w:rPr>
                <w:rFonts w:ascii="Aptos" w:hAnsi="Aptos"/>
                <w:b w:val="0"/>
                <w:color w:val="20202A"/>
                <w:sz w:val="18"/>
              </w:rPr>
              <w:t>Overview/dashboard, at-risk list, student list/detail/add/edit, CSV imports, modules, assessment plan, cohort planning, settings and tutorial.</w:t>
            </w:r>
          </w:p>
        </w:tc>
      </w:tr>
      <w:tr>
        <w:tc>
          <w:tcPr>
            <w:tcW w:type="dxa" w:w="1728"/>
            <w:vAlign w:val="center"/>
          </w:tcPr>
          <w:p>
            <w:pPr>
              <w:spacing w:after="40"/>
            </w:pPr>
            <w:r/>
            <w:r>
              <w:rPr>
                <w:rFonts w:ascii="Aptos" w:hAnsi="Aptos"/>
                <w:b w:val="0"/>
                <w:color w:val="20202A"/>
                <w:sz w:val="18"/>
              </w:rPr>
              <w:t>Student</w:t>
            </w:r>
          </w:p>
        </w:tc>
        <w:tc>
          <w:tcPr>
            <w:tcW w:type="dxa" w:w="7920"/>
            <w:vAlign w:val="center"/>
          </w:tcPr>
          <w:p>
            <w:pPr>
              <w:spacing w:after="40"/>
            </w:pPr>
            <w:r/>
            <w:r>
              <w:rPr>
                <w:rFonts w:ascii="Aptos" w:hAnsi="Aptos"/>
                <w:b w:val="0"/>
                <w:color w:val="20202A"/>
                <w:sz w:val="18"/>
              </w:rPr>
              <w:t>Welcome/new student, returning student CSV import, Phase 1 assessment plan, Phase 2 profile, Phase 3 improvement options, Phase 4 summary.</w:t>
            </w:r>
          </w:p>
        </w:tc>
      </w:tr>
    </w:tbl>
    <w:p>
      <w:pPr>
        <w:spacing w:after="40"/>
      </w:pPr>
    </w:p>
    <w:p>
      <w:r>
        <w:t>The lecturer interface uses a purple accent and Bootstrap-like card/table layouts; the student assistant uses purple branding, Poppins/Inter typography, a responsive card layout, and a light/dark theme preference. The user manual includes stills from the real screen structure for orientation.</w:t>
      </w:r>
    </w:p>
    <w:p>
      <w:pPr>
        <w:pStyle w:val="Heading1"/>
      </w:pPr>
      <w:r>
        <w:t>9. Validation, testing and maintenance</w:t>
      </w:r>
    </w:p>
    <w:p>
      <w:r>
        <w:t>The lecturer project contains unit tests under apps/lecturer/tests for participation rules, bounds, target plans, cohort planning, rounding, imports/exports, the store and tutorial behavior. Run the test suite from apps/lecturer using the project's configured Python environment before changing calculation logic. No performance, accessibility, security, or institutional integration certification is implied by these tests.</w:t>
      </w:r>
    </w:p>
    <w:p>
      <w:r>
        <w:t>When changing calculation rules, keep participation.py as the shared rule implementation and preserve route-level validation. Add regression cases for blank marks, equal-percentage ties, best-N drops, unreachable targets and invalid cohort ranges. Use synthetic records in screenshots and test fixtures.</w:t>
      </w:r>
    </w:p>
    <w:p>
      <w:pPr>
        <w:pStyle w:val="Heading1"/>
      </w:pPr>
      <w:r>
        <w:t>10. Limitations and future integration</w:t>
      </w:r>
    </w:p>
    <w:p>
      <w:pPr>
        <w:pStyle w:val="ListBullet"/>
        <w:spacing w:after="60"/>
      </w:pPr>
      <w:r>
        <w:t>No LMS logins, attendance events, submission timestamps or live grades are ingested automatically.</w:t>
      </w:r>
    </w:p>
    <w:p>
      <w:pPr>
        <w:pStyle w:val="ListBullet"/>
        <w:spacing w:after="60"/>
      </w:pPr>
      <w:r>
        <w:t>The lecturer risk flag is threshold-based and does not learn from historical student outcomes.</w:t>
      </w:r>
    </w:p>
    <w:p>
      <w:pPr>
        <w:pStyle w:val="ListBullet"/>
        <w:spacing w:after="60"/>
      </w:pPr>
      <w:r>
        <w:t>No student notification is sent by the lecturer tool; no email, push alert or messaging integration exists.</w:t>
      </w:r>
    </w:p>
    <w:p>
      <w:pPr>
        <w:pStyle w:val="ListBullet"/>
        <w:spacing w:after="60"/>
      </w:pPr>
      <w:r>
        <w:t>The lecturer data store is volatile and the apps have no production authentication or user isolation.</w:t>
      </w:r>
    </w:p>
    <w:p>
      <w:pPr>
        <w:pStyle w:val="ListBullet"/>
        <w:spacing w:after="60"/>
      </w:pPr>
      <w:r>
        <w:t>The two tools are intentionally separate in this prototype; privacy separation should remain explicit in any future integration design.</w:t>
      </w:r>
    </w:p>
    <w:p>
      <w:pPr>
        <w:pStyle w:val="ListBullet"/>
        <w:spacing w:after="60"/>
      </w:pPr>
      <w:r>
        <w:t>The supplied lecturer sample cohort is simulated. Never interpret sample dashboard values as research results or institutional performance.</w:t>
      </w:r>
    </w:p>
    <w:p>
      <w:pPr>
        <w:pStyle w:val="Heading1"/>
      </w:pPr>
      <w:r>
        <w:t>Appendix A. Common commands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vAlign w:val="center"/>
            <w:shd w:fill="4C237F"/>
          </w:tcPr>
          <w:p>
            <w:pPr>
              <w:spacing w:after="40"/>
            </w:pPr>
            <w:r/>
            <w:r>
              <w:rPr>
                <w:rFonts w:ascii="Aptos" w:hAnsi="Aptos"/>
                <w:b/>
                <w:color w:val="FFFFFF"/>
                <w:sz w:val="18"/>
              </w:rPr>
              <w:t>Task</w:t>
            </w:r>
          </w:p>
        </w:tc>
        <w:tc>
          <w:tcPr>
            <w:tcW w:type="dxa" w:w="7200"/>
            <w:vAlign w:val="center"/>
            <w:shd w:fill="4C237F"/>
          </w:tcPr>
          <w:p>
            <w:pPr>
              <w:spacing w:after="40"/>
            </w:pPr>
            <w:r/>
            <w:r>
              <w:rPr>
                <w:rFonts w:ascii="Aptos" w:hAnsi="Aptos"/>
                <w:b/>
                <w:color w:val="FFFFFF"/>
                <w:sz w:val="18"/>
              </w:rPr>
              <w:t>Command</w:t>
            </w:r>
          </w:p>
        </w:tc>
      </w:tr>
      <w:tr>
        <w:tc>
          <w:tcPr>
            <w:tcW w:type="dxa" w:w="2376"/>
            <w:vAlign w:val="center"/>
          </w:tcPr>
          <w:p>
            <w:pPr>
              <w:spacing w:after="40"/>
            </w:pPr>
            <w:r/>
            <w:r>
              <w:rPr>
                <w:rFonts w:ascii="Aptos" w:hAnsi="Aptos"/>
                <w:b w:val="0"/>
                <w:color w:val="20202A"/>
                <w:sz w:val="18"/>
              </w:rPr>
              <w:t>Install dependencies</w:t>
            </w:r>
          </w:p>
        </w:tc>
        <w:tc>
          <w:tcPr>
            <w:tcW w:type="dxa" w:w="7200"/>
            <w:vAlign w:val="center"/>
          </w:tcPr>
          <w:p>
            <w:pPr>
              <w:spacing w:after="40"/>
            </w:pPr>
            <w:r/>
            <w:r>
              <w:rPr>
                <w:rFonts w:ascii="Aptos" w:hAnsi="Aptos"/>
                <w:b w:val="0"/>
                <w:color w:val="20202A"/>
                <w:sz w:val="18"/>
              </w:rPr>
              <w:t>python -m pip install -r requirements.txt</w:t>
            </w:r>
          </w:p>
        </w:tc>
      </w:tr>
      <w:tr>
        <w:tc>
          <w:tcPr>
            <w:tcW w:type="dxa" w:w="2376"/>
            <w:vAlign w:val="center"/>
            <w:shd w:fill="F7F5FA"/>
          </w:tcPr>
          <w:p>
            <w:pPr>
              <w:spacing w:after="40"/>
            </w:pPr>
            <w:r/>
            <w:r>
              <w:rPr>
                <w:rFonts w:ascii="Aptos" w:hAnsi="Aptos"/>
                <w:b w:val="0"/>
                <w:color w:val="20202A"/>
                <w:sz w:val="18"/>
              </w:rPr>
              <w:t>Run lecturer app</w:t>
            </w:r>
          </w:p>
        </w:tc>
        <w:tc>
          <w:tcPr>
            <w:tcW w:type="dxa" w:w="7200"/>
            <w:vAlign w:val="center"/>
            <w:shd w:fill="F7F5FA"/>
          </w:tcPr>
          <w:p>
            <w:pPr>
              <w:spacing w:after="40"/>
            </w:pPr>
            <w:r/>
            <w:r>
              <w:rPr>
                <w:rFonts w:ascii="Aptos" w:hAnsi="Aptos"/>
                <w:b w:val="0"/>
                <w:color w:val="20202A"/>
                <w:sz w:val="18"/>
              </w:rPr>
              <w:t>cd apps/lecturer; flask --app app run --port 5001</w:t>
            </w:r>
          </w:p>
        </w:tc>
      </w:tr>
      <w:tr>
        <w:tc>
          <w:tcPr>
            <w:tcW w:type="dxa" w:w="2376"/>
            <w:vAlign w:val="center"/>
          </w:tcPr>
          <w:p>
            <w:pPr>
              <w:spacing w:after="40"/>
            </w:pPr>
            <w:r/>
            <w:r>
              <w:rPr>
                <w:rFonts w:ascii="Aptos" w:hAnsi="Aptos"/>
                <w:b w:val="0"/>
                <w:color w:val="20202A"/>
                <w:sz w:val="18"/>
              </w:rPr>
              <w:t>Run student app</w:t>
            </w:r>
          </w:p>
        </w:tc>
        <w:tc>
          <w:tcPr>
            <w:tcW w:type="dxa" w:w="7200"/>
            <w:vAlign w:val="center"/>
          </w:tcPr>
          <w:p>
            <w:pPr>
              <w:spacing w:after="40"/>
            </w:pPr>
            <w:r/>
            <w:r>
              <w:rPr>
                <w:rFonts w:ascii="Aptos" w:hAnsi="Aptos"/>
                <w:b w:val="0"/>
                <w:color w:val="20202A"/>
                <w:sz w:val="18"/>
              </w:rPr>
              <w:t>cd apps/student; flask --app app run --port 5002</w:t>
            </w:r>
          </w:p>
        </w:tc>
      </w:tr>
      <w:tr>
        <w:tc>
          <w:tcPr>
            <w:tcW w:type="dxa" w:w="2376"/>
            <w:vAlign w:val="center"/>
            <w:shd w:fill="F7F5FA"/>
          </w:tcPr>
          <w:p>
            <w:pPr>
              <w:spacing w:after="40"/>
            </w:pPr>
            <w:r/>
            <w:r>
              <w:rPr>
                <w:rFonts w:ascii="Aptos" w:hAnsi="Aptos"/>
                <w:b w:val="0"/>
                <w:color w:val="20202A"/>
                <w:sz w:val="18"/>
              </w:rPr>
              <w:t>Run gateway</w:t>
            </w:r>
          </w:p>
        </w:tc>
        <w:tc>
          <w:tcPr>
            <w:tcW w:type="dxa" w:w="7200"/>
            <w:vAlign w:val="center"/>
            <w:shd w:fill="F7F5FA"/>
          </w:tcPr>
          <w:p>
            <w:pPr>
              <w:spacing w:after="40"/>
            </w:pPr>
            <w:r/>
            <w:r>
              <w:rPr>
                <w:rFonts w:ascii="Aptos" w:hAnsi="Aptos"/>
                <w:b w:val="0"/>
                <w:color w:val="20202A"/>
                <w:sz w:val="18"/>
              </w:rPr>
              <w:t>cd gateway; python gateway.py</w:t>
            </w:r>
          </w:p>
        </w:tc>
      </w:tr>
      <w:tr>
        <w:tc>
          <w:tcPr>
            <w:tcW w:type="dxa" w:w="2376"/>
            <w:vAlign w:val="center"/>
          </w:tcPr>
          <w:p>
            <w:pPr>
              <w:spacing w:after="40"/>
            </w:pPr>
            <w:r/>
            <w:r>
              <w:rPr>
                <w:rFonts w:ascii="Aptos" w:hAnsi="Aptos"/>
                <w:b w:val="0"/>
                <w:color w:val="20202A"/>
                <w:sz w:val="18"/>
              </w:rPr>
              <w:t>Inspect working tree</w:t>
            </w:r>
          </w:p>
        </w:tc>
        <w:tc>
          <w:tcPr>
            <w:tcW w:type="dxa" w:w="7200"/>
            <w:vAlign w:val="center"/>
          </w:tcPr>
          <w:p>
            <w:pPr>
              <w:spacing w:after="40"/>
            </w:pPr>
            <w:r/>
            <w:r>
              <w:rPr>
                <w:rFonts w:ascii="Aptos" w:hAnsi="Aptos"/>
                <w:b w:val="0"/>
                <w:color w:val="20202A"/>
                <w:sz w:val="18"/>
              </w:rPr>
              <w:t>git status --short</w:t>
            </w:r>
          </w:p>
        </w:tc>
      </w:tr>
    </w:tbl>
    <w:p>
      <w:pPr>
        <w:spacing w:after="40"/>
      </w:pPr>
    </w:p>
    <w:p>
      <w:pPr>
        <w:pStyle w:val="Heading1"/>
      </w:pPr>
      <w:r>
        <w:t>Appendix B. Source files to inspect first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vAlign w:val="center"/>
            <w:shd w:fill="4C237F"/>
          </w:tcPr>
          <w:p>
            <w:pPr>
              <w:spacing w:after="40"/>
            </w:pPr>
            <w:r/>
            <w:r>
              <w:rPr>
                <w:rFonts w:ascii="Aptos" w:hAnsi="Aptos"/>
                <w:b/>
                <w:color w:val="FFFFFF"/>
                <w:sz w:val="18"/>
              </w:rPr>
              <w:t>Concern</w:t>
            </w:r>
          </w:p>
        </w:tc>
        <w:tc>
          <w:tcPr>
            <w:tcW w:type="dxa" w:w="7056"/>
            <w:vAlign w:val="center"/>
            <w:shd w:fill="4C237F"/>
          </w:tcPr>
          <w:p>
            <w:pPr>
              <w:spacing w:after="40"/>
            </w:pPr>
            <w:r/>
            <w:r>
              <w:rPr>
                <w:rFonts w:ascii="Aptos" w:hAnsi="Aptos"/>
                <w:b/>
                <w:color w:val="FFFFFF"/>
                <w:sz w:val="18"/>
              </w:rPr>
              <w:t>Starting point</w:t>
            </w:r>
          </w:p>
        </w:tc>
      </w:tr>
      <w:tr>
        <w:tc>
          <w:tcPr>
            <w:tcW w:type="dxa" w:w="2592"/>
            <w:vAlign w:val="center"/>
          </w:tcPr>
          <w:p>
            <w:pPr>
              <w:spacing w:after="40"/>
            </w:pPr>
            <w:r/>
            <w:r>
              <w:rPr>
                <w:rFonts w:ascii="Aptos" w:hAnsi="Aptos"/>
                <w:b w:val="0"/>
                <w:color w:val="20202A"/>
                <w:sz w:val="18"/>
              </w:rPr>
              <w:t>Lecturer app startup</w:t>
            </w:r>
          </w:p>
        </w:tc>
        <w:tc>
          <w:tcPr>
            <w:tcW w:type="dxa" w:w="7056"/>
            <w:vAlign w:val="center"/>
          </w:tcPr>
          <w:p>
            <w:pPr>
              <w:spacing w:after="40"/>
            </w:pPr>
            <w:r/>
            <w:r>
              <w:rPr>
                <w:rFonts w:ascii="Aptos" w:hAnsi="Aptos"/>
                <w:b w:val="0"/>
                <w:color w:val="20202A"/>
                <w:sz w:val="18"/>
              </w:rPr>
              <w:t>apps/lecturer/backend/__init__.py; apps/lecturer/config.py</w:t>
            </w:r>
          </w:p>
        </w:tc>
      </w:tr>
      <w:tr>
        <w:tc>
          <w:tcPr>
            <w:tcW w:type="dxa" w:w="2592"/>
            <w:vAlign w:val="center"/>
            <w:shd w:fill="F7F5FA"/>
          </w:tcPr>
          <w:p>
            <w:pPr>
              <w:spacing w:after="40"/>
            </w:pPr>
            <w:r/>
            <w:r>
              <w:rPr>
                <w:rFonts w:ascii="Aptos" w:hAnsi="Aptos"/>
                <w:b w:val="0"/>
                <w:color w:val="20202A"/>
                <w:sz w:val="18"/>
              </w:rPr>
              <w:t>Participation/risk logic</w:t>
            </w:r>
          </w:p>
        </w:tc>
        <w:tc>
          <w:tcPr>
            <w:tcW w:type="dxa" w:w="7056"/>
            <w:vAlign w:val="center"/>
            <w:shd w:fill="F7F5FA"/>
          </w:tcPr>
          <w:p>
            <w:pPr>
              <w:spacing w:after="40"/>
            </w:pPr>
            <w:r/>
            <w:r>
              <w:rPr>
                <w:rFonts w:ascii="Aptos" w:hAnsi="Aptos"/>
                <w:b w:val="0"/>
                <w:color w:val="20202A"/>
                <w:sz w:val="18"/>
              </w:rPr>
              <w:t>apps/lecturer/backend/services/participation.py; algorithms/lp_bounds.py</w:t>
            </w:r>
          </w:p>
        </w:tc>
      </w:tr>
      <w:tr>
        <w:tc>
          <w:tcPr>
            <w:tcW w:type="dxa" w:w="2592"/>
            <w:vAlign w:val="center"/>
          </w:tcPr>
          <w:p>
            <w:pPr>
              <w:spacing w:after="40"/>
            </w:pPr>
            <w:r/>
            <w:r>
              <w:rPr>
                <w:rFonts w:ascii="Aptos" w:hAnsi="Aptos"/>
                <w:b w:val="0"/>
                <w:color w:val="20202A"/>
                <w:sz w:val="18"/>
              </w:rPr>
              <w:t>Individual plan</w:t>
            </w:r>
          </w:p>
        </w:tc>
        <w:tc>
          <w:tcPr>
            <w:tcW w:type="dxa" w:w="7056"/>
            <w:vAlign w:val="center"/>
          </w:tcPr>
          <w:p>
            <w:pPr>
              <w:spacing w:after="40"/>
            </w:pPr>
            <w:r/>
            <w:r>
              <w:rPr>
                <w:rFonts w:ascii="Aptos" w:hAnsi="Aptos"/>
                <w:b w:val="0"/>
                <w:color w:val="20202A"/>
                <w:sz w:val="18"/>
              </w:rPr>
              <w:t>apps/lecturer/backend/algorithms/participation_plan.py</w:t>
            </w:r>
          </w:p>
        </w:tc>
      </w:tr>
      <w:tr>
        <w:tc>
          <w:tcPr>
            <w:tcW w:type="dxa" w:w="2592"/>
            <w:vAlign w:val="center"/>
            <w:shd w:fill="F7F5FA"/>
          </w:tcPr>
          <w:p>
            <w:pPr>
              <w:spacing w:after="40"/>
            </w:pPr>
            <w:r/>
            <w:r>
              <w:rPr>
                <w:rFonts w:ascii="Aptos" w:hAnsi="Aptos"/>
                <w:b w:val="0"/>
                <w:color w:val="20202A"/>
                <w:sz w:val="18"/>
              </w:rPr>
              <w:t>Cohort optimisation</w:t>
            </w:r>
          </w:p>
        </w:tc>
        <w:tc>
          <w:tcPr>
            <w:tcW w:type="dxa" w:w="7056"/>
            <w:vAlign w:val="center"/>
            <w:shd w:fill="F7F5FA"/>
          </w:tcPr>
          <w:p>
            <w:pPr>
              <w:spacing w:after="40"/>
            </w:pPr>
            <w:r/>
            <w:r>
              <w:rPr>
                <w:rFonts w:ascii="Aptos" w:hAnsi="Aptos"/>
                <w:b w:val="0"/>
                <w:color w:val="20202A"/>
                <w:sz w:val="18"/>
              </w:rPr>
              <w:t>apps/lecturer/backend/algorithms/nlp_weights.py; routes/cohort.py</w:t>
            </w:r>
          </w:p>
        </w:tc>
      </w:tr>
      <w:tr>
        <w:tc>
          <w:tcPr>
            <w:tcW w:type="dxa" w:w="2592"/>
            <w:vAlign w:val="center"/>
          </w:tcPr>
          <w:p>
            <w:pPr>
              <w:spacing w:after="40"/>
            </w:pPr>
            <w:r/>
            <w:r>
              <w:rPr>
                <w:rFonts w:ascii="Aptos" w:hAnsi="Aptos"/>
                <w:b w:val="0"/>
                <w:color w:val="20202A"/>
                <w:sz w:val="18"/>
              </w:rPr>
              <w:t>Import and state</w:t>
            </w:r>
          </w:p>
        </w:tc>
        <w:tc>
          <w:tcPr>
            <w:tcW w:type="dxa" w:w="7056"/>
            <w:vAlign w:val="center"/>
          </w:tcPr>
          <w:p>
            <w:pPr>
              <w:spacing w:after="40"/>
            </w:pPr>
            <w:r/>
            <w:r>
              <w:rPr>
                <w:rFonts w:ascii="Aptos" w:hAnsi="Aptos"/>
                <w:b w:val="0"/>
                <w:color w:val="20202A"/>
                <w:sz w:val="18"/>
              </w:rPr>
              <w:t>apps/lecturer/backend/data/loader.py; data/store.py</w:t>
            </w:r>
          </w:p>
        </w:tc>
      </w:tr>
      <w:tr>
        <w:tc>
          <w:tcPr>
            <w:tcW w:type="dxa" w:w="2592"/>
            <w:vAlign w:val="center"/>
            <w:shd w:fill="F7F5FA"/>
          </w:tcPr>
          <w:p>
            <w:pPr>
              <w:spacing w:after="40"/>
            </w:pPr>
            <w:r/>
            <w:r>
              <w:rPr>
                <w:rFonts w:ascii="Aptos" w:hAnsi="Aptos"/>
                <w:b w:val="0"/>
                <w:color w:val="20202A"/>
                <w:sz w:val="18"/>
              </w:rPr>
              <w:t>Student workflow</w:t>
            </w:r>
          </w:p>
        </w:tc>
        <w:tc>
          <w:tcPr>
            <w:tcW w:type="dxa" w:w="7056"/>
            <w:vAlign w:val="center"/>
            <w:shd w:fill="F7F5FA"/>
          </w:tcPr>
          <w:p>
            <w:pPr>
              <w:spacing w:after="40"/>
            </w:pPr>
            <w:r/>
            <w:r>
              <w:rPr>
                <w:rFonts w:ascii="Aptos" w:hAnsi="Aptos"/>
                <w:b w:val="0"/>
                <w:color w:val="20202A"/>
                <w:sz w:val="18"/>
              </w:rPr>
              <w:t>apps/student/frontend/static/js/app.js; templates/phase*.html</w:t>
            </w:r>
          </w:p>
        </w:tc>
      </w:tr>
    </w:tbl>
    <w:p>
      <w:pPr>
        <w:spacing w:after="40"/>
      </w:pPr>
    </w:p>
    <w:p>
      <w:pPr>
        <w:pStyle w:val="Heading1"/>
      </w:pPr>
      <w:r>
        <w:t>Appendix C. Glossary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vAlign w:val="center"/>
            <w:shd w:fill="4C237F"/>
          </w:tcPr>
          <w:p>
            <w:pPr>
              <w:spacing w:after="40"/>
            </w:pPr>
            <w:r/>
            <w:r>
              <w:rPr>
                <w:rFonts w:ascii="Aptos" w:hAnsi="Aptos"/>
                <w:b/>
                <w:color w:val="FFFFFF"/>
                <w:sz w:val="18"/>
              </w:rPr>
              <w:t>Term</w:t>
            </w:r>
          </w:p>
        </w:tc>
        <w:tc>
          <w:tcPr>
            <w:tcW w:type="dxa" w:w="7056"/>
            <w:vAlign w:val="center"/>
            <w:shd w:fill="4C237F"/>
          </w:tcPr>
          <w:p>
            <w:pPr>
              <w:spacing w:after="40"/>
            </w:pPr>
            <w:r/>
            <w:r>
              <w:rPr>
                <w:rFonts w:ascii="Aptos" w:hAnsi="Aptos"/>
                <w:b/>
                <w:color w:val="FFFFFF"/>
                <w:sz w:val="18"/>
              </w:rPr>
              <w:t>Meaning in APFIS</w:t>
            </w:r>
          </w:p>
        </w:tc>
      </w:tr>
      <w:tr>
        <w:tc>
          <w:tcPr>
            <w:tcW w:type="dxa" w:w="2592"/>
            <w:vAlign w:val="center"/>
          </w:tcPr>
          <w:p>
            <w:pPr>
              <w:spacing w:after="40"/>
            </w:pPr>
            <w:r/>
            <w:r>
              <w:rPr>
                <w:rFonts w:ascii="Aptos" w:hAnsi="Aptos"/>
                <w:b w:val="0"/>
                <w:color w:val="20202A"/>
                <w:sz w:val="18"/>
              </w:rPr>
              <w:t>Participation mark</w:t>
            </w:r>
          </w:p>
        </w:tc>
        <w:tc>
          <w:tcPr>
            <w:tcW w:type="dxa" w:w="7056"/>
            <w:vAlign w:val="center"/>
          </w:tcPr>
          <w:p>
            <w:pPr>
              <w:spacing w:after="40"/>
            </w:pPr>
            <w:r/>
            <w:r>
              <w:rPr>
                <w:rFonts w:ascii="Aptos" w:hAnsi="Aptos"/>
                <w:b w:val="0"/>
                <w:color w:val="20202A"/>
                <w:sz w:val="18"/>
              </w:rPr>
              <w:t>Weighted contribution already accrued across counted assessment slots.</w:t>
            </w:r>
          </w:p>
        </w:tc>
      </w:tr>
      <w:tr>
        <w:tc>
          <w:tcPr>
            <w:tcW w:type="dxa" w:w="2592"/>
            <w:vAlign w:val="center"/>
            <w:shd w:fill="F7F5FA"/>
          </w:tcPr>
          <w:p>
            <w:pPr>
              <w:spacing w:after="40"/>
            </w:pPr>
            <w:r/>
            <w:r>
              <w:rPr>
                <w:rFonts w:ascii="Aptos" w:hAnsi="Aptos"/>
                <w:b w:val="0"/>
                <w:color w:val="20202A"/>
                <w:sz w:val="18"/>
              </w:rPr>
              <w:t>Standing</w:t>
            </w:r>
          </w:p>
        </w:tc>
        <w:tc>
          <w:tcPr>
            <w:tcW w:type="dxa" w:w="7056"/>
            <w:vAlign w:val="center"/>
            <w:shd w:fill="F7F5FA"/>
          </w:tcPr>
          <w:p>
            <w:pPr>
              <w:spacing w:after="40"/>
            </w:pPr>
            <w:r/>
            <w:r>
              <w:rPr>
                <w:rFonts w:ascii="Aptos" w:hAnsi="Aptos"/>
                <w:b w:val="0"/>
                <w:color w:val="20202A"/>
                <w:sz w:val="18"/>
              </w:rPr>
              <w:t>Average across currently counted work, expressed as a percentage.</w:t>
            </w:r>
          </w:p>
        </w:tc>
      </w:tr>
      <w:tr>
        <w:tc>
          <w:tcPr>
            <w:tcW w:type="dxa" w:w="2592"/>
            <w:vAlign w:val="center"/>
          </w:tcPr>
          <w:p>
            <w:pPr>
              <w:spacing w:after="40"/>
            </w:pPr>
            <w:r/>
            <w:r>
              <w:rPr>
                <w:rFonts w:ascii="Aptos" w:hAnsi="Aptos"/>
                <w:b w:val="0"/>
                <w:color w:val="20202A"/>
                <w:sz w:val="18"/>
              </w:rPr>
              <w:t>Feasible region</w:t>
            </w:r>
          </w:p>
        </w:tc>
        <w:tc>
          <w:tcPr>
            <w:tcW w:type="dxa" w:w="7056"/>
            <w:vAlign w:val="center"/>
          </w:tcPr>
          <w:p>
            <w:pPr>
              <w:spacing w:after="40"/>
            </w:pPr>
            <w:r/>
            <w:r>
              <w:rPr>
                <w:rFonts w:ascii="Aptos" w:hAnsi="Aptos"/>
                <w:b w:val="0"/>
                <w:color w:val="20202A"/>
                <w:sz w:val="18"/>
              </w:rPr>
              <w:t>Minimum and maximum final mark reachable under the assessment plan.</w:t>
            </w:r>
          </w:p>
        </w:tc>
      </w:tr>
      <w:tr>
        <w:tc>
          <w:tcPr>
            <w:tcW w:type="dxa" w:w="2592"/>
            <w:vAlign w:val="center"/>
            <w:shd w:fill="F7F5FA"/>
          </w:tcPr>
          <w:p>
            <w:pPr>
              <w:spacing w:after="40"/>
            </w:pPr>
            <w:r/>
            <w:r>
              <w:rPr>
                <w:rFonts w:ascii="Aptos" w:hAnsi="Aptos"/>
                <w:b w:val="0"/>
                <w:color w:val="20202A"/>
                <w:sz w:val="18"/>
              </w:rPr>
              <w:t>Best N of M</w:t>
            </w:r>
          </w:p>
        </w:tc>
        <w:tc>
          <w:tcPr>
            <w:tcW w:type="dxa" w:w="7056"/>
            <w:vAlign w:val="center"/>
            <w:shd w:fill="F7F5FA"/>
          </w:tcPr>
          <w:p>
            <w:pPr>
              <w:spacing w:after="40"/>
            </w:pPr>
            <w:r/>
            <w:r>
              <w:rPr>
                <w:rFonts w:ascii="Aptos" w:hAnsi="Aptos"/>
                <w:b w:val="0"/>
                <w:color w:val="20202A"/>
                <w:sz w:val="18"/>
              </w:rPr>
              <w:t>Only the highest N percentage results among M items of a type count.</w:t>
            </w:r>
          </w:p>
        </w:tc>
      </w:tr>
      <w:tr>
        <w:tc>
          <w:tcPr>
            <w:tcW w:type="dxa" w:w="2592"/>
            <w:vAlign w:val="center"/>
          </w:tcPr>
          <w:p>
            <w:pPr>
              <w:spacing w:after="40"/>
            </w:pPr>
            <w:r/>
            <w:r>
              <w:rPr>
                <w:rFonts w:ascii="Aptos" w:hAnsi="Aptos"/>
                <w:b w:val="0"/>
                <w:color w:val="20202A"/>
                <w:sz w:val="18"/>
              </w:rPr>
              <w:t>At risk</w:t>
            </w:r>
          </w:p>
        </w:tc>
        <w:tc>
          <w:tcPr>
            <w:tcW w:type="dxa" w:w="7056"/>
            <w:vAlign w:val="center"/>
          </w:tcPr>
          <w:p>
            <w:pPr>
              <w:spacing w:after="40"/>
            </w:pPr>
            <w:r/>
            <w:r>
              <w:rPr>
                <w:rFonts w:ascii="Aptos" w:hAnsi="Aptos"/>
                <w:b w:val="0"/>
                <w:color w:val="20202A"/>
                <w:sz w:val="18"/>
              </w:rPr>
              <w:t>Best-case final mark is below the configured pass threshold.</w:t>
            </w:r>
          </w:p>
        </w:tc>
      </w:tr>
      <w:tr>
        <w:tc>
          <w:tcPr>
            <w:tcW w:type="dxa" w:w="2592"/>
            <w:vAlign w:val="center"/>
            <w:shd w:fill="F7F5FA"/>
          </w:tcPr>
          <w:p>
            <w:pPr>
              <w:spacing w:after="40"/>
            </w:pPr>
            <w:r/>
            <w:r>
              <w:rPr>
                <w:rFonts w:ascii="Aptos" w:hAnsi="Aptos"/>
                <w:b w:val="0"/>
                <w:color w:val="20202A"/>
                <w:sz w:val="18"/>
              </w:rPr>
              <w:t>Prescriptive planning</w:t>
            </w:r>
          </w:p>
        </w:tc>
        <w:tc>
          <w:tcPr>
            <w:tcW w:type="dxa" w:w="7056"/>
            <w:vAlign w:val="center"/>
            <w:shd w:fill="F7F5FA"/>
          </w:tcPr>
          <w:p>
            <w:pPr>
              <w:spacing w:after="40"/>
            </w:pPr>
            <w:r/>
            <w:r>
              <w:rPr>
                <w:rFonts w:ascii="Aptos" w:hAnsi="Aptos"/>
                <w:b w:val="0"/>
                <w:color w:val="20202A"/>
                <w:sz w:val="18"/>
              </w:rPr>
              <w:t>The system explores what marks or weight ranges could reach a selected target; it does not deliver a message to a student.</w:t>
            </w:r>
          </w:p>
        </w:tc>
      </w:tr>
    </w:tbl>
    <w:p>
      <w:pPr>
        <w:spacing w:after="40"/>
      </w:pP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Academic Performance Feedback Management Information System  •  29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26273"/>
        <w:sz w:val="16"/>
      </w:rPr>
      <w:t>APFIS  |  DEVELOPERS, MAINTAINERS AND TECHNICAL REVIEWERS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20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4C237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C237F"/>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4C23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2020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