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№2</w:t>
      </w:r>
    </w:p>
    <w:p>
      <w:pPr>
        <w:pStyle w:val="Subtitle"/>
      </w:pPr>
      <w:r>
        <w:t>Проектирование программного обеспечения</w:t>
      </w:r>
    </w:p>
    <w:p>
      <w:pPr>
        <w:pStyle w:val="Heading1"/>
      </w:pPr>
      <w:r>
        <w:t>Сайт «Служба такси»</w:t>
      </w:r>
    </w:p>
    <w:p>
      <w:r>
        <w:t>Проектирование системы</w:t>
      </w:r>
    </w:p>
    <w:p>
      <w:r>
        <w:t>Студент: ____________________</w:t>
        <w:br/>
        <w:t>Группа: ____________________</w:t>
        <w:br/>
        <w:t>2026 г.</w:t>
      </w:r>
    </w:p>
    <w:p>
      <w:r>
        <w:t>Адаптация PPO-Findirector-Labs.docx. Подробное сопоставление требований — docs/adaptation.md. Исходный архив лектора не предоставлен; разработан самостоятельный проект.</w:t>
      </w:r>
    </w:p>
    <w:p>
      <w:r>
        <w:br w:type="page"/>
      </w:r>
    </w:p>
    <w:p>
      <w:pPr>
        <w:pStyle w:val="Heading1"/>
      </w:pPr>
      <w:r>
        <w:t>ЛР2. Проектирование</w:t>
      </w:r>
    </w:p>
    <w:p>
      <w:pPr>
        <w:pStyle w:val="Heading2"/>
      </w:pPr>
      <w:r>
        <w:t>Слои и зависимости</w:t>
      </w:r>
    </w:p>
    <w:p>
      <w:r>
        <w:t>Domain: QuoteService, Tariff, Order, TripInput, OrderStatus; формула и валидация входа. Не зависит от других слоёв.</w:t>
      </w:r>
    </w:p>
    <w:p>
      <w:r>
        <w:t>Application: TaxiService и ITaxiStore; роли, сценарии, проверки прав. Зависит от Domain.</w:t>
      </w:r>
    </w:p>
    <w:p>
      <w:r>
        <w:t>Infrastructure: SqliteStore, схема, транзакции, UserStore. Зависит от Application и Domain.</w:t>
      </w:r>
    </w:p>
    <w:p>
      <w:r>
        <w:t>UI: Blazor Web App (Interactive Server), cookie-вход; вызывает Application. Ссылка на Infrastructure нужна только для composition root Program.cs.</w:t>
      </w:r>
    </w:p>
    <w:p>
      <w:r>
        <w:t>Консоль — отдельный адаптер демонстрации расчёта. Тесты — xUnit, изолированные временные БД.</w:t>
      </w:r>
    </w:p>
    <w:p>
      <w:pPr>
        <w:pStyle w:val="Heading2"/>
      </w:pPr>
      <w:r>
        <w:t>Контракты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/>
        </w:trPr>
        <w:tc>
          <w:tcPr>
            <w:tcW w:type="dxa" w:w="2536"/>
          </w:tcPr>
          <w:p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Вход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Ошибки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Compare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distance decimal; список активных тарифов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независимые Quote с base, variable, total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DistanceKm, Tariff, список пуст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Create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серверный Actor(Client), TripInput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новый ID, статус Created, цена-снимок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роль, поле, неактивный тариф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List/Get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Actor, при открытии ID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записи в границах роли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неизвестный ID, запрет доступа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Assign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Actor(Dispatcher), orderId, driverId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Assigned, IsAvailable=false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не существует, не Created, водитель занят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Start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Actor(Driver), orderId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InProgress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чужой заказ, не Assigned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Complete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Actor(Driver), orderId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Completed и IsAvailable=true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чужой заказ, не InProgress</w:t>
            </w:r>
          </w:p>
        </w:tc>
      </w:tr>
    </w:tbl>
    <w:p/>
    <w:p>
      <w:r>
        <w:t>Ошибки имеют Field и Message. Ошибки бизнес-валидации показываются пользователю; внутренние ошибки логируются, без строк подключения в UI. Цена рассчитывается заново при Create, не берётся из браузера. Actor получается из подписанной cookie, не из editable-поля. Идентификатор пользователя связывается с client_id или driver_id через таблицу Users.</w:t>
      </w:r>
    </w:p>
    <w:p>
      <w:pPr>
        <w:pStyle w:val="Heading2"/>
      </w:pPr>
      <w:r>
        <w:t>Атомарность и конкурентность</w:t>
      </w:r>
    </w:p>
    <w:p>
      <w:r>
        <w:t>Назначение берёт BEGIN IMMEDIATE: проверяет заказ, условно меняет доступность водителя, затем условно меняет заказ. Неуспех откатывает транзакцию. Дополнительный частичный UNIQUE-индекс по driver_id для активных заказов предотвращает двойное назначение. Start/Complete проверяют текущий статус и driver_id в транзакции. Complete освобождает только исполнителя завершённого заказа. SQLite busy_timeout=5000; сетевые повторения команды не считаются новой операцией.</w:t>
      </w:r>
    </w:p>
    <w:p>
      <w:pPr>
        <w:pStyle w:val="Heading2"/>
      </w:pPr>
      <w:r>
        <w:t>SRP и DIP</w:t>
      </w:r>
    </w:p>
    <w:p>
      <w:r>
        <w:t>SRP: QuoteService отвечает за расчёт; Razor-компоненты — за ввод/представление. Изменение формулы не требует копировать её в UI. Application связывает шаги сценария, Infrastructure обеспечивает атомарную запись.</w:t>
      </w:r>
    </w:p>
    <w:p>
      <w:r>
        <w:t>DIP: Application объявляет ITaxiStore и не знает SQLite. Реализация подключается через DI. Транзакционные доменные операции представлены методами интерфейса, чтобы между отдельными вызовами чтения/записи не возникали гонки.</w:t>
      </w:r>
    </w:p>
    <w:p>
      <w:pPr>
        <w:pStyle w:val="Heading2"/>
      </w:pPr>
      <w:r>
        <w:t>Ручной проход сценария</w:t>
      </w:r>
    </w:p>
    <w:p>
      <w:r>
        <w:t>Комфорт: base=150, rate=30, distance=4 → 270.00. После Create: Created, driver=null. Assign(driver-1): Assigned, available=false. Start(driver-1): InProgress, 270.00. Complete(driver-1): Completed, available=true, 270.00. Попытка второго Complete отклоняется; изменений нет.</w:t>
      </w:r>
    </w:p>
    <w:p>
      <w:r>
        <w:t>Аналог исходного прохода трёх месяцев — три перехода одного заказа: при каждом переносится идентичность заказа и фиксированная стоимость, а не финансовые остатки.</w:t>
      </w:r>
    </w:p>
    <w:p>
      <w:r>
        <w:br w:type="page"/>
      </w:r>
    </w:p>
    <w:p>
      <w:pPr>
        <w:pStyle w:val="Heading1"/>
      </w:pPr>
      <w:r>
        <w:t>ЛР2 / ЛР4. Модель данных и SQLite</w:t>
      </w:r>
    </w:p>
    <w:p>
      <w:pPr>
        <w:pStyle w:val="Heading2"/>
      </w:pPr>
      <w:r>
        <w:t>Концептуальная модель</w:t>
      </w:r>
    </w:p>
    <w:p>
      <w:r>
        <w:t>Клиент создаёт 0…N заказов, каждый заказ имеет одного клиента. Тариф применяется к 0…N заказов, заказ имеет один тариф. Водитель выполняет 0…N заказов за всё время, заказ имеет 0…1 исполнителя. Сущность Users добавлена для серверных ролей; исходная курсовая авторизации не содержит.</w:t>
      </w:r>
    </w:p>
    <w:p>
      <w:pPr>
        <w:pStyle w:val="Heading2"/>
      </w:pPr>
      <w:r>
        <w:t>Физическая модель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Поля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Clients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full_name TEXT NOT NULL; phone TEXT NOT NULL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Drivers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full_name, car_name, car_number TEXT NOT NULL; is_available INTEGER NOT NULL CHECK 0/1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Tariffs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name TEXT NOT NULL UNIQUE; base_kopecks, rate_kopecks INTEGER NOT NULL CHECK &gt;=0; is_active INTEGER NOT NULL CHECK 0/1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client_id TEXT NOT NULL FK RESTRICT; driver_id TEXT NULL FK RESTRICT; tariff_id TEXT NOT NULL FK RESTRICT; pickup,destination TEXT NOT NULL; distance_hundredths INTEGER CHECK 1…100000; base_kopecks,rate_kopecks,cost_kopecks INTEGER NOT NULL CHECK &gt;=0; status TEXT CHECK; created_at TEXT UTC ISO8601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login TEXT UNIQUE; password_hash TEXT NOT NULL; role TEXT CHECK; client_id или driver_id FK, UNIQUE; диспетчер без обоих FK</w:t>
            </w:r>
          </w:p>
        </w:tc>
      </w:tr>
    </w:tbl>
    <w:p/>
    <w:p>
      <w:r>
        <w:t>Деньги хранятся INTEGER копеек, расстояние — INTEGER сотых километра. Конвертация точная, ToEven не используется. Цена и компоненты сохраняются как исторический снимок. Вычисляемая таблица сравнения не хранится. Даты ISO8601 UTC.</w:t>
      </w:r>
    </w:p>
    <w:p>
      <w:r>
        <w:t>FOREIGN KEY включается в каждой строке подключения (Foreign Keys=True). Создание схемы и сидов — одна транзакция; повторный запуск не перезаписывает заказы. Статусы: Created, Assigned, InProgress, Completed. CHECK согласует наличие водителя со статусом. Частичный UNIQUE Orders(driver_id) WHERE status IN ('Assigned','InProgress') запрещает два активных заказа.</w:t>
      </w:r>
    </w:p>
    <w:p>
      <w:r>
        <w:t>SQLite не обеспечивает авторизацию пользователей приложения: её выполняет Application. Файл БД размещён вне wwwroot. Пароли: PBKDF2-SHA256, случайная соль, 100000 итераций; сравнение в фиксированное время. Демонстрационные пароли не предназначены для внешнего размещения.</w:t>
      </w:r>
    </w:p>
    <w:p>
      <w:r>
        <w:t>Сохранение заказа — Create; изменение существующего ID — Assign/Start/Complete. Редактирования уже оформленного маршрута и произвольного UPSERT нет: адаптация не должна позволять обойти жизненный цикл. Отдельный пример повторного Create создаёт самостоятельный заказ, в отличие от обновления состояния существующего.</w:t>
      </w:r>
    </w:p>
    <w:p>
      <w:r>
        <w:br w:type="page"/>
      </w:r>
    </w:p>
    <w:p>
      <w:pPr>
        <w:pStyle w:val="Heading2"/>
      </w:pPr>
      <w:r>
        <w:t>Диаграмма компонентов</w:t>
      </w:r>
    </w:p>
    <w:p>
      <w:r>
        <w:drawing>
          <wp:inline xmlns:a="http://schemas.openxmlformats.org/drawingml/2006/main" xmlns:pic="http://schemas.openxmlformats.org/drawingml/2006/picture">
            <wp:extent cx="5715000" cy="5652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5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Диаграмма компонентов</w:t>
      </w:r>
    </w:p>
    <w:p>
      <w:r>
        <w:br w:type="page"/>
      </w:r>
    </w:p>
    <w:p>
      <w:pPr>
        <w:pStyle w:val="Heading2"/>
      </w:pPr>
      <w:r>
        <w:t>Диаграмма классов</w:t>
      </w:r>
    </w:p>
    <w:p>
      <w:r>
        <w:drawing>
          <wp:inline xmlns:a="http://schemas.openxmlformats.org/drawingml/2006/main" xmlns:pic="http://schemas.openxmlformats.org/drawingml/2006/picture">
            <wp:extent cx="5715000" cy="6952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Диаграмма классов</w:t>
      </w:r>
    </w:p>
    <w:p>
      <w:r>
        <w:br w:type="page"/>
      </w:r>
    </w:p>
    <w:p>
      <w:pPr>
        <w:pStyle w:val="Heading2"/>
      </w:pPr>
      <w:r>
        <w:t>ER-модель данных</w:t>
      </w:r>
    </w:p>
    <w:p>
      <w:r>
        <w:drawing>
          <wp:inline xmlns:a="http://schemas.openxmlformats.org/drawingml/2006/main" xmlns:pic="http://schemas.openxmlformats.org/drawingml/2006/picture">
            <wp:extent cx="5715000" cy="4076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ER-модель данных</w:t>
      </w:r>
    </w:p>
    <w:p>
      <w:r>
        <w:br w:type="page"/>
      </w:r>
    </w:p>
    <w:p>
      <w:pPr>
        <w:pStyle w:val="Heading2"/>
      </w:pPr>
      <w:r>
        <w:t>Жизненный цикл заказа</w:t>
      </w:r>
    </w:p>
    <w:p>
      <w:r>
        <w:drawing>
          <wp:inline xmlns:a="http://schemas.openxmlformats.org/drawingml/2006/main" xmlns:pic="http://schemas.openxmlformats.org/drawingml/2006/picture">
            <wp:extent cx="4386926" cy="7315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6926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Жизненный цикл заказа</w:t>
      </w:r>
    </w:p>
    <w:sectPr w:rsidR="00FC693F" w:rsidRPr="0006063C" w:rsidSect="00034616">
      <w:footerReference w:type="default" r:id="rId13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АИС «Служба такси» • ППО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