
<file path=[Content_Types].xml><?xml version="1.0" encoding="utf-8"?>
<ns0:Types xmlns:ns0="http://schemas.openxmlformats.org/package/2006/content-types">
  <ns0:Default Extension="emf" ContentType="image/x-emf"/>
  <ns0:Default Extension="png" ContentType="image/png"/>
  <ns0:Default Extension="rels" ContentType="application/vnd.openxmlformats-package.relationships+xml"/>
  <ns0:Default Extension="wmf" ContentType="image/x-wmf"/>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embeddings/oleObject1.bin" ContentType="application/vnd.openxmlformats-officedocument.oleObject"/>
  <ns0:Override PartName="/word/embeddings/oleObject2.bin" ContentType="application/vnd.openxmlformats-officedocument.oleObject"/>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header4.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spacing w:after="80"/>
        <w:jc w:val="center"/>
      </w:pPr>
      <w:r>
        <w:rPr>
          <w:rFonts w:ascii="Times New Roman" w:hAnsi="Times New Roman" w:eastAsia="宋体"/>
          <w:b/>
          <w:i w:val="0"/>
          <w:color w:val="000000"/>
          <w:sz w:val="32"/>
        </w:rPr>
        <w:t>K-Waay批次准入中参与方互异条件的形式化分析</w:t>
      </w:r>
    </w:p>
    <w:p>
      <w:pPr>
        <w:pStyle w:val="41"/>
        <w:spacing w:after="20"/>
        <w:jc w:val="center"/>
      </w:pPr>
      <w:r>
        <w:rPr>
          <w:rFonts w:ascii="Times New Roman" w:hAnsi="Times New Roman" w:eastAsia="宋体"/>
          <w:b w:val="0"/>
          <w:i w:val="0"/>
          <w:color w:val="000000"/>
          <w:sz w:val="24"/>
        </w:rPr>
        <w:t>作者信息待补</w:t>
      </w:r>
    </w:p>
    <w:p>
      <w:pPr>
        <w:pStyle w:val="43"/>
        <w:spacing w:after="20"/>
        <w:jc w:val="center"/>
      </w:pPr>
      <w:r>
        <w:rPr>
          <w:rFonts w:ascii="Times New Roman" w:hAnsi="Times New Roman" w:eastAsia="宋体"/>
          <w:b w:val="0"/>
          <w:i w:val="0"/>
          <w:color w:val="000000"/>
          <w:sz w:val="18"/>
        </w:rPr>
        <w:t>（作者单位、城市、邮编待补）</w:t>
      </w:r>
    </w:p>
    <w:p>
      <w:pPr>
        <w:pStyle w:val="45"/>
        <w:spacing w:before="0" w:after="0" w:lineRule="exact" w:line="240"/>
      </w:pPr>
      <w:r>
        <w:rPr>
          <w:rFonts w:ascii="Times New Roman" w:hAnsi="Times New Roman" w:eastAsia="宋体"/>
          <w:b/>
          <w:i w:val="0"/>
          <w:color w:val="000000"/>
          <w:sz w:val="18"/>
        </w:rPr>
        <w:t>摘  要：</w:t>
      </w:r>
      <w:r>
        <w:rPr>
          <w:rFonts w:ascii="Times New Roman" w:hAnsi="Times New Roman" w:eastAsia="宋体"/>
          <w:b w:val="0"/>
          <w:i w:val="0"/>
          <w:color w:val="000000"/>
          <w:sz w:val="18"/>
        </w:rPr>
        <w:t>K-Waay的BatchReceive 要求同次调用对应不同参与方，但消息限制能否替代该条件需验证。基于共同生命周期构造无互异、消息互异和参与方互异三种固定两槽Tamarin准入模型。无互异模型允许一个匹配发送来源对应同批两个接受；人工语义推导表明，新鲜消息和精确来源匹配使消息互异性与批内来源单射性等价。机器可达见证显示，同一参与方的不同发送实例与消息各有匹配发送来源，可同批接受，故消息约束不能推出参与方互异性。参与方模型保持目标关系，有效批次可达。结论限于固定两槽准入抽象。</w:t>
      </w:r>
    </w:p>
    <w:p>
      <w:pPr>
        <w:pStyle w:val="45"/>
        <w:spacing w:before="0" w:after="0" w:lineRule="exact" w:line="240"/>
      </w:pPr>
      <w:r>
        <w:rPr>
          <w:rFonts w:ascii="Times New Roman" w:hAnsi="Times New Roman" w:eastAsia="宋体"/>
          <w:b/>
          <w:i w:val="0"/>
          <w:color w:val="000000"/>
          <w:sz w:val="18"/>
        </w:rPr>
        <w:t>关键词：</w:t>
      </w:r>
      <w:r>
        <w:rPr>
          <w:rFonts w:ascii="Times New Roman" w:hAnsi="Times New Roman" w:eastAsia="宋体"/>
          <w:b w:val="0"/>
          <w:i w:val="0"/>
          <w:color w:val="000000"/>
          <w:sz w:val="18"/>
        </w:rPr>
        <w:t>K-Waay；批次准入；批内参与方互异条件；Tamarin；形式化验证</w:t>
      </w:r>
    </w:p>
    <w:p>
      <w:pPr>
        <w:pStyle w:val="45"/>
        <w:spacing w:before="0" w:after="0" w:lineRule="exact" w:line="240"/>
      </w:pPr>
      <w:r>
        <w:rPr>
          <w:rFonts w:ascii="Times New Roman" w:hAnsi="Times New Roman" w:eastAsia="宋体"/>
          <w:b/>
          <w:i w:val="0"/>
          <w:color w:val="000000"/>
          <w:sz w:val="18"/>
        </w:rPr>
        <w:t>中图分类号：待确认　　文献标志码：待确认　　文章编号：待定</w:t>
      </w:r>
    </w:p>
    <w:p>
      <w:pPr>
        <w:pStyle w:val="42"/>
        <w:spacing w:before="100" w:after="40"/>
        <w:jc w:val="center"/>
      </w:pPr>
      <w:r>
        <w:rPr>
          <w:rFonts w:ascii="Times New Roman" w:hAnsi="Times New Roman" w:eastAsia="宋体"/>
          <w:b/>
          <w:i w:val="0"/>
          <w:color w:val="000000"/>
          <w:sz w:val="24"/>
        </w:rPr>
        <w:t>Formal Analysis of the Distinct-Party Condition in K-Waay Batch Admission</w:t>
      </w:r>
    </w:p>
    <w:p>
      <w:pPr>
        <w:pStyle w:val="56"/>
        <w:jc w:val="center"/>
      </w:pPr>
      <w:r>
        <w:rPr>
          <w:rFonts w:ascii="Times New Roman" w:hAnsi="Times New Roman" w:eastAsia="宋体"/>
          <w:b w:val="0"/>
          <w:i w:val="0"/>
          <w:color w:val="000000"/>
          <w:sz w:val="21"/>
        </w:rPr>
        <w:t>Author information pending</w:t>
      </w:r>
    </w:p>
    <w:p>
      <w:pPr>
        <w:pStyle w:val="43"/>
        <w:jc w:val="center"/>
      </w:pPr>
      <w:r>
        <w:rPr>
          <w:rFonts w:ascii="Times New Roman" w:hAnsi="Times New Roman" w:eastAsia="宋体"/>
          <w:b w:val="0"/>
          <w:i w:val="0"/>
          <w:color w:val="000000"/>
          <w:sz w:val="18"/>
        </w:rPr>
        <w:t>(Affiliation, city, postal code, and country pending)</w:t>
      </w:r>
    </w:p>
    <w:p>
      <w:pPr>
        <w:pStyle w:val="45"/>
        <w:spacing w:before="0" w:after="0" w:lineRule="exact" w:line="220"/>
        <w:jc w:val="left"/>
      </w:pPr>
      <w:r>
        <w:rPr>
          <w:rFonts w:ascii="Times New Roman" w:hAnsi="Times New Roman" w:eastAsia="宋体"/>
          <w:b/>
          <w:i w:val="0"/>
          <w:color w:val="000000"/>
          <w:sz w:val="17"/>
        </w:rPr>
        <w:t xml:space="preserve">Abstract: </w:t>
      </w:r>
      <w:r>
        <w:rPr>
          <w:rFonts w:ascii="Times New Roman" w:hAnsi="Times New Roman" w:eastAsia="宋体"/>
          <w:b w:val="0"/>
          <w:i w:val="0"/>
          <w:color w:val="000000"/>
          <w:sz w:val="17"/>
        </w:rPr>
        <w:t>K-Waay requires inputs to one BatchReceive invocation to correspond to different parties, but whether message distinction can replace this same-batch condition requires verification. Three fixed-two-slot Tamarin admission models---unconstrained, message-constrained, and party-constrained---were constructed over a common lifecycle. The unconstrained model admitted two same-batch acceptance events supported by one matching sender origin. A manual semantic derivation under the fresh-message and exact-origin rules showed that same-batch message distinction and batch-scoped origin injectivity are equivalent in the message-constrained model. A machine-reachable execution nevertheless contained two distinct sender occurrences and messages from the same party, each with its own matching sender origin; both entered one batch and yielded two ReceiverAccept events. Thus message distinction does not imply same-batch party distinction. The party-constrained model preserved the target relation while retaining reachable valid distinct-party batches. These conclusions are limited to the fixed-two-slot batch-admission abstraction.</w:t>
      </w:r>
    </w:p>
    <w:p>
      <w:pPr>
        <w:pStyle w:val="45"/>
        <w:spacing w:before="0" w:after="0" w:lineRule="exact" w:line="220"/>
        <w:jc w:val="left"/>
      </w:pPr>
      <w:r>
        <w:rPr>
          <w:rFonts w:ascii="Times New Roman" w:hAnsi="Times New Roman" w:eastAsia="宋体"/>
          <w:b/>
          <w:i w:val="0"/>
          <w:color w:val="000000"/>
          <w:sz w:val="17"/>
        </w:rPr>
        <w:t xml:space="preserve">Key words: </w:t>
      </w:r>
      <w:r>
        <w:rPr>
          <w:rFonts w:ascii="Times New Roman" w:hAnsi="Times New Roman" w:eastAsia="宋体"/>
          <w:b w:val="0"/>
          <w:i w:val="0"/>
          <w:color w:val="000000"/>
          <w:sz w:val="17"/>
        </w:rPr>
        <w:t>K-Waay; batch admission; distinct-party condition; Tamarin; formal verification</w:t>
      </w:r>
    </w:p>
    <w:p>
      <w:pPr>
        <w:sectPr>
          <w:headerReference w:type="default" r:id="rId16"/>
          <w:headerReference w:type="first" r:id="rId17"/>
          <w:footerReference w:type="default" r:id="rId18"/>
          <w:footerReference w:type="first" r:id="rId19"/>
          <w:type w:val="continuous"/>
          <w:pgSz w:w="11906" w:h="16838"/>
          <w:pgMar w:top="1134" w:right="850" w:bottom="850" w:left="850" w:header="397" w:footer="397" w:gutter="0"/>
          <w:cols w:space="360" w:num="1"/>
          <w:titlePg/>
          <w:docGrid w:type="linesAndChars" w:linePitch="322" w:charSpace="460"/>
        </w:sectPr>
      </w:pPr>
    </w:p>
    <w:p>
      <w:pPr>
        <w:pStyle w:val="65"/>
        <w:keepNext/>
        <w:spacing w:before="100" w:after="20"/>
      </w:pPr>
      <w:r>
        <w:rPr>
          <w:rFonts w:ascii="Times New Roman" w:hAnsi="Times New Roman" w:eastAsia="宋体"/>
          <w:b/>
          <w:i w:val="0"/>
          <w:color w:val="000000"/>
          <w:sz w:val="21"/>
        </w:rPr>
        <w:t>引言</w:t>
      </w:r>
    </w:p>
    <w:p>
      <w:pPr>
        <w:pStyle w:val="71"/>
        <w:spacing w:before="0" w:after="0" w:lineRule="exact" w:line="240"/>
        <w:ind w:firstLine="360"/>
        <w:jc w:val="both"/>
      </w:pPr>
      <w:r>
        <w:rPr>
          <w:rFonts w:ascii="Times New Roman" w:hAnsi="Times New Roman" w:eastAsia="宋体"/>
          <w:b w:val="0"/>
          <w:i w:val="0"/>
          <w:color w:val="000000"/>
          <w:sz w:val="18"/>
        </w:rPr>
        <w:t>后量子安全消息协议的分析通常围绕单次握手、单条消息或单个会话展开，而异步接收接口还可能将多个发送方关联输入组合为一次处理。单个条目的来源性质只能描述该条目，不能据此确定同批条目之间应满足的关系。安全消息的会话组合研究同样表明，组合边界可能承担独立于组件性质的安全义务[1]。因此，批次准入中的条目关系需要作为单独的分析对象。</w:t>
      </w:r>
    </w:p>
    <w:p>
      <w:pPr>
        <w:pStyle w:val="71"/>
        <w:spacing w:before="0" w:after="0" w:lineRule="exact" w:line="240"/>
        <w:ind w:firstLine="360"/>
        <w:jc w:val="both"/>
      </w:pPr>
      <w:r>
        <w:rPr>
          <w:rFonts w:ascii="Times New Roman" w:hAnsi="Times New Roman" w:eastAsia="宋体"/>
          <w:b w:val="0"/>
          <w:i w:val="0"/>
          <w:color w:val="000000"/>
          <w:sz w:val="18"/>
        </w:rPr>
        <w:t>K-Waay 是一种后量子、类似X3DH的可否认认证密钥交换协议[2]。其BatchReceive 操作在共享接收方状态下处理多个发送方关联输入；原文第5.1节（第21页）明确要求同一次调用中的元素对应不同参与方[3]。下文将这一要求称为批内参与方互异条件（distinct-party condition）。分析并非寻找协议规范遗漏的条件，而是考察该条件维护的批内关系，以及在条目均具有模型内匹配发送来源时，其他准入限制能否推出这一关系。</w:t>
      </w:r>
    </w:p>
    <w:p>
      <w:pPr>
        <w:pStyle w:val="71"/>
        <w:spacing w:before="0" w:after="0" w:lineRule="exact" w:line="240"/>
        <w:ind w:firstLine="360"/>
        <w:jc w:val="both"/>
      </w:pPr>
      <w:r>
        <w:rPr>
          <w:rFonts w:ascii="Times New Roman" w:hAnsi="Times New Roman" w:eastAsia="宋体"/>
          <w:b w:val="0"/>
          <w:i w:val="0"/>
          <w:color w:val="000000"/>
          <w:sz w:val="18"/>
        </w:rPr>
        <w:t>Signal、PQXDH等安全消息协议的形式化分析主要考察握手、会话和密钥安全性质[4,5]；Tamarin为描述安全协议的符号执行轨迹和验证迹性质提供了通用方法[6]。身份名称、单射一致性与会话组合方面的研究还说明，参与方表示、事件对应关系和组合层性质需要分别界定[7,8,1]。这些研究为分析提供了方法和概念基础，但BatchReceive 中消息、发送实例与参与方三个比较维度的关系仍需结合其批次生命周期具体刻画。</w:t>
      </w:r>
    </w:p>
    <w:p>
      <w:pPr>
        <w:pStyle w:val="71"/>
        <w:spacing w:before="0" w:after="0" w:lineRule="exact" w:line="240"/>
        <w:ind w:firstLine="360"/>
        <w:jc w:val="both"/>
      </w:pPr>
      <w:r>
        <w:rPr>
          <w:rFonts w:ascii="Times New Roman" w:hAnsi="Times New Roman" w:eastAsia="宋体"/>
          <w:b w:val="0"/>
          <w:i w:val="0"/>
          <w:color w:val="000000"/>
          <w:sz w:val="18"/>
        </w:rPr>
        <w:t>同一参与方可以通过不同发送实例产生不同消息，因而批内消息互异性、发送—接受事件的单射关系和批内参与方互异性比较的是不同对象。静态地指出这些对象不同，并不能说明相应条目能否经过来源匹配、批次准入和顺序处理并产生接受事件。为此，需要回答三个相互关联的问题：移除目标条件后，重复参与方条目能否进入同一批次；一个完整元组的匹配发送来源能否对应同批两个接受事件；消息互异约束能否排除同一参与方的不同消息共同进入批次。研究边界限定在固定两槽的批次准入抽象，不将模型结果解释为完整K-Waay攻击或部署缺陷。</w:t>
      </w:r>
    </w:p>
    <w:p>
      <w:pPr>
        <w:pStyle w:val="71"/>
        <w:spacing w:before="0" w:after="0" w:lineRule="exact" w:line="240"/>
        <w:ind w:firstLine="360"/>
        <w:jc w:val="both"/>
      </w:pPr>
      <w:r>
        <w:rPr>
          <w:rFonts w:ascii="Times New Roman" w:hAnsi="Times New Roman" w:eastAsia="宋体"/>
          <w:b w:val="0"/>
          <w:i w:val="0"/>
          <w:color w:val="000000"/>
          <w:sz w:val="18"/>
        </w:rPr>
        <w:t>为控制流程差异，三个模型共用发送、网络暴露、两槽收集、来源匹配和顺序处理生命周期，仅改变准入约束。无互异约束模型用于观察移除目标条件后的行为；消息互异约束模型检验消息关系能否替代参与方关系；参与方互异约束模型直接施加目标约束，作为目标对照（positive control）。验证结果表明，无互异约束模型允许一个匹配发送来源对应同批两个接受事件；消息互异约束模型虽保持消息互异性和批内来源单射性，同一参与方的不同消息仍可在同批被接受；目标对照则保持批内参与方互异性，且有效的不同参与方批次可达。</w:t>
      </w:r>
    </w:p>
    <w:p>
      <w:pPr>
        <w:pStyle w:val="71"/>
        <w:spacing w:before="0" w:after="0" w:lineRule="exact" w:line="240"/>
        <w:ind w:firstLine="360"/>
        <w:jc w:val="both"/>
      </w:pPr>
      <w:r>
        <w:rPr>
          <w:rFonts w:ascii="Times New Roman" w:hAnsi="Times New Roman" w:eastAsia="宋体"/>
          <w:b w:val="0"/>
          <w:i w:val="0"/>
          <w:color w:val="000000"/>
          <w:sz w:val="18"/>
        </w:rPr>
        <w:t>本文的主要贡献如下：</w:t>
      </w:r>
    </w:p>
    <w:p>
      <w:pPr>
        <w:pStyle w:val="71"/>
        <w:spacing w:before="0" w:after="0" w:lineRule="exact" w:line="240"/>
        <w:ind w:left="440" w:hanging="440"/>
        <w:jc w:val="both"/>
      </w:pPr>
      <w:r>
        <w:rPr>
          <w:rFonts w:ascii="Times New Roman" w:hAnsi="Times New Roman" w:eastAsia="宋体"/>
          <w:b/>
          <w:color w:val="000000"/>
          <w:sz w:val="18"/>
        </w:rPr>
        <w:t xml:space="preserve">1) </w:t>
      </w:r>
      <w:r>
        <w:rPr>
          <w:rFonts w:ascii="Times New Roman" w:hAnsi="Times New Roman" w:eastAsia="宋体"/>
          <w:b w:val="0"/>
          <w:i w:val="0"/>
          <w:color w:val="000000"/>
          <w:sz w:val="18"/>
        </w:rPr>
        <w:t>形式化刻画BatchReceive 的批内参与方互异条件，并区分参与方、发送实例和消息三个比较维度；</w:t>
      </w:r>
    </w:p>
    <w:p>
      <w:pPr>
        <w:pStyle w:val="71"/>
        <w:spacing w:before="0" w:after="0" w:lineRule="exact" w:line="240"/>
        <w:ind w:left="440" w:hanging="440"/>
        <w:jc w:val="both"/>
      </w:pPr>
      <w:r>
        <w:rPr>
          <w:rFonts w:ascii="Times New Roman" w:hAnsi="Times New Roman" w:eastAsia="宋体"/>
          <w:b/>
          <w:color w:val="000000"/>
          <w:sz w:val="18"/>
        </w:rPr>
        <w:t xml:space="preserve">2) </w:t>
      </w:r>
      <w:r>
        <w:rPr>
          <w:rFonts w:ascii="Times New Roman" w:hAnsi="Times New Roman" w:eastAsia="宋体"/>
          <w:b w:val="0"/>
          <w:i w:val="0"/>
          <w:color w:val="000000"/>
          <w:sz w:val="18"/>
        </w:rPr>
        <w:t>在共同的两槽生命周期上构造三种受控准入模型，比较消息互异约束与参与方互异约束的作用，并用发送来源对应性和批内来源单射性描述发送—接受事件关系；</w:t>
      </w:r>
    </w:p>
    <w:p>
      <w:pPr>
        <w:pStyle w:val="71"/>
        <w:spacing w:before="0" w:after="0" w:lineRule="exact" w:line="240"/>
        <w:ind w:left="440" w:hanging="440"/>
        <w:jc w:val="both"/>
      </w:pPr>
      <w:r>
        <w:rPr>
          <w:rFonts w:ascii="Times New Roman" w:hAnsi="Times New Roman" w:eastAsia="宋体"/>
          <w:b/>
          <w:color w:val="000000"/>
          <w:sz w:val="18"/>
        </w:rPr>
        <w:t xml:space="preserve">3) </w:t>
      </w:r>
      <w:r>
        <w:rPr>
          <w:rFonts w:ascii="Times New Roman" w:hAnsi="Times New Roman" w:eastAsia="宋体"/>
          <w:b w:val="0"/>
          <w:i w:val="0"/>
          <w:color w:val="000000"/>
          <w:sz w:val="18"/>
        </w:rPr>
        <w:t>给出并机器验证消息级限制不能替代参与方关系的完整可达见证：同一参与方的不同发送实例和消息各有匹配发送来源，经过共同批次生命周期后产生两个接受事件；同时利用目标对照确认批内参与方互异性成立且有效批次可达。</w:t>
      </w:r>
    </w:p>
    <w:p>
      <w:pPr>
        <w:pStyle w:val="65"/>
        <w:keepNext/>
        <w:spacing w:before="100" w:after="20"/>
      </w:pPr>
      <w:r>
        <w:rPr>
          <w:rFonts w:ascii="Times New Roman" w:hAnsi="Times New Roman" w:eastAsia="宋体"/>
          <w:b/>
          <w:i w:val="0"/>
          <w:color w:val="000000"/>
          <w:sz w:val="21"/>
        </w:rPr>
        <w:t>K-Waay批次准入与参与方互异问题</w:t>
      </w:r>
    </w:p>
    <w:p>
      <w:pPr>
        <w:pStyle w:val="66"/>
        <w:keepNext/>
        <w:spacing w:before="60" w:after="20"/>
      </w:pPr>
      <w:r>
        <w:rPr>
          <w:rFonts w:ascii="Times New Roman" w:hAnsi="Times New Roman" w:eastAsia="宋体"/>
          <w:b/>
          <w:i w:val="0"/>
          <w:color w:val="000000"/>
          <w:sz w:val="18"/>
        </w:rPr>
        <w:t>BatchReceive机制与批内参与方互异条件</w:t>
      </w:r>
    </w:p>
    <w:p>
      <w:pPr>
        <w:pStyle w:val="71"/>
        <w:spacing w:before="0" w:after="0" w:lineRule="exact" w:line="240"/>
        <w:ind w:firstLine="360"/>
        <w:jc w:val="both"/>
      </w:pPr>
      <w:r>
        <w:rPr>
          <w:rFonts w:ascii="Times New Roman" w:hAnsi="Times New Roman" w:eastAsia="宋体"/>
          <w:b w:val="0"/>
          <w:i w:val="0"/>
          <w:color w:val="000000"/>
          <w:sz w:val="18"/>
        </w:rPr>
        <w:t>K-Waay 由KEM、数字签名和split-KEM等密码组件构成，其完整握手和计算安全证明不在本文分析范围内[2]。与批次问题直接相关的是接收侧接口：发送方调用Send 产生协议消息；原文第4.1节说明，当多条发送方消息对应同一接收方临时状态时，接收方以该共享状态调用BatchReceive[3]。一次调用的输入可概括为</w:t>
      </w:r>
    </w:p>
    <w:p>
      <w:pPr>
        <w:pStyle w:val="74"/>
        <w:keepLines/>
        <w:tabs>
          <w:tab w:pos="4592" w:val="right"/>
        </w:tabs>
        <w:spacing w:before="40" w:after="40"/>
        <w:jc w:val="center"/>
      </w:pPr>
      <m:oMath>
        <m:r>
          <m:rPr>
            <m:sty m:val="p"/>
          </m:rPr>
          <m:t xml:space="preserve">S=((pkⱼ₁,prekⱼ₁,mⱼ₁),…,
(pkⱼ₍d₎,prekⱼ₍d₎,mⱼ₍d₎)),
d≥ 1,</m:t>
        </m:r>
      </m:oMath>
    </w:p>
    <w:p>
      <w:pPr>
        <w:pStyle w:val="71"/>
        <w:spacing w:before="0" w:after="0" w:lineRule="exact" w:line="240"/>
        <w:ind w:firstLine="360"/>
        <w:jc w:val="both"/>
      </w:pPr>
      <w:r>
        <w:rPr>
          <w:rFonts w:ascii="Times New Roman" w:hAnsi="Times New Roman" w:eastAsia="宋体"/>
          <w:b w:val="0"/>
          <w:i w:val="0"/>
          <w:color w:val="000000"/>
          <w:sz w:val="18"/>
        </w:rPr>
        <w:t>其中，每个分量包含所声称发送方的公钥、预密钥束和协议消息。该向量只表示一次接收操作会组合多个发送方关联输入，不涉及各分量的解封装和密钥派生过程。</w:t>
      </w:r>
    </w:p>
    <w:p>
      <w:pPr>
        <w:pStyle w:val="71"/>
        <w:spacing w:before="0" w:after="0" w:lineRule="exact" w:line="240"/>
        <w:ind w:firstLine="360"/>
        <w:jc w:val="both"/>
      </w:pPr>
      <w:r>
        <w:rPr>
          <w:rFonts w:ascii="Times New Roman" w:hAnsi="Times New Roman" w:eastAsia="宋体"/>
          <w:b w:val="0"/>
          <w:i w:val="0"/>
          <w:color w:val="000000"/>
          <w:sz w:val="18"/>
        </w:rPr>
        <w:t>原文第5.1节（第21页）要求同次BatchReceive 调用中的元素对应不同参与方[3]。该要求约束同一批次内元素之间的关系，并不要求某个参与方在整个执行中只出现一次，也不限制其只能产生一条消息。规范明确了目标关系，但未在该处指定由调用者、批次构造组件还是准入层负责维护。</w:t>
      </w:r>
    </w:p>
    <w:p>
      <w:pPr>
        <w:pStyle w:val="71"/>
        <w:spacing w:before="0" w:after="0" w:lineRule="exact" w:line="240"/>
        <w:ind w:firstLine="360"/>
        <w:jc w:val="both"/>
      </w:pPr>
      <w:r>
        <w:rPr>
          <w:rFonts w:ascii="Times New Roman" w:hAnsi="Times New Roman" w:eastAsia="宋体"/>
          <w:b w:val="0"/>
          <w:i w:val="0"/>
          <w:color w:val="000000"/>
          <w:sz w:val="18"/>
        </w:rPr>
        <w:t>分析对象是候选条目完成组合之后、进入后续处理之前的边界，下文称为批次准入。“批次准入”仅概括这一分析边界，并非为K-Waay增加新算法。该边界需要刻画同次调用中各条目的参与方投影及其相互关系，而不是重新描述完整密码过程。</w:t>
      </w:r>
    </w:p>
    <w:p>
      <w:pPr>
        <w:pStyle w:val="66"/>
        <w:keepNext/>
        <w:spacing w:before="60" w:after="20"/>
      </w:pPr>
      <w:r>
        <w:rPr>
          <w:rFonts w:ascii="Times New Roman" w:hAnsi="Times New Roman" w:eastAsia="宋体"/>
          <w:b/>
          <w:i w:val="0"/>
          <w:color w:val="000000"/>
          <w:sz w:val="18"/>
        </w:rPr>
        <w:t>比较维度与问题实例</w:t>
      </w:r>
    </w:p>
    <w:p>
      <w:pPr>
        <w:pStyle w:val="71"/>
        <w:spacing w:before="0" w:after="0" w:lineRule="exact" w:line="240"/>
        <w:ind w:firstLine="360"/>
        <w:jc w:val="both"/>
      </w:pPr>
      <w:r>
        <w:rPr>
          <w:rFonts w:ascii="Times New Roman" w:hAnsi="Times New Roman" w:eastAsia="宋体"/>
          <w:b w:val="0"/>
          <w:i w:val="0"/>
          <w:color w:val="000000"/>
          <w:sz w:val="18"/>
        </w:rPr>
        <w:t>为区分不同限制实际比较的对象，将参与方、发送实例和消息三个分量分别表示。批次准入所需的条目信息抽象为</w:t>
      </w:r>
    </w:p>
    <w:p>
      <w:pPr>
        <w:pStyle w:val="74"/>
        <w:keepLines/>
        <w:tabs>
          <w:tab w:pos="4592" w:val="right"/>
        </w:tabs>
        <w:spacing w:before="40" w:after="40"/>
        <w:jc w:val="center"/>
      </w:pPr>
      <m:oMath>
        <m:r>
          <m:rPr>
            <m:sty m:val="p"/>
          </m:rPr>
          <m:t xml:space="preserve">Eᵢ=(Aᵢ,oidᵢ,mᵢ),</m:t>
        </m:r>
      </m:oMath>
      <w:r>
        <w:rPr>
          <w:rFonts w:ascii="Times New Roman" w:hAnsi="Times New Roman" w:eastAsia="宋体"/>
          <w:color w:val="000000"/>
          <w:sz w:val="18"/>
        </w:rPr>
        <w:tab/>
        <w:t>(1)</w:t>
      </w:r>
    </w:p>
    <w:p>
      <w:pPr>
        <w:pStyle w:val="71"/>
        <w:spacing w:before="0" w:after="0" w:lineRule="exact" w:line="240"/>
        <w:ind w:firstLine="360"/>
        <w:jc w:val="both"/>
      </w:pPr>
      <w:r>
        <w:rPr>
          <w:rFonts w:ascii="Times New Roman" w:hAnsi="Times New Roman" w:eastAsia="宋体"/>
          <w:b w:val="0"/>
          <w:i w:val="0"/>
          <w:color w:val="000000"/>
          <w:sz w:val="18"/>
        </w:rPr>
        <w:t>其中，</w:t>
      </w:r>
      <m:oMath>
        <m:r>
          <m:rPr>
            <m:sty m:val="p"/>
          </m:rPr>
          <m:t xml:space="preserve">Aᵢ</m:t>
        </m:r>
      </m:oMath>
      <w:r>
        <w:rPr>
          <w:rFonts w:ascii="Times New Roman" w:hAnsi="Times New Roman" w:eastAsia="宋体"/>
          <w:b w:val="0"/>
          <w:i w:val="0"/>
          <w:color w:val="000000"/>
          <w:sz w:val="18"/>
        </w:rPr>
        <w:t>是参与方分量，</w:t>
      </w:r>
      <m:oMath>
        <m:r>
          <m:rPr>
            <m:sty m:val="p"/>
          </m:rPr>
          <m:t xml:space="preserve">oidᵢ</m:t>
        </m:r>
      </m:oMath>
      <w:r>
        <w:rPr>
          <w:rFonts w:ascii="Times New Roman" w:hAnsi="Times New Roman" w:eastAsia="宋体"/>
          <w:b w:val="0"/>
          <w:i w:val="0"/>
          <w:color w:val="000000"/>
          <w:sz w:val="18"/>
        </w:rPr>
        <w:t>是发送实例标识，</w:t>
      </w:r>
      <m:oMath>
        <m:r>
          <m:rPr>
            <m:sty m:val="p"/>
          </m:rPr>
          <m:t xml:space="preserve">mᵢ</m:t>
        </m:r>
      </m:oMath>
      <w:r>
        <w:rPr>
          <w:rFonts w:ascii="Times New Roman" w:hAnsi="Times New Roman" w:eastAsia="宋体"/>
          <w:b w:val="0"/>
          <w:i w:val="0"/>
          <w:color w:val="000000"/>
          <w:sz w:val="18"/>
        </w:rPr>
        <w:t>是消息分量。中文稿中的</w:t>
      </w:r>
      <m:oMath>
        <m:r>
          <m:rPr>
            <m:sty m:val="p"/>
          </m:rPr>
          <m:t xml:space="preserve">oid</m:t>
        </m:r>
      </m:oMath>
      <w:r>
        <w:rPr>
          <w:rFonts w:ascii="Times New Roman" w:hAnsi="Times New Roman" w:eastAsia="宋体"/>
          <w:b w:val="0"/>
          <w:i w:val="0"/>
          <w:color w:val="000000"/>
          <w:sz w:val="18"/>
        </w:rPr>
        <w:t>对应Tamarin源模型的</w:t>
      </w:r>
      <m:oMath>
        <m:r>
          <m:rPr>
            <m:sty m:val="p"/>
          </m:rPr>
          <m:t xml:space="preserve">sid</m:t>
        </m:r>
      </m:oMath>
      <w:r>
        <w:rPr>
          <w:rFonts w:ascii="Times New Roman" w:hAnsi="Times New Roman" w:eastAsia="宋体"/>
          <w:b w:val="0"/>
          <w:i w:val="0"/>
          <w:color w:val="000000"/>
          <w:sz w:val="18"/>
        </w:rPr>
        <w:t>，表示一次SendMessage规则实例化产生的发送实例，不是完整协议的会话标识、transcript或事件时间点。式(1)仅用于分析，不表示协议线路编码。</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1　比较维度与模型映射</w:t>
      </w:r>
    </w:p>
    <w:tbl>
      <w:tblPr>
        <w:tblW w:type="auto" w:w="0"/>
        <w:jc w:val="center"/>
        <w:tblLayout w:type="fixed"/>
        <w:tblLook w:firstColumn="1" w:firstRow="1" w:lastColumn="0" w:lastRow="0" w:noHBand="0" w:noVBand="1" w:val="04A0"/>
      </w:tblPr>
      <w:tblGrid>
        <w:gridCol w:w="1247"/>
        <w:gridCol w:w="1134"/>
        <w:gridCol w:w="1247"/>
        <w:gridCol w:w="2381"/>
        <w:gridCol w:w="2948"/>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比较对象</w:t>
            </w:r>
          </w:p>
        </w:tc>
        <w:tc>
          <w:tcPr>
            <w:tcW w:type="dxa" w:w="113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论文记号</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Tamarin记号</w:t>
            </w:r>
          </w:p>
        </w:tc>
        <w:tc>
          <w:tcPr>
            <w:tcW w:type="dxa" w:w="238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作用</w:t>
            </w:r>
          </w:p>
        </w:tc>
        <w:tc>
          <w:tcPr>
            <w:tcW w:type="dxa" w:w="294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解释边界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A</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表示模型中的协议主体</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不自动等同于账户或密钥编码</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发送实例标识</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oid</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sid</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区分规则产生的发送实例</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消息分量</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1247"/>
            <w:vAlign w:val="center"/>
            <w:tcBorders>
              <w:top w:val="nil"/>
              <w:bottom w:val="nil"/>
              <w:left w:val="nil"/>
              <w:right w:val="nil"/>
              <w:insideH w:val="nil"/>
              <w:insideV w:val="nil"/>
            </w:tcBorders>
          </w:tcPr>
          <w:p>
            <w:pPr>
              <w:spacing w:before="0" w:after="0" w:lineRule="exact" w:line="190"/>
              <w:jc w:val="left"/>
            </w:pPr>
            <w:r/>
            <m:oMath>
              <m:r>
                <m:rPr>
                  <m:sty m:val="p"/>
                </m:rPr>
                <m:t xml:space="preserve">m</m:t>
              </m:r>
            </m:oMath>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表示发送方产生的符号消息</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消息不同不推出参与方不同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槽位</w:t>
            </w:r>
          </w:p>
        </w:tc>
        <w:tc>
          <w:tcPr>
            <w:tcW w:type="dxa" w:w="1134"/>
            <w:vAlign w:val="center"/>
            <w:tcBorders>
              <w:top w:val="nil"/>
              <w:bottom w:val="nil"/>
              <w:left w:val="nil"/>
              <w:right w:val="nil"/>
              <w:insideH w:val="nil"/>
              <w:insideV w:val="nil"/>
            </w:tcBorders>
          </w:tcPr>
          <w:p>
            <w:pPr>
              <w:spacing w:before="0" w:after="0" w:lineRule="exact" w:line="190"/>
              <w:jc w:val="left"/>
            </w:pPr>
            <w:r/>
            <m:oMath>
              <m:r>
                <m:rPr>
                  <m:sty m:val="p"/>
                </m:rPr>
                <m:t xml:space="preserve">i</m:t>
              </m:r>
            </m:oMath>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线性收集状态</w:t>
            </w:r>
          </w:p>
        </w:tc>
        <w:tc>
          <w:tcPr>
            <w:tcW w:type="dxa" w:w="238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标识批次内位置</w:t>
            </w:r>
          </w:p>
        </w:tc>
        <w:tc>
          <w:tcPr>
            <w:tcW w:type="dxa" w:w="294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位置不同不保证条目互异</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批次与接收方上下文</w:t>
            </w:r>
          </w:p>
        </w:tc>
        <w:tc>
          <w:tcPr>
            <w:tcW w:type="dxa" w:w="1134"/>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(bid,rst)</m:t>
              </m:r>
            </m:oMath>
          </w:p>
        </w:tc>
        <w:tc>
          <w:tcPr>
            <w:tcW w:type="dxa" w:w="238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限定共同处理范围</w:t>
            </w:r>
          </w:p>
        </w:tc>
        <w:tc>
          <w:tcPr>
            <w:tcW w:type="dxa" w:w="294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不表示完整接收方状态</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表1中的维度具有不同作用：槽位和</w:t>
      </w:r>
      <m:oMath>
        <m:r>
          <m:rPr>
            <m:sty m:val="p"/>
          </m:rPr>
          <m:t xml:space="preserve">(bid,rst)</m:t>
        </m:r>
      </m:oMath>
      <w:r>
        <w:rPr>
          <w:rFonts w:ascii="Times New Roman" w:hAnsi="Times New Roman" w:eastAsia="宋体"/>
          <w:b w:val="0"/>
          <w:i w:val="0"/>
          <w:color w:val="000000"/>
          <w:sz w:val="18"/>
        </w:rPr>
        <w:t>限定条目所在的批次上下文，消息分量区分符号消息，发送实例标识区分具体发送，参与方分量则是目标条件比较的对象。</w:t>
      </w:r>
      <m:oMath>
        <m:r>
          <m:rPr>
            <m:sty m:val="p"/>
          </m:rPr>
          <m:t xml:space="preserve">A</m:t>
        </m:r>
      </m:oMath>
      <w:r>
        <w:rPr>
          <w:rFonts w:ascii="Times New Roman" w:hAnsi="Times New Roman" w:eastAsia="宋体"/>
          <w:b w:val="0"/>
          <w:i w:val="0"/>
          <w:color w:val="000000"/>
          <w:sz w:val="18"/>
        </w:rPr>
        <w:t>表示符号模型中的协议主体，不自动等同于账户、公钥字节串或数据库记录；具体系统仍需说明实现对象到参与方投影的映射。</w:t>
      </w:r>
    </w:p>
    <w:p>
      <w:pPr>
        <w:pStyle w:val="71"/>
        <w:spacing w:before="0" w:after="0" w:lineRule="exact" w:line="240"/>
        <w:ind w:firstLine="360"/>
        <w:jc w:val="both"/>
      </w:pPr>
      <w:r>
        <w:rPr>
          <w:rFonts w:ascii="Times New Roman" w:hAnsi="Times New Roman" w:eastAsia="宋体"/>
          <w:b w:val="0"/>
          <w:i w:val="0"/>
          <w:color w:val="000000"/>
          <w:sz w:val="18"/>
        </w:rPr>
        <w:t>考虑候选条目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，其中</w:t>
      </w:r>
      <m:oMath>
        <m:r>
          <m:rPr>
            <m:sty m:val="p"/>
          </m:rPr>
          <m:t xml:space="preserve">oid₁≠oid₂</m:t>
        </m:r>
      </m:oMath>
      <w:r>
        <w:rPr>
          <w:rFonts w:ascii="Times New Roman" w:hAnsi="Times New Roman" w:eastAsia="宋体"/>
          <w:b w:val="0"/>
          <w:i w:val="0"/>
          <w:color w:val="000000"/>
          <w:sz w:val="18"/>
        </w:rPr>
        <w:t>且</w:t>
      </w:r>
      <m:oMath>
        <m:r>
          <m:rPr>
            <m:sty m:val="p"/>
          </m:rPr>
          <m:t xml:space="preserve">m₁≠ m₂</m:t>
        </m:r>
      </m:oMath>
      <w:r>
        <w:rPr>
          <w:rFonts w:ascii="Times New Roman" w:hAnsi="Times New Roman" w:eastAsia="宋体"/>
          <w:b w:val="0"/>
          <w:i w:val="0"/>
          <w:color w:val="000000"/>
          <w:sz w:val="18"/>
        </w:rPr>
        <w:t>。二者来自不同发送实例并携带不同消息，但参与方投影相同。这一最小实例说明，消息或发送实例互异在静态关系上不能保证参与方互异；其是否构成模型中的实际行为，还需通过共同生命周期的可达性验证。</w:t>
      </w:r>
    </w:p>
    <w:p>
      <w:pPr>
        <w:pStyle w:val="66"/>
        <w:keepNext/>
        <w:spacing w:before="60" w:after="20"/>
      </w:pPr>
      <w:r>
        <w:rPr>
          <w:rFonts w:ascii="Times New Roman" w:hAnsi="Times New Roman" w:eastAsia="宋体"/>
          <w:b/>
          <w:i w:val="0"/>
          <w:color w:val="000000"/>
          <w:sz w:val="18"/>
        </w:rPr>
        <w:t>研究问题</w:t>
      </w:r>
    </w:p>
    <w:p>
      <w:pPr>
        <w:pStyle w:val="71"/>
        <w:spacing w:before="0" w:after="0" w:lineRule="exact" w:line="240"/>
        <w:ind w:firstLine="360"/>
        <w:jc w:val="both"/>
      </w:pPr>
      <w:r>
        <w:rPr>
          <w:rFonts w:ascii="Times New Roman" w:hAnsi="Times New Roman" w:eastAsia="宋体"/>
          <w:b w:val="0"/>
          <w:i w:val="0"/>
          <w:color w:val="000000"/>
          <w:sz w:val="18"/>
        </w:rPr>
        <w:t>基于上述区分，提出三个研究问题：</w:t>
      </w:r>
    </w:p>
    <w:p>
      <w:pPr>
        <w:pStyle w:val="71"/>
        <w:spacing w:before="0" w:after="0" w:lineRule="exact" w:line="240"/>
        <w:ind w:left="440" w:hanging="440"/>
        <w:jc w:val="both"/>
      </w:pPr>
      <w:r>
        <w:rPr>
          <w:rFonts w:ascii="Times New Roman" w:hAnsi="Times New Roman" w:eastAsia="宋体"/>
          <w:b/>
          <w:color w:val="000000"/>
          <w:sz w:val="18"/>
        </w:rPr>
        <w:t>RQ1：</w:t>
      </w:r>
      <w:r>
        <w:rPr>
          <w:rFonts w:ascii="Times New Roman" w:hAnsi="Times New Roman" w:eastAsia="宋体"/>
          <w:b w:val="0"/>
          <w:i w:val="0"/>
          <w:color w:val="000000"/>
          <w:sz w:val="18"/>
        </w:rPr>
        <w:t>移除批内参与方互异条件后，重复参与方条目能否进入同一批次并产生接受事件？</w:t>
      </w:r>
    </w:p>
    <w:p>
      <w:pPr>
        <w:pStyle w:val="71"/>
        <w:spacing w:before="0" w:after="0" w:lineRule="exact" w:line="240"/>
        <w:ind w:left="440" w:hanging="440"/>
        <w:jc w:val="both"/>
      </w:pPr>
      <w:r>
        <w:rPr>
          <w:rFonts w:ascii="Times New Roman" w:hAnsi="Times New Roman" w:eastAsia="宋体"/>
          <w:b/>
          <w:color w:val="000000"/>
          <w:sz w:val="18"/>
        </w:rPr>
        <w:t>RQ2：</w:t>
      </w:r>
      <w:r>
        <w:rPr>
          <w:rFonts w:ascii="Times New Roman" w:hAnsi="Times New Roman" w:eastAsia="宋体"/>
          <w:b w:val="0"/>
          <w:i w:val="0"/>
          <w:color w:val="000000"/>
          <w:sz w:val="18"/>
        </w:rPr>
        <w:t>一个匹配发送来源能否在同一批次和接收方上下文中对应两个ReceiverAccept 事件？</w:t>
      </w:r>
    </w:p>
    <w:p>
      <w:pPr>
        <w:pStyle w:val="71"/>
        <w:spacing w:before="0" w:after="0" w:lineRule="exact" w:line="240"/>
        <w:ind w:left="440" w:hanging="440"/>
        <w:jc w:val="both"/>
      </w:pPr>
      <w:r>
        <w:rPr>
          <w:rFonts w:ascii="Times New Roman" w:hAnsi="Times New Roman" w:eastAsia="宋体"/>
          <w:b/>
          <w:color w:val="000000"/>
          <w:sz w:val="18"/>
        </w:rPr>
        <w:t>RQ3：</w:t>
      </w:r>
      <w:r>
        <w:rPr>
          <w:rFonts w:ascii="Times New Roman" w:hAnsi="Times New Roman" w:eastAsia="宋体"/>
          <w:b w:val="0"/>
          <w:i w:val="0"/>
          <w:color w:val="000000"/>
          <w:sz w:val="18"/>
        </w:rPr>
        <w:t>消息互异约束能否替代参与方互异条件，还是同一参与方的不同消息仍可同时获准进入批次？</w:t>
      </w:r>
    </w:p>
    <w:p>
      <w:pPr>
        <w:pStyle w:val="71"/>
        <w:spacing w:before="0" w:after="0" w:lineRule="exact" w:line="240"/>
        <w:ind w:firstLine="360"/>
        <w:jc w:val="both"/>
      </w:pPr>
      <w:r>
        <w:rPr>
          <w:rFonts w:ascii="Times New Roman" w:hAnsi="Times New Roman" w:eastAsia="宋体"/>
          <w:b w:val="0"/>
          <w:i w:val="0"/>
          <w:color w:val="000000"/>
          <w:sz w:val="18"/>
        </w:rPr>
        <w:t>为使验证差异能够归因于准入条件，三种模型保持发送、收集、来源匹配和顺序处理过程不变，仅调整准入阶段比较的维度。</w:t>
      </w:r>
    </w:p>
    <w:p>
      <w:pPr>
        <w:pStyle w:val="65"/>
        <w:keepNext/>
        <w:spacing w:before="100" w:after="20"/>
      </w:pPr>
      <w:r>
        <w:rPr>
          <w:rFonts w:ascii="Times New Roman" w:hAnsi="Times New Roman" w:eastAsia="宋体"/>
          <w:b/>
          <w:i w:val="0"/>
          <w:color w:val="000000"/>
          <w:sz w:val="21"/>
        </w:rPr>
        <w:t>批次准入的形式化建模</w:t>
      </w:r>
    </w:p>
    <w:p>
      <w:pPr>
        <w:pStyle w:val="66"/>
        <w:keepNext/>
        <w:spacing w:before="60" w:after="20"/>
      </w:pPr>
      <w:r>
        <w:rPr>
          <w:rFonts w:ascii="Times New Roman" w:hAnsi="Times New Roman" w:eastAsia="宋体"/>
          <w:b/>
          <w:i w:val="0"/>
          <w:color w:val="000000"/>
          <w:sz w:val="18"/>
        </w:rPr>
        <w:t>安全目标与攻击者模型</w:t>
      </w:r>
    </w:p>
    <w:p>
      <w:pPr>
        <w:pStyle w:val="71"/>
        <w:spacing w:before="0" w:after="0" w:lineRule="exact" w:line="240"/>
        <w:ind w:firstLine="360"/>
        <w:jc w:val="both"/>
      </w:pPr>
      <w:r>
        <w:rPr>
          <w:rFonts w:ascii="Times New Roman" w:hAnsi="Times New Roman" w:eastAsia="宋体"/>
          <w:b w:val="0"/>
          <w:i w:val="0"/>
          <w:color w:val="000000"/>
          <w:sz w:val="18"/>
        </w:rPr>
        <w:t>设</w:t>
      </w:r>
      <m:oMath>
        <m:r>
          <m:rPr>
            <m:sty m:val="p"/>
          </m:rPr>
          <m:t xml:space="preserve">B=(E₁,…,Eₙ)</m:t>
        </m:r>
      </m:oMath>
      <w:r>
        <w:rPr>
          <w:rFonts w:ascii="Times New Roman" w:hAnsi="Times New Roman" w:eastAsia="宋体"/>
          <w:b w:val="0"/>
          <w:i w:val="0"/>
          <w:color w:val="000000"/>
          <w:sz w:val="18"/>
        </w:rPr>
        <w:t>为有序批次，</w:t>
      </w:r>
      <m:oMath>
        <m:r>
          <m:rPr>
            <m:sty m:val="p"/>
          </m:rPr>
          <m:t xml:space="preserve">party(Eᵢ)</m:t>
        </m:r>
      </m:oMath>
      <w:r>
        <w:rPr>
          <w:rFonts w:ascii="Times New Roman" w:hAnsi="Times New Roman" w:eastAsia="宋体"/>
          <w:b w:val="0"/>
          <w:i w:val="0"/>
          <w:color w:val="000000"/>
          <w:sz w:val="18"/>
        </w:rPr>
        <w:t>表示条目</w:t>
      </w:r>
      <m:oMath>
        <m:r>
          <m:rPr>
            <m:sty m:val="p"/>
          </m:rPr>
          <m:t xml:space="preserve">Eᵢ</m:t>
        </m:r>
      </m:oMath>
      <w:r>
        <w:rPr>
          <w:rFonts w:ascii="Times New Roman" w:hAnsi="Times New Roman" w:eastAsia="宋体"/>
          <w:b w:val="0"/>
          <w:i w:val="0"/>
          <w:color w:val="000000"/>
          <w:sz w:val="18"/>
        </w:rPr>
        <w:t>的参与方投影。批内参与方互异条件对应的目标为</w:t>
      </w:r>
    </w:p>
    <w:p>
      <w:pPr>
        <w:pStyle w:val="74"/>
        <w:keepLines/>
        <w:tabs>
          <w:tab w:pos="4592" w:val="right"/>
        </w:tabs>
        <w:spacing w:before="40" w:after="40"/>
        <w:jc w:val="center"/>
      </w:pPr>
      <m:oMath>
        <m:r>
          <m:rPr>
            <m:sty m:val="p"/>
          </m:rPr>
          <m:t xml:space="preserve">DistinctPartyPerBatch(B)
≜
∀ 1≤ i&lt;j≤ n,
party(Eᵢ)≠party(Eⱼ).</m:t>
        </m:r>
      </m:oMath>
      <w:r>
        <w:rPr>
          <w:rFonts w:ascii="Times New Roman" w:hAnsi="Times New Roman" w:eastAsia="宋体"/>
          <w:color w:val="000000"/>
          <w:sz w:val="18"/>
        </w:rPr>
        <w:tab/>
        <w:t>(2)</w:t>
      </w:r>
    </w:p>
    <w:p>
      <w:pPr>
        <w:pStyle w:val="71"/>
        <w:spacing w:before="0" w:after="0" w:lineRule="exact" w:line="240"/>
        <w:ind w:firstLine="360"/>
        <w:jc w:val="both"/>
      </w:pPr>
      <w:r>
        <w:rPr>
          <w:rFonts w:ascii="Times New Roman" w:hAnsi="Times New Roman" w:eastAsia="宋体"/>
          <w:b w:val="0"/>
          <w:i w:val="0"/>
          <w:color w:val="000000"/>
          <w:sz w:val="18"/>
        </w:rPr>
        <w:t>该关系要求同批任意两个不同位置具有不同参与方投影，但不要求参与方、消息或发送实例在其他批次或其他执行中保持全局唯一。该定义适用于任意有限批次；机器分析采用最小非平凡情形</w:t>
      </w:r>
      <m:oMath>
        <m:r>
          <m:rPr>
            <m:sty m:val="p"/>
          </m:rPr>
          <m:t xml:space="preserve">n=2</m:t>
        </m:r>
      </m:oMath>
      <w:r>
        <w:rPr>
          <w:rFonts w:ascii="Times New Roman" w:hAnsi="Times New Roman" w:eastAsia="宋体"/>
          <w:b w:val="0"/>
          <w:i w:val="0"/>
          <w:color w:val="000000"/>
          <w:sz w:val="18"/>
        </w:rPr>
        <w:t>，此时目标化为</w:t>
      </w:r>
      <m:oMath>
        <m:r>
          <m:rPr>
            <m:sty m:val="p"/>
          </m:rPr>
          <m:t xml:space="preserve">A₁≠ A₂</m:t>
        </m:r>
      </m:oMath>
      <w:r>
        <w:rPr>
          <w:rFonts w:ascii="Times New Roman" w:hAnsi="Times New Roman" w:eastAsia="宋体"/>
          <w:b w:val="0"/>
          <w:i w:val="0"/>
          <w:color w:val="000000"/>
          <w:sz w:val="18"/>
        </w:rPr>
        <w:t>。</w:t>
      </w:r>
    </w:p>
    <w:p>
      <w:pPr>
        <w:pStyle w:val="71"/>
        <w:spacing w:before="0" w:after="0" w:lineRule="exact" w:line="240"/>
        <w:ind w:firstLine="360"/>
        <w:jc w:val="both"/>
      </w:pPr>
      <w:r>
        <w:rPr>
          <w:rFonts w:ascii="Times New Roman" w:hAnsi="Times New Roman" w:eastAsia="宋体"/>
          <w:b w:val="0"/>
          <w:i w:val="0"/>
          <w:color w:val="000000"/>
          <w:sz w:val="18"/>
        </w:rPr>
        <w:t>攻击者具有标准Dolev–Yao符号网络能力，并在候选条目暴露后控制两槽批次的组合。攻击者可以保留、重放、选择和排列已有条目，既可以在两个槽位重复同一元组，也可以选择由同一参与方产生、分别具有匹配发送来源的两个不同元组。接收处理要求存在与完整</w:t>
      </w:r>
      <m:oMath>
        <m:r>
          <m:rPr>
            <m:sty m:val="p"/>
          </m:rPr>
          <m:t xml:space="preserve">(A,oid,m)</m:t>
        </m:r>
      </m:oMath>
      <w:r>
        <w:rPr>
          <w:rFonts w:ascii="Times New Roman" w:hAnsi="Times New Roman" w:eastAsia="宋体"/>
          <w:b w:val="0"/>
          <w:i w:val="0"/>
          <w:color w:val="000000"/>
          <w:sz w:val="18"/>
        </w:rPr>
        <w:t>匹配的发送来源。攻击者能够改变已有条目的组合方式，但不能据此生成诚实参与方内部状态或凭空构造匹配发送来源。</w:t>
      </w:r>
    </w:p>
    <w:p>
      <w:pPr>
        <w:pStyle w:val="71"/>
        <w:spacing w:before="0" w:after="0" w:lineRule="exact" w:line="240"/>
        <w:ind w:firstLine="360"/>
        <w:jc w:val="both"/>
      </w:pPr>
      <w:r>
        <w:rPr>
          <w:rFonts w:ascii="Times New Roman" w:hAnsi="Times New Roman" w:eastAsia="宋体"/>
          <w:b w:val="0"/>
          <w:i w:val="0"/>
          <w:color w:val="000000"/>
          <w:sz w:val="18"/>
        </w:rPr>
        <w:t>对批次组合的控制属于形式分析中的能力假设。模型固定为两个槽位，机器证据止于ReceiverAccept 事件。因此，目标和攻击者能力均限定在候选条目形成之后、完整密码处理完成之前的批次准入边界。</w:t>
      </w:r>
    </w:p>
    <w:p>
      <w:pPr>
        <w:pStyle w:val="66"/>
        <w:keepNext/>
        <w:spacing w:before="60" w:after="20"/>
      </w:pPr>
      <w:r>
        <w:rPr>
          <w:rFonts w:ascii="Times New Roman" w:hAnsi="Times New Roman" w:eastAsia="宋体"/>
          <w:b/>
          <w:i w:val="0"/>
          <w:color w:val="000000"/>
          <w:sz w:val="18"/>
        </w:rPr>
        <w:t>Tamarin模型与共同生命周期</w:t>
      </w:r>
    </w:p>
    <w:p>
      <w:pPr>
        <w:pStyle w:val="71"/>
        <w:spacing w:before="0" w:after="0" w:lineRule="exact" w:line="240"/>
        <w:ind w:firstLine="360"/>
        <w:jc w:val="both"/>
      </w:pPr>
      <w:r>
        <w:rPr>
          <w:rFonts w:ascii="Times New Roman" w:hAnsi="Times New Roman" w:eastAsia="宋体"/>
          <w:b w:val="0"/>
          <w:i w:val="0"/>
          <w:color w:val="000000"/>
          <w:sz w:val="18"/>
        </w:rPr>
        <w:t>Tamarin使用多集重写规则描述状态转换，并以动作事实记录迹性质引用的事件[6]。SendMessage规则复用持久事实!Party(A)，在每次实例化时生成新鲜值~ sid和~ m，形成一个发送实例及其消息。该规则记录</w:t>
      </w:r>
      <m:oMath>
        <m:r>
          <m:rPr>
            <m:sty m:val="p"/>
          </m:rPr>
          <m:t xml:space="preserve">Send(A,oid,m)</m:t>
        </m:r>
      </m:oMath>
      <w:r>
        <w:rPr>
          <w:rFonts w:ascii="Times New Roman" w:hAnsi="Times New Roman" w:eastAsia="宋体"/>
          <w:b w:val="0"/>
          <w:i w:val="0"/>
          <w:color w:val="000000"/>
          <w:sz w:val="18"/>
        </w:rPr>
        <w:t>，将</w:t>
      </w:r>
      <m:oMath>
        <m:r>
          <m:rPr>
            <m:sty m:val="p"/>
          </m:rPr>
          <m:t xml:space="preserve">(A,oid,m)</m:t>
        </m:r>
      </m:oMath>
      <w:r>
        <w:rPr>
          <w:rFonts w:ascii="Times New Roman" w:hAnsi="Times New Roman" w:eastAsia="宋体"/>
          <w:b w:val="0"/>
          <w:i w:val="0"/>
          <w:color w:val="000000"/>
          <w:sz w:val="18"/>
        </w:rPr>
        <w:t>暴露到符号网络，并保存持久事实!Sent(A,oid,m)。其中，</w:t>
      </w:r>
      <m:oMath>
        <m:r>
          <m:rPr>
            <m:sty m:val="p"/>
          </m:rPr>
          <m:t xml:space="preserve">oid</m:t>
        </m:r>
      </m:oMath>
      <w:r>
        <w:rPr>
          <w:rFonts w:ascii="Times New Roman" w:hAnsi="Times New Roman" w:eastAsia="宋体"/>
          <w:b w:val="0"/>
          <w:i w:val="0"/>
          <w:color w:val="000000"/>
          <w:sz w:val="18"/>
        </w:rPr>
        <w:t>标识模型中的一次发送实例，不表示完整协议会话或事件时间戳；!Sent是理想化的来源事实，不实现真实签名或认证过程。</w:t>
      </w:r>
    </w:p>
    <w:p>
      <w:pPr>
        <w:pStyle w:val="71"/>
        <w:spacing w:before="0" w:after="0" w:lineRule="exact" w:line="240"/>
        <w:ind w:firstLine="360"/>
        <w:jc w:val="both"/>
      </w:pPr>
      <w:r>
        <w:rPr>
          <w:rFonts w:ascii="Times New Roman" w:hAnsi="Times New Roman" w:eastAsia="宋体"/>
          <w:b w:val="0"/>
          <w:i w:val="0"/>
          <w:color w:val="000000"/>
          <w:sz w:val="18"/>
        </w:rPr>
        <w:t>网络中的候选元组依次进入两个线性槽位。第一个收集状态保存</w:t>
      </w:r>
      <m:oMath>
        <m:r>
          <m:rPr>
            <m:sty m:val="p"/>
          </m:rPr>
          <m:t xml:space="preserve">E₁</m:t>
        </m:r>
      </m:oMath>
      <w:r>
        <w:rPr>
          <w:rFonts w:ascii="Times New Roman" w:hAnsi="Times New Roman" w:eastAsia="宋体"/>
          <w:b w:val="0"/>
          <w:i w:val="0"/>
          <w:color w:val="000000"/>
          <w:sz w:val="18"/>
        </w:rPr>
        <w:t>并开放第二个槽位，第二个状态保存</w:t>
      </w:r>
      <m:oMath>
        <m:r>
          <m:rPr>
            <m:sty m:val="p"/>
          </m:rPr>
          <m:t xml:space="preserve">E₂</m:t>
        </m:r>
      </m:oMath>
      <w:r>
        <w:rPr>
          <w:rFonts w:ascii="Times New Roman" w:hAnsi="Times New Roman" w:eastAsia="宋体"/>
          <w:b w:val="0"/>
          <w:i w:val="0"/>
          <w:color w:val="000000"/>
          <w:sz w:val="18"/>
        </w:rPr>
        <w:t>；两个槽位共享批次标识</w:t>
      </w:r>
      <m:oMath>
        <m:r>
          <m:rPr>
            <m:sty m:val="p"/>
          </m:rPr>
          <m:t xml:space="preserve">bid</m:t>
        </m:r>
      </m:oMath>
      <w:r>
        <w:rPr>
          <w:rFonts w:ascii="Times New Roman" w:hAnsi="Times New Roman" w:eastAsia="宋体"/>
          <w:b w:val="0"/>
          <w:i w:val="0"/>
          <w:color w:val="000000"/>
          <w:sz w:val="18"/>
        </w:rPr>
        <w:t>和接收方上下文</w:t>
      </w:r>
      <m:oMath>
        <m:r>
          <m:rPr>
            <m:sty m:val="p"/>
          </m:rPr>
          <m:t xml:space="preserve">rst</m:t>
        </m:r>
      </m:oMath>
      <w:r>
        <w:rPr>
          <w:rFonts w:ascii="Times New Roman" w:hAnsi="Times New Roman" w:eastAsia="宋体"/>
          <w:b w:val="0"/>
          <w:i w:val="0"/>
          <w:color w:val="000000"/>
          <w:sz w:val="18"/>
        </w:rPr>
        <w:t>。其中，</w:t>
      </w:r>
      <m:oMath>
        <m:r>
          <m:rPr>
            <m:sty m:val="p"/>
          </m:rPr>
          <m:t xml:space="preserve">rst</m:t>
        </m:r>
      </m:oMath>
      <w:r>
        <w:rPr>
          <w:rFonts w:ascii="Times New Roman" w:hAnsi="Times New Roman" w:eastAsia="宋体"/>
          <w:b w:val="0"/>
          <w:i w:val="0"/>
          <w:color w:val="000000"/>
          <w:sz w:val="18"/>
        </w:rPr>
        <w:t>仅表示模型中的共同上下文，不代表完整的接收方临时密码状态。</w:t>
      </w:r>
    </w:p>
    <w:p>
      <w:pPr>
        <w:pStyle w:val="71"/>
        <w:spacing w:before="0" w:after="0" w:lineRule="exact" w:line="240"/>
        <w:ind w:firstLine="360"/>
        <w:jc w:val="both"/>
      </w:pPr>
      <w:r>
        <w:rPr>
          <w:rFonts w:ascii="Times New Roman" w:hAnsi="Times New Roman" w:eastAsia="宋体"/>
          <w:b w:val="0"/>
          <w:i w:val="0"/>
          <w:color w:val="000000"/>
          <w:sz w:val="18"/>
        </w:rPr>
        <w:t>收集完成后，准入规则依据相应模型的约束进入拒绝状态或顺序处理状态。获准路径先记录批次准入事件BatchReceive，再依次处理槽位1和槽位2。每个处理步骤都必须匹配相应的!Sent(A,oid,m)，随后记录包含</w:t>
      </w:r>
      <m:oMath>
        <m:r>
          <m:rPr>
            <m:sty m:val="p"/>
          </m:rPr>
          <m:t xml:space="preserve">(A,oid,m,bid,rst)</m:t>
        </m:r>
      </m:oMath>
      <w:r>
        <w:rPr>
          <w:rFonts w:ascii="Times New Roman" w:hAnsi="Times New Roman" w:eastAsia="宋体"/>
          <w:b w:val="0"/>
          <w:i w:val="0"/>
          <w:color w:val="000000"/>
          <w:sz w:val="18"/>
        </w:rPr>
        <w:t>的ReceiverAccept 事件。该事件表示条目完成来源匹配并到达抽象接受边界，不等同于网络输入、完整K-Waay会话接受或密钥安装。由于!Sent是持久事实，当同一完整元组占据两个槽位时，两个处理步骤可以读取同一来源事实；该事件对应关系正是后续验证的对象。</w:t>
      </w:r>
    </w:p>
    <w:p>
      <w:pPr>
        <w:pStyle w:val="77"/>
        <w:keepLines/>
        <w:spacing w:before="40" w:after="20"/>
        <w:jc w:val="center"/>
      </w:pPr>
      <w:r>
        <w:drawing>
          <wp:inline xmlns:a="http://schemas.openxmlformats.org/drawingml/2006/main" xmlns:pic="http://schemas.openxmlformats.org/drawingml/2006/picture">
            <wp:extent cx="2844000" cy="4328558"/>
            <wp:docPr id="1" name="Picture 1"/>
            <wp:cNvGraphicFramePr>
              <a:graphicFrameLocks noChangeAspect="1"/>
            </wp:cNvGraphicFramePr>
            <a:graphic>
              <a:graphicData uri="http://schemas.openxmlformats.org/drawingml/2006/picture">
                <pic:pic>
                  <pic:nvPicPr>
                    <pic:cNvPr id="0" name="fig1-word-stage3.1.png"/>
                    <pic:cNvPicPr/>
                  </pic:nvPicPr>
                  <pic:blipFill>
                    <a:blip r:embed="rId14"/>
                    <a:stretch>
                      <a:fillRect/>
                    </a:stretch>
                  </pic:blipFill>
                  <pic:spPr>
                    <a:xfrm>
                      <a:off x="0" y="0"/>
                      <a:ext cx="2844000" cy="4328558"/>
                    </a:xfrm>
                    <a:prstGeom prst="rect"/>
                  </pic:spPr>
                </pic:pic>
              </a:graphicData>
            </a:graphic>
          </wp:inline>
        </w:drawing>
      </w:r>
      <w:r>
        <w:br/>
      </w:r>
      <w:r>
        <w:rPr>
          <w:rFonts w:ascii="Times New Roman" w:hAnsi="Times New Roman" w:eastAsia="宋体"/>
          <w:b w:val="0"/>
          <w:i w:val="0"/>
          <w:color w:val="000000"/>
          <w:sz w:val="16"/>
        </w:rPr>
        <w:t>图 1　两槽批次准入的共同生命周期</w:t>
      </w:r>
    </w:p>
    <w:p>
      <w:pPr>
        <w:pStyle w:val="71"/>
        <w:spacing w:before="0" w:after="0" w:lineRule="exact" w:line="240"/>
        <w:ind w:firstLine="360"/>
        <w:jc w:val="both"/>
      </w:pPr>
      <w:r>
        <w:rPr>
          <w:rFonts w:ascii="Times New Roman" w:hAnsi="Times New Roman" w:eastAsia="宋体"/>
          <w:b w:val="0"/>
          <w:i w:val="0"/>
          <w:color w:val="000000"/>
          <w:sz w:val="18"/>
        </w:rPr>
        <w:t>图1给出了三种模型共用的两槽批次准入生命周期。发送生成、网络暴露、两槽收集、来源匹配和顺序处理在三个模型中保持一致，受控变化仅位于收集完成后的准入阶段；消息互异约束模型和参与方互异约束模型还设置了对应的拒绝分支。</w:t>
      </w:r>
    </w:p>
    <w:p>
      <w:pPr>
        <w:pStyle w:val="66"/>
        <w:keepNext/>
        <w:spacing w:before="60" w:after="20"/>
      </w:pPr>
      <w:r>
        <w:rPr>
          <w:rFonts w:ascii="Times New Roman" w:hAnsi="Times New Roman" w:eastAsia="宋体"/>
          <w:b/>
          <w:i w:val="0"/>
          <w:color w:val="000000"/>
          <w:sz w:val="18"/>
        </w:rPr>
        <w:t>准入模型与验证性质</w:t>
      </w:r>
    </w:p>
    <w:p>
      <w:pPr>
        <w:pStyle w:val="71"/>
        <w:spacing w:before="0" w:after="0" w:lineRule="exact" w:line="240"/>
        <w:ind w:firstLine="360"/>
        <w:jc w:val="both"/>
      </w:pPr>
      <w:r>
        <w:rPr>
          <w:rFonts w:ascii="Times New Roman" w:hAnsi="Times New Roman" w:eastAsia="宋体"/>
          <w:b w:val="0"/>
          <w:i w:val="0"/>
          <w:color w:val="000000"/>
          <w:sz w:val="18"/>
        </w:rPr>
        <w:t>表2列出三种批次准入模型。无互异约束模型不比较消息或参与方分量，用于观察移除目标条件后的行为；消息互异约束模型仅要求</w:t>
      </w:r>
      <m:oMath>
        <m:r>
          <m:rPr>
            <m:sty m:val="p"/>
          </m:rPr>
          <m:t xml:space="preserve">m₁≠ m₂</m:t>
        </m:r>
      </m:oMath>
      <w:r>
        <w:rPr>
          <w:rFonts w:ascii="Times New Roman" w:hAnsi="Times New Roman" w:eastAsia="宋体"/>
          <w:b w:val="0"/>
          <w:i w:val="0"/>
          <w:color w:val="000000"/>
          <w:sz w:val="18"/>
        </w:rPr>
        <w:t>，用于检验消息关系能否替代参与方关系；参与方互异约束模型直接要求</w:t>
      </w:r>
      <m:oMath>
        <m:r>
          <m:rPr>
            <m:sty m:val="p"/>
          </m:rPr>
          <m:t xml:space="preserve">A₁≠ A₂</m:t>
        </m:r>
      </m:oMath>
      <w:r>
        <w:rPr>
          <w:rFonts w:ascii="Times New Roman" w:hAnsi="Times New Roman" w:eastAsia="宋体"/>
          <w:b w:val="0"/>
          <w:i w:val="0"/>
          <w:color w:val="000000"/>
          <w:sz w:val="18"/>
        </w:rPr>
        <w:t>，用作目标对照。三者仅改变同一抽象中的准入条件，不表示三套新协议或修复方案。</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2　批次准入模型与验证目标</w:t>
      </w:r>
    </w:p>
    <w:tbl>
      <w:tblPr>
        <w:tblW w:type="auto" w:w="0"/>
        <w:jc w:val="center"/>
        <w:tblLayout w:type="fixed"/>
        <w:tblLook w:firstColumn="1" w:firstRow="1" w:lastColumn="0" w:lastRow="0" w:noHBand="0" w:noVBand="1" w:val="04A0"/>
      </w:tblPr>
      <w:tblGrid>
        <w:gridCol w:w="1417"/>
        <w:gridCol w:w="1247"/>
        <w:gridCol w:w="1587"/>
        <w:gridCol w:w="1474"/>
        <w:gridCol w:w="3231"/>
      </w:tblGrid>
      <w:tr>
        <w:trPr>
          <w:cantSplit/>
          <w:trHeight w:hRule="atLeast"/>
          <w:tblHeader w:val="true"/>
        </w:trPr>
        <w:tc>
          <w:tcPr>
            <w:tcW w:type="dxa" w:w="141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比较分量</w:t>
            </w:r>
          </w:p>
        </w:tc>
        <w:tc>
          <w:tcPr>
            <w:tcW w:type="dxa" w:w="158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准入条件</w:t>
            </w:r>
          </w:p>
        </w:tc>
        <w:tc>
          <w:tcPr>
            <w:tcW w:type="dxa" w:w="147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分析作用</w:t>
            </w:r>
          </w:p>
        </w:tc>
        <w:tc>
          <w:tcPr>
            <w:tcW w:type="dxa" w:w="323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主要验证对象</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w:t>
            </w:r>
          </w:p>
        </w:tc>
        <w:tc>
          <w:tcPr>
            <w:tcW w:type="dxa" w:w="158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无互异要求</w:t>
            </w:r>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条件移除基线</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来源重复；来源单射性</w:t>
            </w:r>
          </w:p>
        </w:tc>
      </w:tr>
      <w:tr>
        <w:trPr>
          <w:cantSplit/>
          <w:trHeight w:hRule="atLeast"/>
        </w:trPr>
        <w:tc>
          <w:tcPr>
            <w:tcW w:type="dxa" w:w="141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w:t>
            </w:r>
            <m:oMath>
              <m:r>
                <m:rPr>
                  <m:sty m:val="p"/>
                </m:rPr>
                <m:t xml:space="preserve">m</m:t>
              </m:r>
            </m:oMath>
          </w:p>
        </w:tc>
        <w:tc>
          <w:tcPr>
            <w:tcW w:type="dxa" w:w="1587"/>
            <w:vAlign w:val="center"/>
            <w:tcBorders>
              <w:top w:val="nil"/>
              <w:bottom w:val="nil"/>
              <w:left w:val="nil"/>
              <w:right w:val="nil"/>
              <w:insideH w:val="nil"/>
              <w:insideV w:val="nil"/>
            </w:tcBorders>
          </w:tcPr>
          <w:p>
            <w:pPr>
              <w:spacing w:before="0" w:after="0" w:lineRule="exact" w:line="190"/>
              <w:jc w:val="left"/>
            </w:pPr>
            <w:r/>
            <m:oMath>
              <m:r>
                <m:rPr>
                  <m:sty m:val="p"/>
                </m:rPr>
                <m:t xml:space="preserve">m₁≠ m₂</m:t>
              </m:r>
            </m:oMath>
          </w:p>
        </w:tc>
        <w:tc>
          <w:tcPr>
            <w:tcW w:type="dxa" w:w="147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替代性检验</w:t>
            </w:r>
          </w:p>
        </w:tc>
        <w:tc>
          <w:tcPr>
            <w:tcW w:type="dxa" w:w="323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消息互异性；来源单射性；同参与方异消息批次可达性</w:t>
            </w:r>
          </w:p>
        </w:tc>
      </w:tr>
      <w:tr>
        <w:trPr>
          <w:cantSplit/>
          <w:trHeight w:hRule="atLeast"/>
        </w:trPr>
        <w:tc>
          <w:tcPr>
            <w:tcW w:type="dxa" w:w="141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w:t>
            </w:r>
            <m:oMath>
              <m:r>
                <m:rPr>
                  <m:sty m:val="p"/>
                </m:rPr>
                <m:t xml:space="preserve">A</m:t>
              </m:r>
            </m:oMath>
          </w:p>
        </w:tc>
        <w:tc>
          <w:tcPr>
            <w:tcW w:type="dxa" w:w="1587"/>
            <w:vAlign w:val="center"/>
            <w:tcBorders>
              <w:top w:val="nil"/>
              <w:bottom w:val="single" w:sz="6" w:space="0" w:color="000000"/>
              <w:left w:val="nil"/>
              <w:right w:val="nil"/>
              <w:insideH w:val="nil"/>
              <w:insideV w:val="nil"/>
            </w:tcBorders>
          </w:tcPr>
          <w:p>
            <w:pPr>
              <w:spacing w:before="0" w:after="0" w:lineRule="exact" w:line="190"/>
              <w:jc w:val="left"/>
            </w:pPr>
            <w:r/>
            <m:oMath>
              <m:r>
                <m:rPr>
                  <m:sty m:val="p"/>
                </m:rPr>
                <m:t xml:space="preserve">A₁≠ A₂</m:t>
              </m:r>
            </m:oMath>
          </w:p>
        </w:tc>
        <w:tc>
          <w:tcPr>
            <w:tcW w:type="dxa" w:w="147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目标对照</w:t>
            </w:r>
          </w:p>
        </w:tc>
        <w:tc>
          <w:tcPr>
            <w:tcW w:type="dxa" w:w="323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参与方互异性；有效批次可达性</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除代表性执行的可达性外，模型还检查发送来源对应性、批内来源单射性、批内消息互异性和批内参与方互异性。发送来源对应性要求每个ReceiverAccept 都有一个更早且与完整</w:t>
      </w:r>
      <m:oMath>
        <m:r>
          <m:rPr>
            <m:sty m:val="p"/>
          </m:rPr>
          <m:t xml:space="preserve">(A,oid,m)</m:t>
        </m:r>
      </m:oMath>
      <w:r>
        <w:rPr>
          <w:rFonts w:ascii="Times New Roman" w:hAnsi="Times New Roman" w:eastAsia="宋体"/>
          <w:b w:val="0"/>
          <w:i w:val="0"/>
          <w:color w:val="000000"/>
          <w:sz w:val="18"/>
        </w:rPr>
        <w:t>匹配的Send。批内来源单射性（scoped occurrence injectivity）要求：在同一批次和接收方上下文中，不同接受事件不能对应同一个匹配发送来源。该性质描述本文作用域内的事件发生单射性，不是Lowe认证层次中的单射一致性[8]。表3列出四类性质的量词范围。</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3　核心验证性质的迹语义</w:t>
      </w:r>
    </w:p>
    <w:tbl>
      <w:tblPr>
        <w:tblW w:type="auto" w:w="0"/>
        <w:jc w:val="center"/>
        <w:tblLayout w:type="fixed"/>
        <w:tblLook w:firstColumn="1" w:firstRow="1" w:lastColumn="0" w:lastRow="0" w:noHBand="0" w:noVBand="1" w:val="04A0"/>
      </w:tblPr>
      <w:tblGrid>
        <w:gridCol w:w="1757"/>
        <w:gridCol w:w="4535"/>
        <w:gridCol w:w="2665"/>
      </w:tblGrid>
      <w:tr>
        <w:trPr>
          <w:cantSplit/>
          <w:trHeight w:hRule="atLeast"/>
          <w:tblHeader w:val="true"/>
        </w:trPr>
        <w:tc>
          <w:tcPr>
            <w:tcW w:type="dxa" w:w="175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性质</w:t>
            </w:r>
          </w:p>
        </w:tc>
        <w:tc>
          <w:tcPr>
            <w:tcW w:type="dxa" w:w="453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迹语义</w:t>
            </w:r>
          </w:p>
        </w:tc>
        <w:tc>
          <w:tcPr>
            <w:tcW w:type="dxa" w:w="2665"/>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5"/>
              </w:rPr>
              <w:t>解释边界</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发送来源对应性</w:t>
            </w:r>
          </w:p>
        </w:tc>
        <w:tc>
          <w:tcPr>
            <w:tcW w:type="dxa" w:w="4535"/>
            <w:vAlign w:val="center"/>
            <w:tcBorders>
              <w:top w:val="nil"/>
              <w:bottom w:val="nil"/>
              <w:left w:val="nil"/>
              <w:right w:val="nil"/>
              <w:insideH w:val="nil"/>
              <w:insideV w:val="nil"/>
            </w:tcBorders>
          </w:tcPr>
          <w:p>
            <w:pPr>
              <w:spacing w:before="0" w:after="0" w:lineRule="exact" w:line="190"/>
              <w:jc w:val="left"/>
            </w:pPr>
            <w:r/>
            <m:oMath>
              <m:r>
                <m:rPr>
                  <m:sty m:val="p"/>
                </m:rPr>
                <m:t xml:space="preserve">ReceiverAccept(A,oid,m,bid,rst)@r</m:t>
              </m:r>
            </m:oMath>
            <w:r>
              <w:rPr>
                <w:rFonts w:ascii="Times New Roman" w:hAnsi="Times New Roman" w:eastAsia="宋体"/>
                <w:b w:val="0"/>
                <w:i w:val="0"/>
                <w:color w:val="000000"/>
                <w:sz w:val="15"/>
              </w:rPr>
              <w:t>推出存在</w:t>
            </w:r>
            <m:oMath>
              <m:r>
                <m:rPr>
                  <m:sty m:val="p"/>
                </m:rPr>
                <m:t xml:space="preserve">s&lt;r</m:t>
              </m:r>
            </m:oMath>
            <w:r>
              <w:rPr>
                <w:rFonts w:ascii="Times New Roman" w:hAnsi="Times New Roman" w:eastAsia="宋体"/>
                <w:b w:val="0"/>
                <w:i w:val="0"/>
                <w:color w:val="000000"/>
                <w:sz w:val="15"/>
              </w:rPr>
              <w:t>使</w:t>
            </w:r>
            <m:oMath>
              <m:r>
                <m:rPr>
                  <m:sty m:val="p"/>
                </m:rPr>
                <m:t xml:space="preserve">Send(A,oid,m)@s</m:t>
              </m:r>
            </m:oMath>
            <w:r>
              <w:rPr>
                <w:rFonts w:ascii="Times New Roman" w:hAnsi="Times New Roman" w:eastAsia="宋体"/>
                <w:b w:val="0"/>
                <w:i w:val="0"/>
                <w:color w:val="000000"/>
                <w:sz w:val="15"/>
              </w:rPr>
              <w:t>成立</w:t>
            </w:r>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断言完整</w:t>
            </w:r>
            <m:oMath>
              <m:r>
                <m:rPr>
                  <m:sty m:val="p"/>
                </m:rPr>
                <m:t xml:space="preserve">(A,oid,m)</m:t>
              </m:r>
            </m:oMath>
            <w:r>
              <w:rPr>
                <w:rFonts w:ascii="Times New Roman" w:hAnsi="Times New Roman" w:eastAsia="宋体"/>
                <w:b w:val="0"/>
                <w:i w:val="0"/>
                <w:color w:val="000000"/>
                <w:sz w:val="15"/>
              </w:rPr>
              <w:t>匹配，不是仅匹配</w:t>
            </w:r>
            <m:oMath>
              <m:r>
                <m:rPr>
                  <m:sty m:val="p"/>
                </m:rPr>
                <m:t xml:space="preserve">A</m:t>
              </m:r>
            </m:oMath>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批内来源单射性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Send(A,oid,m)@s</m:t>
              </m:r>
            </m:oMath>
            <w:r>
              <w:rPr>
                <w:rFonts w:ascii="Times New Roman" w:hAnsi="Times New Roman" w:eastAsia="宋体"/>
                <w:b w:val="0"/>
                <w:i w:val="0"/>
                <w:color w:val="000000"/>
                <w:sz w:val="15"/>
              </w:rPr>
              <w:t>早于两个坐标均为</w:t>
            </w:r>
            <m:oMath>
              <m:r>
                <m:rPr>
                  <m:sty m:val="p"/>
                </m:rPr>
                <m:t xml:space="preserve">(A,oid,m,bid,rst)</m:t>
              </m:r>
            </m:oMath>
            <w:r>
              <w:rPr>
                <w:rFonts w:ascii="Times New Roman" w:hAnsi="Times New Roman" w:eastAsia="宋体"/>
                <w:b w:val="0"/>
                <w:i w:val="0"/>
                <w:color w:val="000000"/>
                <w:sz w:val="15"/>
              </w:rPr>
              <w:t>的接受事件时，推出</w:t>
            </w:r>
            <m:oMath>
              <m:r>
                <m:rPr>
                  <m:sty m:val="p"/>
                </m:rPr>
                <m:t xml:space="preserve">r₁=r₂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限制一个匹配来源对应的接受事件数，不检查参与方数目</w:t>
            </w:r>
          </w:p>
        </w:tc>
      </w:tr>
      <w:tr>
        <w:trPr>
          <w:cantSplit/>
          <w:trHeight w:hRule="atLeast"/>
        </w:trPr>
        <w:tc>
          <w:tcPr>
            <w:tcW w:type="dxa" w:w="175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批内消息互异性</w:t>
            </w:r>
          </w:p>
        </w:tc>
        <w:tc>
          <w:tcPr>
            <w:tcW w:type="dxa" w:w="453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，则该性质断言</w:t>
            </w:r>
            <m:oMath>
              <m:r>
                <m:rPr>
                  <m:sty m:val="p"/>
                </m:rPr>
                <m:t xml:space="preserve">m₁≠ m₂</m:t>
              </m:r>
            </m:oMath>
          </w:p>
        </w:tc>
        <w:tc>
          <w:tcPr>
            <w:tcW w:type="dxa" w:w="2665"/>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不主张消息跨批次或跨执行全局唯一</w:t>
            </w:r>
          </w:p>
        </w:tc>
      </w:tr>
      <w:tr>
        <w:trPr>
          <w:cantSplit/>
          <w:trHeight w:hRule="atLeast"/>
        </w:trPr>
        <w:tc>
          <w:tcPr>
            <w:tcW w:type="dxa" w:w="175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批内参与方互异性</w:t>
            </w:r>
          </w:p>
        </w:tc>
        <w:tc>
          <w:tcPr>
            <w:tcW w:type="dxa" w:w="453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同一</w:t>
            </w:r>
            <m:oMath>
              <m:r>
                <m:rPr>
                  <m:sty m:val="p"/>
                </m:rPr>
                <m:t xml:space="preserve">(bid,rst)</m:t>
              </m:r>
            </m:oMath>
            <w:r>
              <w:rPr>
                <w:rFonts w:ascii="Times New Roman" w:hAnsi="Times New Roman" w:eastAsia="宋体"/>
                <w:b w:val="0"/>
                <w:i w:val="0"/>
                <w:color w:val="000000"/>
                <w:sz w:val="15"/>
              </w:rPr>
              <w:t>中若</w:t>
            </w:r>
            <m:oMath>
              <m:r>
                <m:rPr>
                  <m:sty m:val="p"/>
                </m:rPr>
                <m:t xml:space="preserve">r₁≠ r₂</m:t>
              </m:r>
            </m:oMath>
            <w:r>
              <w:rPr>
                <w:rFonts w:ascii="Times New Roman" w:hAnsi="Times New Roman" w:eastAsia="宋体"/>
                <w:b w:val="0"/>
                <w:i w:val="0"/>
                <w:color w:val="000000"/>
                <w:sz w:val="15"/>
              </w:rPr>
              <w:t>，则该性质要求</w:t>
            </w:r>
            <m:oMath>
              <m:r>
                <m:rPr>
                  <m:sty m:val="p"/>
                </m:rPr>
                <m:t xml:space="preserve">A₁≠ A₂</m:t>
              </m:r>
            </m:oMath>
          </w:p>
        </w:tc>
        <w:tc>
          <w:tcPr>
            <w:tcW w:type="dxa" w:w="2665"/>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5"/>
              </w:rPr>
              <w:t>结论只作用于接受事件的参与方投影</w:t>
            </w:r>
          </w:p>
        </w:tc>
      </w:tr>
    </w:tbl>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批内来源单射性的前件可写为未编号式</w:t>
      </w:r>
    </w:p>
    <w:p>
      <w:pPr>
        <w:pStyle w:val="74"/>
        <w:keepLines/>
        <w:tabs>
          <w:tab w:pos="4592" w:val="right"/>
        </w:tabs>
        <w:spacing w:before="40" w:after="40"/>
        <w:jc w:val="center"/>
      </w:pPr>
      <m:oMath>
        <m:r>
          <m:rPr>
            <m:sty m:val="p"/>
          </m:rPr>
          <m:t xml:space="preserve">∀ A,oid,m,bid,rst,s,r₁,r₂:
Send(A,oid,m)@s</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∧s&lt;r₁∧ s&lt;r₂
⇒ r₁=r₂.</m:t>
        </m:r>
      </m:oMath>
    </w:p>
    <w:p>
      <w:pPr>
        <w:pStyle w:val="71"/>
        <w:spacing w:before="0" w:after="0" w:lineRule="exact" w:line="240"/>
        <w:ind w:firstLine="360"/>
        <w:jc w:val="both"/>
      </w:pPr>
      <w:r>
        <w:rPr>
          <w:rFonts w:ascii="Times New Roman" w:hAnsi="Times New Roman" w:eastAsia="宋体"/>
          <w:b w:val="0"/>
          <w:i w:val="0"/>
          <w:color w:val="000000"/>
          <w:sz w:val="18"/>
        </w:rPr>
        <w:t>该公式限制一个匹配发送来源在给定</w:t>
      </w:r>
      <m:oMath>
        <m:r>
          <m:rPr>
            <m:sty m:val="p"/>
          </m:rPr>
          <m:t xml:space="preserve">(bid,rst)</m:t>
        </m:r>
      </m:oMath>
      <w:r>
        <w:rPr>
          <w:rFonts w:ascii="Times New Roman" w:hAnsi="Times New Roman" w:eastAsia="宋体"/>
          <w:b w:val="0"/>
          <w:i w:val="0"/>
          <w:color w:val="000000"/>
          <w:sz w:val="18"/>
        </w:rPr>
        <w:t>中对应的接受事件数。虽然前件包含发送事件，但公式本身不保证每个接受都有来源；这一存在性由发送来源对应性另行断言。公式也不比较两个不同来源的参与方投影，因而不能直接确定批内包含多少个不同参与方。</w:t>
      </w:r>
    </w:p>
    <w:p>
      <w:pPr>
        <w:pStyle w:val="71"/>
        <w:spacing w:before="0" w:after="0" w:lineRule="exact" w:line="240"/>
        <w:ind w:firstLine="360"/>
        <w:jc w:val="both"/>
      </w:pPr>
      <w:r>
        <w:rPr>
          <w:rFonts w:ascii="Times New Roman" w:hAnsi="Times New Roman" w:eastAsia="宋体"/>
          <w:b w:val="0"/>
          <w:i w:val="0"/>
          <w:color w:val="000000"/>
          <w:sz w:val="18"/>
        </w:rPr>
        <w:t>若分别以</w:t>
      </w:r>
      <m:oMath>
        <m:r>
          <m:rPr>
            <m:sty m:val="p"/>
          </m:rPr>
          <m:t xml:space="preserve">Pτ</m:t>
        </m:r>
      </m:oMath>
      <w:r>
        <w:rPr>
          <w:rFonts w:ascii="Times New Roman" w:hAnsi="Times New Roman" w:eastAsia="宋体"/>
          <w:b w:val="0"/>
          <w:i w:val="0"/>
          <w:color w:val="000000"/>
          <w:sz w:val="18"/>
        </w:rPr>
        <w:t>、</w:t>
      </w:r>
      <m:oMath>
        <m:r>
          <m:rPr>
            <m:sty m:val="p"/>
          </m:rPr>
          <m:t xml:space="preserve">Mτ</m:t>
        </m:r>
      </m:oMath>
      <w:r>
        <w:rPr>
          <w:rFonts w:ascii="Times New Roman" w:hAnsi="Times New Roman" w:eastAsia="宋体"/>
          <w:b w:val="0"/>
          <w:i w:val="0"/>
          <w:color w:val="000000"/>
          <w:sz w:val="18"/>
        </w:rPr>
        <w:t>和</w:t>
      </w:r>
      <m:oMath>
        <m:r>
          <m:rPr>
            <m:sty m:val="p"/>
          </m:rPr>
          <m:t xml:space="preserve">Iτ</m:t>
        </m:r>
      </m:oMath>
      <w:r>
        <w:rPr>
          <w:rFonts w:ascii="Times New Roman" w:hAnsi="Times New Roman" w:eastAsia="宋体"/>
          <w:b w:val="0"/>
          <w:i w:val="0"/>
          <w:color w:val="000000"/>
          <w:sz w:val="18"/>
        </w:rPr>
        <w:t>表示迹</w:t>
      </w:r>
      <m:oMath>
        <m:r>
          <m:rPr>
            <m:sty m:val="p"/>
          </m:rPr>
          <m:t xml:space="preserve">τ</m:t>
        </m:r>
      </m:oMath>
      <w:r>
        <w:rPr>
          <w:rFonts w:ascii="Times New Roman" w:hAnsi="Times New Roman" w:eastAsia="宋体"/>
          <w:b w:val="0"/>
          <w:i w:val="0"/>
          <w:color w:val="000000"/>
          <w:sz w:val="18"/>
        </w:rPr>
        <w:t>中的批内参与方互异性、批内消息互异性和批内来源单射性，则根据当前规则可人工推导</w:t>
      </w:r>
    </w:p>
    <w:p>
      <w:pPr>
        <w:pStyle w:val="74"/>
        <w:keepLines/>
        <w:tabs>
          <w:tab w:pos="4592" w:val="right"/>
        </w:tabs>
        <w:spacing w:before="40" w:after="40"/>
        <w:jc w:val="center"/>
      </w:pPr>
      <m:oMath>
        <m:r>
          <m:rPr>
            <m:sty m:val="p"/>
          </m:rPr>
          <m:t xml:space="preserve">Pτ⇒ Mτ, Mτ⇔ Iτ.</m:t>
        </m:r>
      </m:oMath>
    </w:p>
    <w:p>
      <w:pPr>
        <w:pStyle w:val="71"/>
        <w:spacing w:before="0" w:after="0" w:lineRule="exact" w:line="240"/>
        <w:ind w:firstLine="360"/>
        <w:jc w:val="both"/>
      </w:pPr>
      <w:r>
        <w:rPr>
          <w:rFonts w:ascii="Times New Roman" w:hAnsi="Times New Roman" w:eastAsia="宋体"/>
          <w:b w:val="0"/>
          <w:i w:val="0"/>
          <w:color w:val="000000"/>
          <w:sz w:val="18"/>
        </w:rPr>
        <w:t>该关系依赖三个模型共用的新鲜消息生成和完整元组精确来源匹配规则，不能直接推广到允许消息复用或采用其他来源关系的模型。它来自对现有规则的人工迹语义推导，不是新增的Tamarin lemma或证明器运行，也不构成适用于任意协议的一般定理。三个性质仍具有不同的公式和量词对象。</w:t>
      </w:r>
    </w:p>
    <w:p>
      <w:pPr>
        <w:pStyle w:val="65"/>
        <w:keepNext/>
        <w:spacing w:before="100" w:after="20"/>
      </w:pPr>
      <w:r>
        <w:rPr>
          <w:rFonts w:ascii="Times New Roman" w:hAnsi="Times New Roman" w:eastAsia="宋体"/>
          <w:b/>
          <w:i w:val="0"/>
          <w:color w:val="000000"/>
          <w:sz w:val="21"/>
        </w:rPr>
        <w:t>形式化验证与结果分析</w:t>
      </w:r>
    </w:p>
    <w:p>
      <w:pPr>
        <w:pStyle w:val="66"/>
        <w:keepNext/>
        <w:spacing w:before="60" w:after="20"/>
      </w:pPr>
      <w:r>
        <w:rPr>
          <w:rFonts w:ascii="Times New Roman" w:hAnsi="Times New Roman" w:eastAsia="宋体"/>
          <w:b/>
          <w:i w:val="0"/>
          <w:color w:val="000000"/>
          <w:sz w:val="18"/>
        </w:rPr>
        <w:t>无互异约束下的重复接受</w:t>
      </w:r>
    </w:p>
    <w:p>
      <w:pPr>
        <w:pStyle w:val="71"/>
        <w:spacing w:before="0" w:after="0" w:lineRule="exact" w:line="240"/>
        <w:ind w:firstLine="360"/>
        <w:jc w:val="left"/>
      </w:pPr>
      <w:r>
        <w:rPr>
          <w:rFonts w:ascii="Times New Roman" w:hAnsi="Times New Roman" w:eastAsia="宋体"/>
          <w:b w:val="0"/>
          <w:i w:val="0"/>
          <w:color w:val="000000"/>
          <w:sz w:val="18"/>
        </w:rPr>
        <w:t>无互异约束模型首先验证了正常批次路径的存在性（normal_relaxed_batch_exists）：至少存在一条执行能够经过批次准入并到达后续接受事件。该结果确认共同生命周期可以运行，但既不要求参与方互异，也不证明目标关系成立。</w:t>
      </w:r>
    </w:p>
    <w:p>
      <w:pPr>
        <w:pStyle w:val="71"/>
        <w:spacing w:before="0" w:after="0" w:lineRule="exact" w:line="240"/>
        <w:ind w:firstLine="360"/>
        <w:jc w:val="left"/>
      </w:pPr>
      <w:r>
        <w:rPr>
          <w:rFonts w:ascii="Times New Roman" w:hAnsi="Times New Roman" w:eastAsia="宋体"/>
          <w:b w:val="0"/>
          <w:i w:val="0"/>
          <w:color w:val="000000"/>
          <w:sz w:val="18"/>
        </w:rPr>
        <w:t>核心存在性性质one_send_two_accepts_exists同样验证通过。相应可达执行在两个槽位收集同一个</w:t>
      </w:r>
      <m:oMath>
        <m:r>
          <m:rPr>
            <m:sty m:val="p"/>
          </m:rPr>
          <m:t xml:space="preserve">(A,oid,m)</m:t>
        </m:r>
      </m:oMath>
      <w:r>
        <w:rPr>
          <w:rFonts w:ascii="Times New Roman" w:hAnsi="Times New Roman" w:eastAsia="宋体"/>
          <w:b w:val="0"/>
          <w:i w:val="0"/>
          <w:color w:val="000000"/>
          <w:sz w:val="18"/>
        </w:rPr>
        <w:t>元组，并由一个匹配发送来源支持同批两个接受事件。关键动作事实可归纳为</w:t>
      </w:r>
    </w:p>
    <w:p>
      <w:pPr>
        <w:pStyle w:val="74"/>
        <w:keepLines/>
        <w:tabs>
          <w:tab w:pos="4592" w:val="right"/>
        </w:tabs>
        <w:spacing w:before="40" w:after="40"/>
        <w:jc w:val="center"/>
      </w:pPr>
      <m:oMath>
        <m:r>
          <m:rPr>
            <m:sty m:val="p"/>
          </m:rPr>
          <m:t xml:space="preserve">Send(A,oid,m)@s,</m:t>
        </m:r>
      </m:oMath>
      <w:r>
        <w:br/>
      </w:r>
      <m:oMath>
        <m:r>
          <m:rPr>
            <m:sty m:val="p"/>
          </m:rPr>
          <m:t xml:space="preserve">BatchReceive(bid,rst)@b,</m:t>
        </m:r>
      </m:oMath>
      <w:r>
        <w:br/>
      </w:r>
      <m:oMath>
        <m:r>
          <m:rPr>
            <m:sty m:val="p"/>
          </m:rPr>
          <m:t xml:space="preserve">ReceiverAccept(A,oid,m,bid,rst)@r₁,</m:t>
        </m:r>
      </m:oMath>
      <w:r>
        <w:br/>
      </w:r>
      <m:oMath>
        <m:r>
          <m:rPr>
            <m:sty m:val="p"/>
          </m:rPr>
          <m:t xml:space="preserve">ReceiverAccept(A,oid,m,bid,rst)@r₂,</m:t>
        </m:r>
      </m:oMath>
      <w:r>
        <w:br/>
      </w:r>
      <m:oMath>
        <m:r>
          <m:rPr>
            <m:sty m:val="p"/>
          </m:rPr>
          <m:t xml:space="preserve">s&lt;b&lt;r₁&lt;r₂.</m:t>
        </m:r>
      </m:oMath>
      <w:r>
        <w:rPr>
          <w:rFonts w:ascii="Times New Roman" w:hAnsi="Times New Roman" w:eastAsia="宋体"/>
          <w:color w:val="000000"/>
          <w:sz w:val="18"/>
        </w:rPr>
        <w:tab/>
        <w:t>(3)</w:t>
      </w:r>
    </w:p>
    <w:p>
      <w:pPr>
        <w:pStyle w:val="71"/>
        <w:spacing w:before="0" w:after="0" w:lineRule="exact" w:line="240"/>
        <w:ind w:firstLine="360"/>
        <w:jc w:val="both"/>
      </w:pPr>
      <w:r>
        <w:rPr>
          <w:rFonts w:ascii="Times New Roman" w:hAnsi="Times New Roman" w:eastAsia="宋体"/>
          <w:b w:val="0"/>
          <w:i w:val="0"/>
          <w:color w:val="000000"/>
          <w:sz w:val="18"/>
        </w:rPr>
        <w:t>式(3)中的两个接受事件具有相同的条目、批次和接收方上下文坐标，而</w:t>
      </w:r>
      <m:oMath>
        <m:r>
          <m:rPr>
            <m:sty m:val="p"/>
          </m:rPr>
          <m:t xml:space="preserve">r₁&lt;r₂</m:t>
        </m:r>
      </m:oMath>
      <w:r>
        <w:rPr>
          <w:rFonts w:ascii="Times New Roman" w:hAnsi="Times New Roman" w:eastAsia="宋体"/>
          <w:b w:val="0"/>
          <w:i w:val="0"/>
          <w:color w:val="000000"/>
          <w:sz w:val="18"/>
        </w:rPr>
        <w:t>表明二者是不同的事件发生。该性质还约束与所示完整元组匹配的Send 发生点唯一为</w:t>
      </w:r>
      <m:oMath>
        <m:r>
          <m:rPr>
            <m:sty m:val="p"/>
          </m:rPr>
          <m:t xml:space="preserve">s</m:t>
        </m:r>
      </m:oMath>
      <w:r>
        <w:rPr>
          <w:rFonts w:ascii="Times New Roman" w:hAnsi="Times New Roman" w:eastAsia="宋体"/>
          <w:b w:val="0"/>
          <w:i w:val="0"/>
          <w:color w:val="000000"/>
          <w:sz w:val="18"/>
        </w:rPr>
        <w:t>，因此两个接受并非分别对应两个匹配发送。此处的唯一性仅针对所示元组，不排除执行中存在与该元组不匹配的其他发送。</w:t>
      </w:r>
    </w:p>
    <w:p>
      <w:pPr>
        <w:pStyle w:val="71"/>
        <w:spacing w:before="0" w:after="0" w:lineRule="exact" w:line="240"/>
        <w:ind w:firstLine="360"/>
        <w:jc w:val="both"/>
      </w:pPr>
      <w:r>
        <w:rPr>
          <w:rFonts w:ascii="Times New Roman" w:hAnsi="Times New Roman" w:eastAsia="宋体"/>
          <w:b w:val="0"/>
          <w:i w:val="0"/>
          <w:color w:val="000000"/>
          <w:sz w:val="18"/>
        </w:rPr>
        <w:t>图2给出了该可达执行的关键事件投影。</w:t>
      </w:r>
    </w:p>
    <w:p>
      <w:pPr>
        <w:pStyle w:val="77"/>
        <w:keepLines/>
        <w:spacing w:before="40" w:after="20"/>
        <w:jc w:val="center"/>
      </w:pPr>
      <w:r>
        <w:drawing>
          <wp:inline xmlns:a="http://schemas.openxmlformats.org/drawingml/2006/main" xmlns:pic="http://schemas.openxmlformats.org/drawingml/2006/picture">
            <wp:extent cx="2844000" cy="3498457"/>
            <wp:docPr id="2" name="Picture 2"/>
            <wp:cNvGraphicFramePr>
              <a:graphicFrameLocks noChangeAspect="1"/>
            </wp:cNvGraphicFramePr>
            <a:graphic>
              <a:graphicData uri="http://schemas.openxmlformats.org/drawingml/2006/picture">
                <pic:pic>
                  <pic:nvPicPr>
                    <pic:cNvPr id="0" name="fig2-word-stage3.1.png"/>
                    <pic:cNvPicPr/>
                  </pic:nvPicPr>
                  <pic:blipFill>
                    <a:blip r:embed="rId15"/>
                    <a:stretch>
                      <a:fillRect/>
                    </a:stretch>
                  </pic:blipFill>
                  <pic:spPr>
                    <a:xfrm>
                      <a:off x="0" y="0"/>
                      <a:ext cx="2844000" cy="3498457"/>
                    </a:xfrm>
                    <a:prstGeom prst="rect"/>
                  </pic:spPr>
                </pic:pic>
              </a:graphicData>
            </a:graphic>
          </wp:inline>
        </w:drawing>
      </w:r>
      <w:r>
        <w:br/>
      </w:r>
      <w:r>
        <w:rPr>
          <w:rFonts w:ascii="Times New Roman" w:hAnsi="Times New Roman" w:eastAsia="宋体"/>
          <w:b w:val="0"/>
          <w:i w:val="0"/>
          <w:color w:val="000000"/>
          <w:sz w:val="16"/>
        </w:rPr>
        <w:t>图 2　无互异约束模型中的重复接受可达执行</w:t>
      </w:r>
    </w:p>
    <w:p>
      <w:pPr>
        <w:pStyle w:val="80"/>
        <w:spacing w:before="20" w:after="40"/>
      </w:pPr>
      <w:r>
        <w:rPr>
          <w:rFonts w:ascii="Times New Roman" w:hAnsi="Times New Roman" w:eastAsia="宋体"/>
          <w:b w:val="0"/>
          <w:i w:val="0"/>
          <w:color w:val="000000"/>
          <w:sz w:val="15"/>
        </w:rPr>
        <w:t>依据Tamarin模型及独立复核的可达执行重构，仅显示与所示完整元组相关的关键事件；该元组的匹配Send唯一，执行中可能存在与其不匹配的其他Send。</w:t>
      </w:r>
    </w:p>
    <w:p>
      <w:pPr>
        <w:pStyle w:val="71"/>
        <w:spacing w:before="0" w:after="0" w:lineRule="exact" w:line="240"/>
        <w:ind w:firstLine="360"/>
        <w:jc w:val="both"/>
      </w:pPr>
      <w:r>
        <w:rPr>
          <w:rFonts w:ascii="Times New Roman" w:hAnsi="Times New Roman" w:eastAsia="宋体"/>
          <w:b w:val="0"/>
          <w:i w:val="0"/>
          <w:color w:val="000000"/>
          <w:sz w:val="18"/>
        </w:rPr>
        <w:t>该重复接受源于批次组合阶段对同一已暴露条目的重复选取：同一条目占据两个槽位，两个处理步骤随后读取同一持久来源事实并分别产生接受事件。因此，重复参与方条目能够进入同一批次并产生接受事件，RQ1得到肯定回答；一个匹配发送来源也确实能够对应同批两个接受事件，RQ2得到肯定的存在性回答。</w:t>
      </w:r>
    </w:p>
    <w:p>
      <w:pPr>
        <w:pStyle w:val="71"/>
        <w:spacing w:before="0" w:after="0" w:lineRule="exact" w:line="240"/>
        <w:ind w:firstLine="360"/>
        <w:jc w:val="left"/>
      </w:pPr>
      <w:r>
        <w:rPr>
          <w:rFonts w:ascii="Times New Roman" w:hAnsi="Times New Roman" w:eastAsia="宋体"/>
          <w:b w:val="0"/>
          <w:i w:val="0"/>
          <w:color w:val="000000"/>
          <w:sz w:val="18"/>
        </w:rPr>
        <w:t>与之对应的全称性质receiver_accept_injective被反例否定。式(3)满足同一发送早于两个同坐标接受事件的前件，但</w:t>
      </w:r>
      <m:oMath>
        <m:r>
          <m:rPr>
            <m:sty m:val="p"/>
          </m:rPr>
          <m:t xml:space="preserve">r₁≠ r₂</m:t>
        </m:r>
      </m:oMath>
      <w:r>
        <w:rPr>
          <w:rFonts w:ascii="Times New Roman" w:hAnsi="Times New Roman" w:eastAsia="宋体"/>
          <w:b w:val="0"/>
          <w:i w:val="0"/>
          <w:color w:val="000000"/>
          <w:sz w:val="18"/>
        </w:rPr>
        <w:t>。因此，该执行既是one_send_two_accepts_exists的可达见证，也是批内来源单射性的反例轨迹，两项结果描述同一种重复形状。与此同时，receiver_accept_has_send验证通过，表明两个接受均有更早的匹配发送。该反例揭示的是具有模型内匹配发送来源的条目在两槽抽象中被重复使用，而非无来源接受或满足K-Waay原有互异条件的完整协议攻击。</w:t>
      </w:r>
    </w:p>
    <w:p>
      <w:pPr>
        <w:pStyle w:val="66"/>
        <w:keepNext/>
        <w:spacing w:before="60" w:after="20"/>
      </w:pPr>
      <w:r>
        <w:rPr>
          <w:rFonts w:ascii="Times New Roman" w:hAnsi="Times New Roman" w:eastAsia="宋体"/>
          <w:b/>
          <w:i w:val="0"/>
          <w:color w:val="000000"/>
          <w:sz w:val="18"/>
        </w:rPr>
        <w:t>消息互异约束的替代性分析</w:t>
      </w:r>
    </w:p>
    <w:p>
      <w:pPr>
        <w:pStyle w:val="71"/>
        <w:spacing w:before="0" w:after="0" w:lineRule="exact" w:line="240"/>
        <w:ind w:firstLine="360"/>
        <w:jc w:val="left"/>
      </w:pPr>
      <w:r>
        <w:rPr>
          <w:rFonts w:ascii="Times New Roman" w:hAnsi="Times New Roman" w:eastAsia="宋体"/>
          <w:b w:val="0"/>
          <w:i w:val="0"/>
          <w:color w:val="000000"/>
          <w:sz w:val="18"/>
        </w:rPr>
        <w:t>消息互异约束模型中的accepted_batch_has_distinct_messages验证通过：同一</w:t>
      </w:r>
      <m:oMath>
        <m:r>
          <m:rPr>
            <m:sty m:val="p"/>
          </m:rPr>
          <m:t xml:space="preserve">(bid,rst)</m:t>
        </m:r>
      </m:oMath>
      <w:r>
        <w:rPr>
          <w:rFonts w:ascii="Times New Roman" w:hAnsi="Times New Roman" w:eastAsia="宋体"/>
          <w:b w:val="0"/>
          <w:i w:val="0"/>
          <w:color w:val="000000"/>
          <w:sz w:val="18"/>
        </w:rPr>
        <w:t>中的两个不同ReceiverAccept 事件具有不同消息分量。该全称性质确认了模型直接施加的批内消息关系，但不涉及参与方分量。</w:t>
      </w:r>
    </w:p>
    <w:p>
      <w:pPr>
        <w:pStyle w:val="71"/>
        <w:spacing w:before="0" w:after="0" w:lineRule="exact" w:line="240"/>
        <w:ind w:firstLine="360"/>
        <w:jc w:val="both"/>
      </w:pPr>
      <w:r>
        <w:rPr>
          <w:rFonts w:ascii="Times New Roman" w:hAnsi="Times New Roman" w:eastAsia="宋体"/>
          <w:b w:val="0"/>
          <w:i w:val="0"/>
          <w:color w:val="000000"/>
          <w:sz w:val="18"/>
        </w:rPr>
        <w:t>该模型的发送来源对应性和批内来源单射性也均验证通过。前者表明每个接受事件都有更早的完整元组匹配发送，后者排除一个匹配发送来源在同一批次和接收方上下文中对应两个不同接受事件。三项性质分别记录消息比较、匹配发送存在性和同一来源所对应的接受事件数，均不比较两个条目的参与方分量。按照第2.3节的规则语义，批内消息互异性与批内来源单射性在当前模型中相互蕴含，不能作为两项独立的累积保证。</w:t>
      </w:r>
    </w:p>
    <w:p>
      <w:pPr>
        <w:pStyle w:val="71"/>
        <w:spacing w:before="0" w:after="0" w:lineRule="exact" w:line="240"/>
        <w:ind w:firstLine="360"/>
        <w:jc w:val="left"/>
      </w:pPr>
      <w:r>
        <w:rPr>
          <w:rFonts w:ascii="Times New Roman" w:hAnsi="Times New Roman" w:eastAsia="宋体"/>
          <w:b w:val="0"/>
          <w:i w:val="0"/>
          <w:color w:val="000000"/>
          <w:sz w:val="18"/>
        </w:rPr>
        <w:t>替代性结论的关键证据是same_party_different_messages_batch_exists的验证结果。相应可达执行包含同一参与方</w:t>
      </w:r>
      <m:oMath>
        <m:r>
          <m:rPr>
            <m:sty m:val="p"/>
          </m:rPr>
          <m:t xml:space="preserve">A</m:t>
        </m:r>
      </m:oMath>
      <w:r>
        <w:rPr>
          <w:rFonts w:ascii="Times New Roman" w:hAnsi="Times New Roman" w:eastAsia="宋体"/>
          <w:b w:val="0"/>
          <w:i w:val="0"/>
          <w:color w:val="000000"/>
          <w:sz w:val="18"/>
        </w:rPr>
        <w:t>的两个条目</w:t>
      </w:r>
      <m:oMath>
        <m:r>
          <m:rPr>
            <m:sty m:val="p"/>
          </m:rPr>
          <m:t xml:space="preserve">(A,oid₁,m₁)</m:t>
        </m:r>
      </m:oMath>
      <w:r>
        <w:rPr>
          <w:rFonts w:ascii="Times New Roman" w:hAnsi="Times New Roman" w:eastAsia="宋体"/>
          <w:b w:val="0"/>
          <w:i w:val="0"/>
          <w:color w:val="000000"/>
          <w:sz w:val="18"/>
        </w:rPr>
        <w:t>和</w:t>
      </w:r>
      <m:oMath>
        <m:r>
          <m:rPr>
            <m:sty m:val="p"/>
          </m:rPr>
          <m:t xml:space="preserve">(A,oid₂,m₂)</m:t>
        </m:r>
      </m:oMath>
      <w:r>
        <w:rPr>
          <w:rFonts w:ascii="Times New Roman" w:hAnsi="Times New Roman" w:eastAsia="宋体"/>
          <w:b w:val="0"/>
          <w:i w:val="0"/>
          <w:color w:val="000000"/>
          <w:sz w:val="18"/>
        </w:rPr>
        <w:t>，其中</w:t>
      </w:r>
      <m:oMath>
        <m:r>
          <m:rPr>
            <m:sty m:val="p"/>
          </m:rPr>
          <m:t xml:space="preserve">oid₁≠oid₂</m:t>
        </m:r>
      </m:oMath>
      <w:r>
        <w:rPr>
          <w:rFonts w:ascii="Times New Roman" w:hAnsi="Times New Roman" w:eastAsia="宋体"/>
          <w:b w:val="0"/>
          <w:i w:val="0"/>
          <w:color w:val="000000"/>
          <w:sz w:val="18"/>
        </w:rPr>
        <w:t>且</w:t>
      </w:r>
      <m:oMath>
        <m:r>
          <m:rPr>
            <m:sty m:val="p"/>
          </m:rPr>
          <m:t xml:space="preserve">m₁≠ m₂</m:t>
        </m:r>
      </m:oMath>
      <w:r>
        <w:rPr>
          <w:rFonts w:ascii="Times New Roman" w:hAnsi="Times New Roman" w:eastAsia="宋体"/>
          <w:b w:val="0"/>
          <w:i w:val="0"/>
          <w:color w:val="000000"/>
          <w:sz w:val="18"/>
        </w:rPr>
        <w:t>。两个条目各有自己的匹配</w:t>
      </w:r>
      <m:oMath>
        <m:r>
          <m:rPr>
            <m:sty m:val="p"/>
          </m:rPr>
          <m:t xml:space="preserve">Send</m:t>
        </m:r>
      </m:oMath>
      <w:r>
        <w:rPr>
          <w:rFonts w:ascii="Times New Roman" w:hAnsi="Times New Roman" w:eastAsia="宋体"/>
          <w:b w:val="0"/>
          <w:i w:val="0"/>
          <w:color w:val="000000"/>
          <w:sz w:val="18"/>
        </w:rPr>
        <w:t>来源，且两个发送都早于同一次批次准入；随后，两个条目通过消息级准入，并在共同</w:t>
      </w:r>
      <m:oMath>
        <m:r>
          <m:rPr>
            <m:sty m:val="p"/>
          </m:rPr>
          <m:t xml:space="preserve">(bid,rst)</m:t>
        </m:r>
      </m:oMath>
      <w:r>
        <w:rPr>
          <w:rFonts w:ascii="Times New Roman" w:hAnsi="Times New Roman" w:eastAsia="宋体"/>
          <w:b w:val="0"/>
          <w:i w:val="0"/>
          <w:color w:val="000000"/>
          <w:sz w:val="18"/>
        </w:rPr>
        <w:t>中依次产生接受事件。该执行没有复用匹配发送来源，重复只出现在参与方投影上。</w:t>
      </w:r>
    </w:p>
    <w:p>
      <w:pPr>
        <w:pStyle w:val="71"/>
        <w:spacing w:before="0" w:after="0" w:lineRule="exact" w:line="240"/>
        <w:ind w:firstLine="360"/>
        <w:jc w:val="left"/>
      </w:pPr>
      <w:r>
        <w:rPr>
          <w:rFonts w:ascii="Times New Roman" w:hAnsi="Times New Roman" w:eastAsia="宋体"/>
          <w:b w:val="0"/>
          <w:i w:val="0"/>
          <w:color w:val="000000"/>
          <w:sz w:val="18"/>
        </w:rPr>
        <w:t>该机器见证将</w:t>
      </w:r>
      <m:oMath>
        <m:r>
          <m:rPr>
            <m:sty m:val="p"/>
          </m:rPr>
          <m:t xml:space="preserve">m₁≠ m₂</m:t>
        </m:r>
      </m:oMath>
      <w:r>
        <w:rPr>
          <w:rFonts w:ascii="Times New Roman" w:hAnsi="Times New Roman" w:eastAsia="宋体"/>
          <w:b w:val="0"/>
          <w:i w:val="0"/>
          <w:color w:val="000000"/>
          <w:sz w:val="18"/>
        </w:rPr>
        <w:t>且</w:t>
      </w:r>
      <m:oMath>
        <m:r>
          <m:rPr>
            <m:sty m:val="p"/>
          </m:rPr>
          <m:t xml:space="preserve">A₁=A₂</m:t>
        </m:r>
      </m:oMath>
      <w:r>
        <w:rPr>
          <w:rFonts w:ascii="Times New Roman" w:hAnsi="Times New Roman" w:eastAsia="宋体"/>
          <w:b w:val="0"/>
          <w:i w:val="0"/>
          <w:color w:val="000000"/>
          <w:sz w:val="18"/>
        </w:rPr>
        <w:t>的静态关系落实到完整的共同生命周期，并确认两个接受各有匹配发送来源。因此，消息级准入约束不能推出式(2)规定的批内参与方互异性。批内消息互异性和批内来源单射性的全称结果仍分别对应各自公式与复核记录，但不构成相互独立的增量证据。消息相等时的拒绝分支也存在可达执行（repeated_message_rejection_exists）；该结果仅说明分支可达，不保证所有重复消息最终均被拒绝。</w:t>
      </w:r>
    </w:p>
    <w:p>
      <w:pPr>
        <w:pStyle w:val="71"/>
        <w:spacing w:before="0" w:after="0" w:lineRule="exact" w:line="240"/>
        <w:ind w:firstLine="360"/>
        <w:jc w:val="both"/>
      </w:pPr>
      <w:r>
        <w:rPr>
          <w:rFonts w:ascii="Times New Roman" w:hAnsi="Times New Roman" w:eastAsia="宋体"/>
          <w:b w:val="0"/>
          <w:i w:val="0"/>
          <w:color w:val="000000"/>
          <w:sz w:val="18"/>
        </w:rPr>
        <w:t>由此，消息互异约束模型能够维护自身断言的消息关系和来源单射关系，却不能替代参与方互异条件。RQ3的否定答案来自同一参与方不同消息批次的实际可达性，而不是其他性质的验证失败。</w:t>
      </w:r>
    </w:p>
    <w:p>
      <w:pPr>
        <w:pStyle w:val="66"/>
        <w:keepNext/>
        <w:spacing w:before="60" w:after="20"/>
      </w:pPr>
      <w:r>
        <w:rPr>
          <w:rFonts w:ascii="Times New Roman" w:hAnsi="Times New Roman" w:eastAsia="宋体"/>
          <w:b/>
          <w:i w:val="0"/>
          <w:color w:val="000000"/>
          <w:sz w:val="18"/>
        </w:rPr>
        <w:t>参与方互异约束下的性质验证</w:t>
      </w:r>
    </w:p>
    <w:p>
      <w:pPr>
        <w:pStyle w:val="71"/>
        <w:spacing w:before="0" w:after="0" w:lineRule="exact" w:line="240"/>
        <w:ind w:firstLine="360"/>
        <w:jc w:val="left"/>
      </w:pPr>
      <w:r>
        <w:rPr>
          <w:rFonts w:ascii="Times New Roman" w:hAnsi="Times New Roman" w:eastAsia="宋体"/>
          <w:b w:val="0"/>
          <w:i w:val="0"/>
          <w:color w:val="000000"/>
          <w:sz w:val="18"/>
        </w:rPr>
        <w:t>参与方互异约束模型在准入时直接要求</w:t>
      </w:r>
      <m:oMath>
        <m:r>
          <m:rPr>
            <m:sty m:val="p"/>
          </m:rPr>
          <m:t xml:space="preserve">A₁≠ A₂</m:t>
        </m:r>
      </m:oMath>
      <w:r>
        <w:rPr>
          <w:rFonts w:ascii="Times New Roman" w:hAnsi="Times New Roman" w:eastAsia="宋体"/>
          <w:b w:val="0"/>
          <w:i w:val="0"/>
          <w:color w:val="000000"/>
          <w:sz w:val="18"/>
        </w:rPr>
        <w:t>。目标全称性质accepted_batch_has_distinct_parties验证通过，表明同一</w:t>
      </w:r>
      <m:oMath>
        <m:r>
          <m:rPr>
            <m:sty m:val="p"/>
          </m:rPr>
          <m:t xml:space="preserve">(bid,rst)</m:t>
        </m:r>
      </m:oMath>
      <w:r>
        <w:rPr>
          <w:rFonts w:ascii="Times New Roman" w:hAnsi="Times New Roman" w:eastAsia="宋体"/>
          <w:b w:val="0"/>
          <w:i w:val="0"/>
          <w:color w:val="000000"/>
          <w:sz w:val="18"/>
        </w:rPr>
        <w:t>中的两个不同ReceiverAccept 事件具有不同参与方投影。准入规则规定执行如何受到目标条件约束，全称性质则验证后续接受事件满足的关系；二者分别属于规则语义和机器验证结论。</w:t>
      </w:r>
    </w:p>
    <w:p>
      <w:pPr>
        <w:pStyle w:val="71"/>
        <w:spacing w:before="0" w:after="0" w:lineRule="exact" w:line="240"/>
        <w:ind w:firstLine="360"/>
        <w:jc w:val="left"/>
      </w:pPr>
      <w:r>
        <w:rPr>
          <w:rFonts w:ascii="Times New Roman" w:hAnsi="Times New Roman" w:eastAsia="宋体"/>
          <w:b w:val="0"/>
          <w:i w:val="0"/>
          <w:color w:val="000000"/>
          <w:sz w:val="18"/>
        </w:rPr>
        <w:t>存在性性质distinct_party_batch_exists也验证通过。其可达执行包含两个不同参与方，两个条目各有模型内匹配发送来源；相应发送均早于同一次批次准入，随后产生两个接受事件。该结果说明有效的不同参与方批次能够完成后续处理，目标性质并非依赖拒绝全部批次而成立。</w:t>
      </w:r>
    </w:p>
    <w:p>
      <w:pPr>
        <w:pStyle w:val="71"/>
        <w:spacing w:before="0" w:after="0" w:lineRule="exact" w:line="240"/>
        <w:ind w:firstLine="360"/>
        <w:jc w:val="left"/>
      </w:pPr>
      <w:r>
        <w:rPr>
          <w:rFonts w:ascii="Times New Roman" w:hAnsi="Times New Roman" w:eastAsia="宋体"/>
          <w:b w:val="0"/>
          <w:i w:val="0"/>
          <w:color w:val="000000"/>
          <w:sz w:val="18"/>
        </w:rPr>
        <w:t>发送来源对应性与批内来源单射性均验证通过，表明有效路径中的来源关系与目标性质相容。同一参与方拒绝分支也存在可达执行（same_party_rejection_exists）。不过，该性质没有把此前的具体发送元组绑定到最终被拒的候选元组，因而不能据此断言任意同参与方输入最终都会被拒绝。</w:t>
      </w:r>
    </w:p>
    <w:p>
      <w:pPr>
        <w:pStyle w:val="71"/>
        <w:spacing w:before="0" w:after="0" w:lineRule="exact" w:line="240"/>
        <w:ind w:firstLine="360"/>
        <w:jc w:val="both"/>
      </w:pPr>
      <w:r>
        <w:rPr>
          <w:rFonts w:ascii="Times New Roman" w:hAnsi="Times New Roman" w:eastAsia="宋体"/>
          <w:b w:val="0"/>
          <w:i w:val="0"/>
          <w:color w:val="000000"/>
          <w:sz w:val="18"/>
        </w:rPr>
        <w:t>目标对照由此提供两类证据：批内参与方互异性在全部执行轨迹上成立，有效的不同参与方批次也确实可达。在当前两槽抽象中，直接约束参与方分量能够维持目标关系，同时保留有效行为。</w:t>
      </w:r>
    </w:p>
    <w:p>
      <w:pPr>
        <w:pStyle w:val="66"/>
        <w:keepNext/>
        <w:spacing w:before="60" w:after="20"/>
      </w:pPr>
      <w:r>
        <w:rPr>
          <w:rFonts w:ascii="Times New Roman" w:hAnsi="Times New Roman" w:eastAsia="宋体"/>
          <w:b/>
          <w:i w:val="0"/>
          <w:color w:val="000000"/>
          <w:sz w:val="18"/>
        </w:rPr>
        <w:t>综合验证结果</w:t>
      </w:r>
    </w:p>
    <w:p>
      <w:pPr>
        <w:pStyle w:val="71"/>
        <w:spacing w:before="0" w:after="0" w:lineRule="exact" w:line="240"/>
        <w:ind w:firstLine="360"/>
        <w:jc w:val="both"/>
      </w:pPr>
      <w:r>
        <w:rPr>
          <w:rFonts w:ascii="Times New Roman" w:hAnsi="Times New Roman" w:eastAsia="宋体"/>
          <w:b w:val="0"/>
          <w:i w:val="0"/>
          <w:color w:val="000000"/>
          <w:sz w:val="18"/>
        </w:rPr>
        <w:t>表4汇总7项核心结果。存在性性质验证通过表示至少存在一条满足公式的执行轨迹；全称性质验证通过表示模型的所有执行轨迹均满足相应断言；全称性质被反例否定则表示存在违反断言的反例轨迹。三种结果必须按照各自量词解释。</w:t>
      </w:r>
    </w:p>
    <w:p>
      <w:pPr>
        <w:sectPr>
          <w:type w:val="continuous"/>
          <w:pgSz w:w="11906" w:h="16838"/>
          <w:pgMar w:top="1134" w:right="850" w:bottom="850" w:left="850" w:header="397" w:footer="397" w:gutter="0"/>
          <w:cols w:space="360" w:num="2"/>
          <w:docGrid w:type="linesAndChars" w:linePitch="322" w:charSpace="460"/>
        </w:sectPr>
      </w:pPr>
    </w:p>
    <w:p>
      <w:pPr>
        <w:pStyle w:val="77"/>
        <w:keepNext/>
        <w:jc w:val="center"/>
      </w:pPr>
      <w:r>
        <w:rPr>
          <w:rFonts w:ascii="Times New Roman" w:hAnsi="Times New Roman" w:eastAsia="宋体"/>
          <w:b/>
          <w:i w:val="0"/>
          <w:color w:val="000000"/>
          <w:sz w:val="16"/>
        </w:rPr>
        <w:t>表 4　关键Tamarin验证结果</w:t>
      </w:r>
    </w:p>
    <w:tbl>
      <w:tblPr>
        <w:tblW w:type="auto" w:w="0"/>
        <w:jc w:val="center"/>
        <w:tblLayout w:type="fixed"/>
        <w:tblLook w:firstColumn="1" w:firstRow="1" w:lastColumn="0" w:lastRow="0" w:noHBand="0" w:noVBand="1" w:val="04A0"/>
      </w:tblPr>
      <w:tblGrid>
        <w:gridCol w:w="1247"/>
        <w:gridCol w:w="3458"/>
        <w:gridCol w:w="964"/>
        <w:gridCol w:w="1191"/>
        <w:gridCol w:w="2098"/>
      </w:tblGrid>
      <w:tr>
        <w:trPr>
          <w:cantSplit/>
          <w:trHeight w:hRule="atLeast"/>
          <w:tblHeader w:val="true"/>
        </w:trPr>
        <w:tc>
          <w:tcPr>
            <w:tcW w:type="dxa" w:w="1247"/>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模型</w:t>
            </w:r>
          </w:p>
        </w:tc>
        <w:tc>
          <w:tcPr>
            <w:tcW w:type="dxa" w:w="345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验证性质</w:t>
            </w:r>
          </w:p>
        </w:tc>
        <w:tc>
          <w:tcPr>
            <w:tcW w:type="dxa" w:w="964"/>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类型</w:t>
            </w:r>
          </w:p>
        </w:tc>
        <w:tc>
          <w:tcPr>
            <w:tcW w:type="dxa" w:w="1191"/>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结果</w:t>
            </w:r>
          </w:p>
        </w:tc>
        <w:tc>
          <w:tcPr>
            <w:tcW w:type="dxa" w:w="2098"/>
            <w:vAlign w:val="center"/>
            <w:tcBorders>
              <w:top w:val="single" w:sz="6" w:space="0" w:color="000000"/>
              <w:bottom w:val="single" w:sz="6" w:space="0" w:color="000000"/>
              <w:left w:val="nil"/>
              <w:right w:val="nil"/>
              <w:insideH w:val="nil"/>
              <w:insideV w:val="nil"/>
            </w:tcBorders>
          </w:tcPr>
          <w:p>
            <w:pPr>
              <w:spacing w:before="0" w:after="0" w:lineRule="exact" w:line="190"/>
              <w:jc w:val="center"/>
            </w:pPr>
            <w:r/>
            <w:r>
              <w:rPr>
                <w:rFonts w:ascii="Times New Roman" w:hAnsi="Times New Roman" w:eastAsia="宋体"/>
                <w:b/>
                <w:i w:val="0"/>
                <w:color w:val="000000"/>
                <w:sz w:val="14"/>
              </w:rPr>
              <w:t>论证作用</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一个匹配来源对应两个同批接受</w:t>
            </w:r>
            <w:r>
              <w:br/>
            </w:r>
            <w:r>
              <w:rPr>
                <w:rFonts w:ascii="Times New Roman" w:hAnsi="Times New Roman" w:eastAsia="宋体"/>
                <w:b w:val="0"/>
                <w:i w:val="0"/>
                <w:color w:val="000000"/>
                <w:sz w:val="13"/>
              </w:rPr>
              <w:t>one_send_two_accepts_exists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给出重复接受的可达执行</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无互异约束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被反例否定</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表明同一来源可重复对应</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批内消息互异性</w:t>
            </w:r>
            <w:r>
              <w:br/>
            </w:r>
            <w:r>
              <w:rPr>
                <w:rFonts w:ascii="Times New Roman" w:hAnsi="Times New Roman" w:eastAsia="宋体"/>
                <w:b w:val="0"/>
                <w:i w:val="0"/>
                <w:color w:val="000000"/>
                <w:sz w:val="13"/>
              </w:rPr>
              <w:t>accepted_batch_has_</w:t>
            </w:r>
            <w:r>
              <w:br/>
            </w:r>
            <w:r>
              <w:rPr>
                <w:rFonts w:ascii="Times New Roman" w:hAnsi="Times New Roman" w:eastAsia="宋体"/>
                <w:b w:val="0"/>
                <w:i w:val="0"/>
                <w:color w:val="000000"/>
                <w:sz w:val="13"/>
              </w:rPr>
              <w:t>distinct_messages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确认模型自身约束</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批内来源单射性</w:t>
            </w:r>
            <w:r>
              <w:br/>
            </w:r>
            <w:r>
              <w:rPr>
                <w:rFonts w:ascii="Times New Roman" w:hAnsi="Times New Roman" w:eastAsia="宋体"/>
                <w:b w:val="0"/>
                <w:i w:val="0"/>
                <w:color w:val="000000"/>
                <w:sz w:val="13"/>
              </w:rPr>
              <w:t>receiver_accept_injective</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排除同一来源重复形状</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消息互异约束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同一参与方不同消息批次可达</w:t>
            </w:r>
            <w:r>
              <w:br/>
            </w:r>
            <w:r>
              <w:rPr>
                <w:rFonts w:ascii="Times New Roman" w:hAnsi="Times New Roman" w:eastAsia="宋体"/>
                <w:b w:val="0"/>
                <w:i w:val="0"/>
                <w:color w:val="000000"/>
                <w:sz w:val="13"/>
              </w:rPr>
              <w:t>same_party_different_</w:t>
            </w:r>
            <w:r>
              <w:br/>
            </w:r>
            <w:r>
              <w:rPr>
                <w:rFonts w:ascii="Times New Roman" w:hAnsi="Times New Roman" w:eastAsia="宋体"/>
                <w:b w:val="0"/>
                <w:i w:val="0"/>
                <w:color w:val="000000"/>
                <w:sz w:val="13"/>
              </w:rPr>
              <w:t>messages_batch_exists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支持非替代性结论</w:t>
            </w:r>
          </w:p>
        </w:tc>
      </w:tr>
      <w:tr>
        <w:trPr>
          <w:cantSplit/>
          <w:trHeight w:hRule="atLeast"/>
        </w:trPr>
        <w:tc>
          <w:tcPr>
            <w:tcW w:type="dxa" w:w="1247"/>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批内参与方互异性</w:t>
            </w:r>
            <w:r>
              <w:br/>
            </w:r>
            <w:r>
              <w:rPr>
                <w:rFonts w:ascii="Times New Roman" w:hAnsi="Times New Roman" w:eastAsia="宋体"/>
                <w:b w:val="0"/>
                <w:i w:val="0"/>
                <w:color w:val="000000"/>
                <w:sz w:val="13"/>
              </w:rPr>
              <w:t>accepted_batch_has_</w:t>
            </w:r>
            <w:r>
              <w:br/>
            </w:r>
            <w:r>
              <w:rPr>
                <w:rFonts w:ascii="Times New Roman" w:hAnsi="Times New Roman" w:eastAsia="宋体"/>
                <w:b w:val="0"/>
                <w:i w:val="0"/>
                <w:color w:val="000000"/>
                <w:sz w:val="13"/>
              </w:rPr>
              <w:t>distinct_parties</w:t>
            </w:r>
          </w:p>
        </w:tc>
        <w:tc>
          <w:tcPr>
            <w:tcW w:type="dxa" w:w="964"/>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全称性</w:t>
            </w:r>
          </w:p>
        </w:tc>
        <w:tc>
          <w:tcPr>
            <w:tcW w:type="dxa" w:w="1191"/>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nil"/>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保持目标关系</w:t>
            </w:r>
          </w:p>
        </w:tc>
      </w:tr>
      <w:tr>
        <w:trPr>
          <w:cantSplit/>
          <w:trHeight w:hRule="atLeast"/>
        </w:trPr>
        <w:tc>
          <w:tcPr>
            <w:tcW w:type="dxa" w:w="1247"/>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参与方互异约束</w:t>
            </w:r>
          </w:p>
        </w:tc>
        <w:tc>
          <w:tcPr>
            <w:tcW w:type="dxa" w:w="345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有效不同参与方批次可达</w:t>
            </w:r>
            <w:r>
              <w:br/>
            </w:r>
            <w:r>
              <w:rPr>
                <w:rFonts w:ascii="Times New Roman" w:hAnsi="Times New Roman" w:eastAsia="宋体"/>
                <w:b w:val="0"/>
                <w:i w:val="0"/>
                <w:color w:val="000000"/>
                <w:sz w:val="13"/>
              </w:rPr>
              <w:t>distinct_party_batch_exists</w:t>
            </w:r>
          </w:p>
        </w:tc>
        <w:tc>
          <w:tcPr>
            <w:tcW w:type="dxa" w:w="964"/>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存在性</w:t>
            </w:r>
          </w:p>
        </w:tc>
        <w:tc>
          <w:tcPr>
            <w:tcW w:type="dxa" w:w="1191"/>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已验证</w:t>
            </w:r>
          </w:p>
        </w:tc>
        <w:tc>
          <w:tcPr>
            <w:tcW w:type="dxa" w:w="2098"/>
            <w:vAlign w:val="center"/>
            <w:tcBorders>
              <w:top w:val="nil"/>
              <w:bottom w:val="single" w:sz="6" w:space="0" w:color="000000"/>
              <w:left w:val="nil"/>
              <w:right w:val="nil"/>
              <w:insideH w:val="nil"/>
              <w:insideV w:val="nil"/>
            </w:tcBorders>
          </w:tcPr>
          <w:p>
            <w:pPr>
              <w:spacing w:before="0" w:after="0" w:lineRule="exact" w:line="190"/>
              <w:jc w:val="left"/>
            </w:pPr>
            <w:r/>
            <w:r>
              <w:rPr>
                <w:rFonts w:ascii="Times New Roman" w:hAnsi="Times New Roman" w:eastAsia="宋体"/>
                <w:b w:val="0"/>
                <w:i w:val="0"/>
                <w:color w:val="000000"/>
                <w:sz w:val="14"/>
              </w:rPr>
              <w:t>确认有效批次可达</w:t>
            </w:r>
          </w:p>
        </w:tc>
      </w:tr>
    </w:tbl>
    <w:p>
      <w:pPr>
        <w:pStyle w:val="80"/>
        <w:spacing w:before="20" w:after="40"/>
      </w:pPr>
      <w:r>
        <w:rPr>
          <w:rFonts w:ascii="Times New Roman" w:hAnsi="Times New Roman" w:eastAsia="宋体"/>
          <w:b w:val="0"/>
          <w:i w:val="0"/>
          <w:color w:val="000000"/>
          <w:sz w:val="15"/>
        </w:rPr>
        <w:t>注：存在性对应exists-trace，全称性对应all-traces；“已验证”对应verified，“被反例否定”对应falsified。小号英文标识用于追踪相应lemma。</w:t>
      </w:r>
    </w:p>
    <w:p>
      <w:pPr>
        <w:sectPr>
          <w:type w:val="continuous"/>
          <w:pgSz w:w="11906" w:h="16838"/>
          <w:pgMar w:top="1134" w:right="850" w:bottom="850" w:left="850" w:header="397" w:footer="397" w:gutter="0"/>
          <w:cols w:space="360" w:num="1"/>
          <w:docGrid w:type="linesAndChars" w:linePitch="322" w:charSpace="460"/>
        </w:sectPr>
      </w:pPr>
    </w:p>
    <w:p>
      <w:pPr>
        <w:pStyle w:val="71"/>
        <w:spacing w:before="0" w:after="0" w:lineRule="exact" w:line="240"/>
        <w:ind w:firstLine="360"/>
        <w:jc w:val="both"/>
      </w:pPr>
      <w:r>
        <w:rPr>
          <w:rFonts w:ascii="Times New Roman" w:hAnsi="Times New Roman" w:eastAsia="宋体"/>
          <w:b w:val="0"/>
          <w:i w:val="0"/>
          <w:color w:val="000000"/>
          <w:sz w:val="18"/>
        </w:rPr>
        <w:t>三种模型形成连续的受控比较。无互异约束模型允许一个匹配发送来源对应同批两个接受事件，并产生批内来源单射性反例；消息互异约束模型排除这种来源复用形状，保持批内消息互异性和批内来源单射性，却仍允许同一参与方的不同消息进入同一批次；参与方互异约束模型直接保持目标关系，并保留有效批次。关键可达见证支持的结论是：消息级约束不能推出批内参与方互异性；当前模型中的批内消息互异性与批内来源单射性具有规则依赖，不能作为两项独立的累积证据。</w:t>
      </w:r>
    </w:p>
    <w:p>
      <w:pPr>
        <w:pStyle w:val="71"/>
        <w:spacing w:before="0" w:after="0" w:lineRule="exact" w:line="240"/>
        <w:ind w:firstLine="360"/>
        <w:jc w:val="both"/>
      </w:pPr>
      <w:r>
        <w:rPr>
          <w:rFonts w:ascii="Times New Roman" w:hAnsi="Times New Roman" w:eastAsia="宋体"/>
          <w:b w:val="0"/>
          <w:i w:val="0"/>
          <w:color w:val="000000"/>
          <w:sz w:val="18"/>
        </w:rPr>
        <w:t>其余7项支持结果均验证通过，包括无互异约束模型的正常路径、三个模型各自的发送来源对应性、消息互异约束和参与方互异约束模型的拒绝分支可达性，以及参与方互异约束模型的批内来源单射性。这些结果分别排除生命周期不可运行或无来源接受的解释，确认相应拒绝分支可达，并补充目标对照的来源关系。全部14项结果仍为13项验证通过、1项被反例否定，结果状态和证明步数均未改变。</w:t>
      </w:r>
    </w:p>
    <w:p>
      <w:pPr>
        <w:pStyle w:val="71"/>
        <w:spacing w:before="0" w:after="0" w:lineRule="exact" w:line="240"/>
        <w:ind w:firstLine="360"/>
        <w:jc w:val="both"/>
      </w:pPr>
      <w:r>
        <w:rPr>
          <w:rFonts w:ascii="Times New Roman" w:hAnsi="Times New Roman" w:eastAsia="宋体"/>
          <w:b w:val="0"/>
          <w:i w:val="0"/>
          <w:color w:val="000000"/>
          <w:sz w:val="18"/>
        </w:rPr>
        <w:t>后续独立复核重新执行了三个未修改模型，14项结果的状态和证明步数均与既有记录一致。相应记录构成独立复核证据，并非对历史运行日志的恢复。</w:t>
      </w:r>
    </w:p>
    <w:p>
      <w:pPr>
        <w:pStyle w:val="65"/>
        <w:keepNext/>
        <w:spacing w:before="100" w:after="20"/>
      </w:pPr>
      <w:r>
        <w:rPr>
          <w:rFonts w:ascii="Times New Roman" w:hAnsi="Times New Roman" w:eastAsia="宋体"/>
          <w:b/>
          <w:i w:val="0"/>
          <w:color w:val="000000"/>
          <w:sz w:val="21"/>
        </w:rPr>
        <w:t>结果讨论与适用范围</w:t>
      </w:r>
    </w:p>
    <w:p>
      <w:pPr>
        <w:pStyle w:val="66"/>
        <w:keepNext/>
        <w:spacing w:before="60" w:after="20"/>
      </w:pPr>
      <w:r>
        <w:rPr>
          <w:rFonts w:ascii="Times New Roman" w:hAnsi="Times New Roman" w:eastAsia="宋体"/>
          <w:b/>
          <w:i w:val="0"/>
          <w:color w:val="000000"/>
          <w:sz w:val="18"/>
        </w:rPr>
        <w:t>消息与参与方互异关系</w:t>
      </w:r>
    </w:p>
    <w:p>
      <w:pPr>
        <w:pStyle w:val="71"/>
        <w:spacing w:before="0" w:after="0" w:lineRule="exact" w:line="240"/>
        <w:ind w:firstLine="360"/>
        <w:jc w:val="left"/>
      </w:pPr>
      <w:r>
        <w:rPr>
          <w:rFonts w:ascii="Times New Roman" w:hAnsi="Times New Roman" w:eastAsia="宋体"/>
          <w:b w:val="0"/>
          <w:i w:val="0"/>
          <w:color w:val="000000"/>
          <w:sz w:val="18"/>
        </w:rPr>
        <w:t>参与方、发送实例和消息三个维度分别描述同批条目的主体归属、发送发生和消息内容。沿用第2.3节的记号，机器结果直接支持</w:t>
      </w:r>
      <m:oMath>
        <m:r>
          <m:rPr>
            <m:sty m:val="p"/>
          </m:rPr>
          <m:t xml:space="preserve">Mτ⇏ Pτ</m:t>
        </m:r>
      </m:oMath>
      <w:r>
        <w:rPr>
          <w:rFonts w:ascii="Times New Roman" w:hAnsi="Times New Roman" w:eastAsia="宋体"/>
          <w:b w:val="0"/>
          <w:i w:val="0"/>
          <w:color w:val="000000"/>
          <w:sz w:val="18"/>
        </w:rPr>
        <w:t>：same_party_different_messages_batch_exists给出同一参与方的不同消息在同批被接受的完整可达执行。与之不同，</w:t>
      </w:r>
      <m:oMath>
        <m:r>
          <m:rPr>
            <m:sty m:val="p"/>
          </m:rPr>
          <m:t xml:space="preserve">Pτ⇒ Mτ⇔ Iτ</m:t>
        </m:r>
      </m:oMath>
      <w:r>
        <w:rPr>
          <w:rFonts w:ascii="Times New Roman" w:hAnsi="Times New Roman" w:eastAsia="宋体"/>
          <w:b w:val="0"/>
          <w:i w:val="0"/>
          <w:color w:val="000000"/>
          <w:sz w:val="18"/>
        </w:rPr>
        <w:t>来自三个模型共同采用的新鲜消息生成和完整元组精确来源匹配规则，是人工迹语义推导，而非新增的Tamarin lemma或证明器结果。该关系不能推广为任意协议中的一般性质，也不意味着三个性质具有相同语义或三个比较维度彼此独立。</w:t>
      </w:r>
    </w:p>
    <w:p>
      <w:pPr>
        <w:pStyle w:val="71"/>
        <w:spacing w:before="0" w:after="0" w:lineRule="exact" w:line="240"/>
        <w:ind w:firstLine="360"/>
        <w:jc w:val="both"/>
      </w:pPr>
      <w:r>
        <w:rPr>
          <w:rFonts w:ascii="Times New Roman" w:hAnsi="Times New Roman" w:eastAsia="宋体"/>
          <w:b w:val="0"/>
          <w:i w:val="0"/>
          <w:color w:val="000000"/>
          <w:sz w:val="18"/>
        </w:rPr>
        <w:t>发送来源对应性和批内来源单射性约束发送—接受事件关系：前者要求每个ReceiverAccept 都有更早且与完整</w:t>
      </w:r>
      <m:oMath>
        <m:r>
          <m:rPr>
            <m:sty m:val="p"/>
          </m:rPr>
          <m:t xml:space="preserve">(A,oid,m)</m:t>
        </m:r>
      </m:oMath>
      <w:r>
        <w:rPr>
          <w:rFonts w:ascii="Times New Roman" w:hAnsi="Times New Roman" w:eastAsia="宋体"/>
          <w:b w:val="0"/>
          <w:i w:val="0"/>
          <w:color w:val="000000"/>
          <w:sz w:val="18"/>
        </w:rPr>
        <w:t>匹配的Send，后者限制同一匹配发送来源在一个</w:t>
      </w:r>
      <m:oMath>
        <m:r>
          <m:rPr>
            <m:sty m:val="p"/>
          </m:rPr>
          <m:t xml:space="preserve">(bid,rst)</m:t>
        </m:r>
      </m:oMath>
      <w:r>
        <w:rPr>
          <w:rFonts w:ascii="Times New Roman" w:hAnsi="Times New Roman" w:eastAsia="宋体"/>
          <w:b w:val="0"/>
          <w:i w:val="0"/>
          <w:color w:val="000000"/>
          <w:sz w:val="18"/>
        </w:rPr>
        <w:t>中对应的接受事件数。两者均不比较不同来源的参与方投影，批内来源单射性也不同于Lowe认证层次中的单射一致性。因此，两个条目可以分别满足来源要求并各自接受一次，同时仍具有相同的参与方投影。</w:t>
      </w:r>
    </w:p>
    <w:p>
      <w:pPr>
        <w:pStyle w:val="71"/>
        <w:spacing w:before="0" w:after="0" w:lineRule="exact" w:line="240"/>
        <w:ind w:firstLine="360"/>
        <w:jc w:val="both"/>
      </w:pPr>
      <w:r>
        <w:rPr>
          <w:rFonts w:ascii="Times New Roman" w:hAnsi="Times New Roman" w:eastAsia="宋体"/>
          <w:b w:val="0"/>
          <w:i w:val="0"/>
          <w:color w:val="000000"/>
          <w:sz w:val="18"/>
        </w:rPr>
        <w:t>第3.2节的机器见证将上述维度差异落实为可达行为：两个条目具有不同发送实例、不同消息和各自的匹配发送来源，但参与方投影均为</w:t>
      </w:r>
      <m:oMath>
        <m:r>
          <m:rPr>
            <m:sty m:val="p"/>
          </m:rPr>
          <m:t xml:space="preserve">A</m:t>
        </m:r>
      </m:oMath>
      <w:r>
        <w:rPr>
          <w:rFonts w:ascii="Times New Roman" w:hAnsi="Times New Roman" w:eastAsia="宋体"/>
          <w:b w:val="0"/>
          <w:i w:val="0"/>
          <w:color w:val="000000"/>
          <w:sz w:val="18"/>
        </w:rPr>
        <w:t>，并在同批产生接受事件。该执行的意义不在于重述“不同消息不等于不同参与方”，而在于证明这种组合能够通过共同的来源匹配、准入和顺序处理生命周期。因此，条目级的消息和来源性质不能替代式(2)规定的批次组合关系。</w:t>
      </w:r>
    </w:p>
    <w:p>
      <w:pPr>
        <w:pStyle w:val="66"/>
        <w:keepNext/>
        <w:spacing w:before="60" w:after="20"/>
      </w:pPr>
      <w:r>
        <w:rPr>
          <w:rFonts w:ascii="Times New Roman" w:hAnsi="Times New Roman" w:eastAsia="宋体"/>
          <w:b/>
          <w:i w:val="0"/>
          <w:color w:val="000000"/>
          <w:sz w:val="18"/>
        </w:rPr>
        <w:t>批次准入接口的关系维护</w:t>
      </w:r>
    </w:p>
    <w:p>
      <w:pPr>
        <w:pStyle w:val="71"/>
        <w:spacing w:before="0" w:after="0" w:lineRule="exact" w:line="240"/>
        <w:ind w:firstLine="360"/>
        <w:jc w:val="both"/>
      </w:pPr>
      <w:r>
        <w:rPr>
          <w:rFonts w:ascii="Times New Roman" w:hAnsi="Times New Roman" w:eastAsia="宋体"/>
          <w:b w:val="0"/>
          <w:i w:val="0"/>
          <w:color w:val="000000"/>
          <w:sz w:val="18"/>
        </w:rPr>
        <w:t>式(2)规定同批条目应保持的关系；参与方互异约束模型在准入处直接比较</w:t>
      </w:r>
      <m:oMath>
        <m:r>
          <m:rPr>
            <m:sty m:val="p"/>
          </m:rPr>
          <m:t xml:space="preserve">A₁</m:t>
        </m:r>
      </m:oMath>
      <w:r>
        <w:rPr>
          <w:rFonts w:ascii="Times New Roman" w:hAnsi="Times New Roman" w:eastAsia="宋体"/>
          <w:b w:val="0"/>
          <w:i w:val="0"/>
          <w:color w:val="000000"/>
          <w:sz w:val="18"/>
        </w:rPr>
        <w:t>与</w:t>
      </w:r>
      <m:oMath>
        <m:r>
          <m:rPr>
            <m:sty m:val="p"/>
          </m:rPr>
          <m:t xml:space="preserve">A₂</m:t>
        </m:r>
      </m:oMath>
      <w:r>
        <w:rPr>
          <w:rFonts w:ascii="Times New Roman" w:hAnsi="Times New Roman" w:eastAsia="宋体"/>
          <w:b w:val="0"/>
          <w:i w:val="0"/>
          <w:color w:val="000000"/>
          <w:sz w:val="18"/>
        </w:rPr>
        <w:t>，为该关系提供可执行的目标对照。该建模选择用于验证目标关系及有效批次的可达性，不说明显式比较是唯一实现方式。</w:t>
      </w:r>
    </w:p>
    <w:p>
      <w:pPr>
        <w:pStyle w:val="71"/>
        <w:spacing w:before="0" w:after="0" w:lineRule="exact" w:line="240"/>
        <w:ind w:firstLine="360"/>
        <w:jc w:val="both"/>
      </w:pPr>
      <w:r>
        <w:rPr>
          <w:rFonts w:ascii="Times New Roman" w:hAnsi="Times New Roman" w:eastAsia="宋体"/>
          <w:b w:val="0"/>
          <w:i w:val="0"/>
          <w:color w:val="000000"/>
          <w:sz w:val="18"/>
        </w:rPr>
        <w:t>该关系可以由调用者、批次构造组件、准入层或更早的数据结构不变量维护，现有模型不验证这些机制的具体实现，也不比较其优劣。若系统需要保持K-Waay原有的批内参与方互异条件，负责组合或准入的受信任边界必须获得适当的参与方表示，并保证条目进入同一批次时该关系成立。这一接口义务既不指定唯一的责任组件，也不要求实现采用固定的条件分支。</w:t>
      </w:r>
    </w:p>
    <w:p>
      <w:pPr>
        <w:pStyle w:val="71"/>
        <w:spacing w:before="0" w:after="0" w:lineRule="exact" w:line="240"/>
        <w:ind w:firstLine="360"/>
        <w:jc w:val="both"/>
      </w:pPr>
      <w:r>
        <w:rPr>
          <w:rFonts w:ascii="Times New Roman" w:hAnsi="Times New Roman" w:eastAsia="宋体"/>
          <w:b w:val="0"/>
          <w:i w:val="0"/>
          <w:color w:val="000000"/>
          <w:sz w:val="18"/>
        </w:rPr>
        <w:t>参与方表示仍需由具体系统定义。模型中的</w:t>
      </w:r>
      <m:oMath>
        <m:r>
          <m:rPr>
            <m:sty m:val="p"/>
          </m:rPr>
          <m:t xml:space="preserve">A</m:t>
        </m:r>
      </m:oMath>
      <w:r>
        <w:rPr>
          <w:rFonts w:ascii="Times New Roman" w:hAnsi="Times New Roman" w:eastAsia="宋体"/>
          <w:b w:val="0"/>
          <w:i w:val="0"/>
          <w:color w:val="000000"/>
          <w:sz w:val="18"/>
        </w:rPr>
        <w:t>是抽象协议主体，不自动等同于账户、长期身份、公钥编码、设备、预密钥关联或数据库记录。系统只有建立实现对象到参与方投影的合理映射，才能据此比较批内条目；当前模型既未验证该映射，也未引入新的身份解析机制。</w:t>
      </w:r>
    </w:p>
    <w:p>
      <w:pPr>
        <w:pStyle w:val="66"/>
        <w:keepNext/>
        <w:spacing w:before="60" w:after="20"/>
      </w:pPr>
      <w:r>
        <w:rPr>
          <w:rFonts w:ascii="Times New Roman" w:hAnsi="Times New Roman" w:eastAsia="宋体"/>
          <w:b/>
          <w:i w:val="0"/>
          <w:color w:val="000000"/>
          <w:sz w:val="18"/>
        </w:rPr>
        <w:t>适用范围与局限</w:t>
      </w:r>
    </w:p>
    <w:p>
      <w:pPr>
        <w:pStyle w:val="71"/>
        <w:spacing w:before="0" w:after="0" w:lineRule="exact" w:line="240"/>
        <w:ind w:firstLine="360"/>
        <w:jc w:val="both"/>
      </w:pPr>
      <w:r>
        <w:rPr>
          <w:rFonts w:ascii="Times New Roman" w:hAnsi="Times New Roman" w:eastAsia="宋体"/>
          <w:b w:val="0"/>
          <w:i w:val="0"/>
          <w:color w:val="000000"/>
          <w:sz w:val="18"/>
        </w:rPr>
        <w:t>机器证据固定为两个槽位。式(2)通过成对比较定义有限批次的目标关系，两槽模型捕获最小非平凡相等情形，但没有证明任意批次长度下的完整协议性质。结论仅涉及同一</w:t>
      </w:r>
      <m:oMath>
        <m:r>
          <m:rPr>
            <m:sty m:val="p"/>
          </m:rPr>
          <m:t xml:space="preserve">(bid,rst)</m:t>
        </m:r>
      </m:oMath>
      <w:r>
        <w:rPr>
          <w:rFonts w:ascii="Times New Roman" w:hAnsi="Times New Roman" w:eastAsia="宋体"/>
          <w:b w:val="0"/>
          <w:i w:val="0"/>
          <w:color w:val="000000"/>
          <w:sz w:val="18"/>
        </w:rPr>
        <w:t>中的条目组合和接受事件，不提供跨批次、回滚或重启保证。</w:t>
      </w:r>
    </w:p>
    <w:p>
      <w:pPr>
        <w:pStyle w:val="71"/>
        <w:spacing w:before="0" w:after="0" w:lineRule="exact" w:line="240"/>
        <w:ind w:firstLine="360"/>
        <w:jc w:val="both"/>
      </w:pPr>
      <w:r>
        <w:rPr>
          <w:rFonts w:ascii="Times New Roman" w:hAnsi="Times New Roman" w:eastAsia="宋体"/>
          <w:b w:val="0"/>
          <w:i w:val="0"/>
          <w:color w:val="000000"/>
          <w:sz w:val="18"/>
        </w:rPr>
        <w:t>模型以持久事实!Sent(A,oid,m)表示匹配发送来源。该事实没有实现签名验证、KEM与split-KEM解封装、密钥导出或其他真实认证过程；发送实例和消息的新鲜性也是当前抽象的建模选择。模型不含完整K-Waay安全游戏中的Key或Test接口，直接证据止于批次准入和ReceiverAccept，因而不能推出密钥泄露、机密性失败或完整认证密钥交换性质失效。</w:t>
      </w:r>
    </w:p>
    <w:p>
      <w:pPr>
        <w:pStyle w:val="71"/>
        <w:spacing w:before="0" w:after="0" w:lineRule="exact" w:line="240"/>
        <w:ind w:firstLine="360"/>
        <w:jc w:val="both"/>
      </w:pPr>
      <w:r>
        <w:rPr>
          <w:rFonts w:ascii="Times New Roman" w:hAnsi="Times New Roman" w:eastAsia="宋体"/>
          <w:b w:val="0"/>
          <w:i w:val="0"/>
          <w:color w:val="000000"/>
          <w:sz w:val="18"/>
        </w:rPr>
        <w:t>接受事件后的消费组件、状态安装和会话使用过程同样未被建模，完整K-Waay执行与两槽抽象之间也没有精化定理。因此，重复接受不等于重复状态安装或应用状态破坏，抽象中的可达执行也不能直接解释为具体协议攻击。攻击者控制批次组合属于分析假设；现有证据既不表明真实部署中的攻击者已经获得该能力，也不表明实际实现遗漏了原有条件。</w:t>
      </w:r>
    </w:p>
    <w:p>
      <w:pPr>
        <w:pStyle w:val="71"/>
        <w:spacing w:before="0" w:after="0" w:lineRule="exact" w:line="240"/>
        <w:ind w:firstLine="360"/>
        <w:jc w:val="both"/>
      </w:pPr>
      <w:r>
        <w:rPr>
          <w:rFonts w:ascii="Times New Roman" w:hAnsi="Times New Roman" w:eastAsia="宋体"/>
          <w:b w:val="0"/>
          <w:i w:val="0"/>
          <w:color w:val="000000"/>
          <w:sz w:val="18"/>
        </w:rPr>
        <w:t>两项拒绝性质只证明相应分支存在可达执行，不构成所有无效输入最终被拒绝的活性结论。其中，参与方拒绝性质尚未把先前的Send 元组绑定到被拒候选元组。2026年9月16日的独立复核确认三个未修改模型在记录环境中的结果状态和证明步数一致，支持当前抽象的可复现性，但不扩大协议级或部署级结论。</w:t>
      </w:r>
    </w:p>
    <w:p>
      <w:pPr>
        <w:pStyle w:val="65"/>
        <w:keepNext/>
        <w:spacing w:before="100" w:after="20"/>
      </w:pPr>
      <w:r>
        <w:rPr>
          <w:rFonts w:ascii="Times New Roman" w:hAnsi="Times New Roman" w:eastAsia="宋体"/>
          <w:b/>
          <w:i w:val="0"/>
          <w:color w:val="000000"/>
          <w:sz w:val="21"/>
        </w:rPr>
        <w:t>结束语</w:t>
      </w:r>
    </w:p>
    <w:p>
      <w:pPr>
        <w:pStyle w:val="71"/>
        <w:spacing w:before="0" w:after="0" w:lineRule="exact" w:line="240"/>
        <w:ind w:firstLine="360"/>
        <w:jc w:val="both"/>
      </w:pPr>
      <w:r>
        <w:rPr>
          <w:rFonts w:ascii="Times New Roman" w:hAnsi="Times New Roman" w:eastAsia="宋体"/>
          <w:b w:val="0"/>
          <w:i w:val="0"/>
          <w:color w:val="000000"/>
          <w:sz w:val="18"/>
        </w:rPr>
        <w:t>针对K-Waay BatchReceive 已有的批内参与方互异条件，在共同生命周期上构造了无互异、消息互异和参与方互异三种固定两槽Tamarin批次准入模型。无互异约束模型允许一个匹配发送来源对应同批两个接受事件。消息互异约束模型中的完整可达见证进一步表明，同一参与方的不同发送实例和消息即使各有匹配发送来源，仍可组成批次并产生两个接受事件；消息级约束因而不能推出参与方层面的批次关系。参与方互异约束模型则保持目标性质，并保留有效的不同参与方批次。当前规则下，批内消息互异性与批内来源单射性具有模型内逻辑依赖，不能作为两项独立的累积证据。</w:t>
      </w:r>
    </w:p>
    <w:p>
      <w:pPr>
        <w:pStyle w:val="71"/>
        <w:spacing w:before="0" w:after="0" w:lineRule="exact" w:line="240"/>
        <w:ind w:firstLine="360"/>
        <w:jc w:val="both"/>
      </w:pPr>
      <w:r>
        <w:rPr>
          <w:rFonts w:ascii="Times New Roman" w:hAnsi="Times New Roman" w:eastAsia="宋体"/>
          <w:b w:val="0"/>
          <w:i w:val="0"/>
          <w:color w:val="000000"/>
          <w:sz w:val="18"/>
        </w:rPr>
        <w:t>若具体系统需要满足K-Waay原有条件，批次构造或准入边界应依据明确的参与方表示维护相应关系。维护职责可以由不同组件承担，其实现方式、表示映射和正确性仍需在完整协议与系统边界内另行验证。结论限于两槽准入抽象和ReceiverAccept 事件，不延伸到任意批长、完整密码流程或部署行为。</w:t>
      </w:r>
    </w:p>
    <w:p>
      <w:pPr>
        <w:pStyle w:val="82"/>
        <w:keepNext/>
      </w:pPr>
      <w:r>
        <w:rPr>
          <w:rFonts w:ascii="Times New Roman" w:hAnsi="Times New Roman" w:eastAsia="宋体"/>
          <w:b/>
          <w:i w:val="0"/>
          <w:color w:val="000000"/>
          <w:sz w:val="21"/>
        </w:rPr>
        <w:t>参考文献</w:t>
      </w:r>
    </w:p>
    <w:p>
      <w:pPr>
        <w:pStyle w:val="84"/>
        <w:spacing w:before="0" w:after="0" w:lineRule="exact" w:line="190"/>
        <w:ind w:left="360" w:hanging="360"/>
        <w:jc w:val="left"/>
      </w:pPr>
      <w:r>
        <w:rPr>
          <w:rFonts w:ascii="Times New Roman" w:hAnsi="Times New Roman" w:eastAsia="宋体"/>
          <w:b w:val="0"/>
          <w:i w:val="0"/>
          <w:color w:val="000000"/>
          <w:sz w:val="16"/>
        </w:rPr>
        <w:t>CREMERS C, JACOMME C, NASKA A. Formal analysis of session-handling in secure messaging: lifting security from sessions to conversations[C]//32nd USENIX Security Symposium (USENIX Security 23). Anaheim, CA: USENIX Association, 2023: 1235-1252.</w:t>
      </w:r>
    </w:p>
    <w:p>
      <w:pPr>
        <w:pStyle w:val="71"/>
        <w:spacing w:before="0" w:after="0"/>
      </w:pPr>
      <w:r>
        <w:br w:type="column"/>
      </w:r>
    </w:p>
    <w:p>
      <w:pPr>
        <w:pStyle w:val="84"/>
        <w:spacing w:before="0" w:after="0" w:lineRule="exact" w:line="190"/>
        <w:ind w:left="360" w:hanging="360"/>
        <w:jc w:val="left"/>
      </w:pPr>
      <w:r>
        <w:rPr>
          <w:rFonts w:ascii="Times New Roman" w:hAnsi="Times New Roman" w:eastAsia="宋体"/>
          <w:b w:val="0"/>
          <w:i w:val="0"/>
          <w:color w:val="000000"/>
          <w:sz w:val="16"/>
        </w:rPr>
        <w:t>COLLINS D, HUGUENIN-DUMITTAN L, NGUYEN N K, et al. K-Waay: fast and deniable post-quantum X3DH without ring signatures[C]//33rd USENIX Security Symposium (USENIX Security 24). Philadelphia, PA: USENIX Association, 2024: 433-450.</w:t>
      </w:r>
    </w:p>
    <w:p>
      <w:pPr>
        <w:pStyle w:val="84"/>
        <w:spacing w:before="0" w:after="0" w:lineRule="exact" w:line="190"/>
        <w:ind w:left="360" w:hanging="360"/>
        <w:jc w:val="left"/>
      </w:pPr>
      <w:r>
        <w:rPr>
          <w:rFonts w:ascii="Times New Roman" w:hAnsi="Times New Roman" w:eastAsia="宋体"/>
          <w:b w:val="0"/>
          <w:i w:val="0"/>
          <w:color w:val="000000"/>
          <w:sz w:val="16"/>
        </w:rPr>
        <w:t>COLLINS D, HUGUENIN-DUMITTAN L, NGUYEN N K, et al. K-Waay: fast and deniable post-quantum X3DH without ring signatures[EB/OL]. Cryptology ePrint Archive, Paper 2024/120, 2024[2026-10-08]. https://eprint.iacr.org/2024/120.</w:t>
      </w:r>
    </w:p>
    <w:p>
      <w:pPr>
        <w:pStyle w:val="84"/>
        <w:spacing w:before="0" w:after="0" w:lineRule="exact" w:line="190"/>
        <w:ind w:left="360" w:hanging="360"/>
        <w:jc w:val="left"/>
      </w:pPr>
      <w:r>
        <w:rPr>
          <w:rFonts w:ascii="Times New Roman" w:hAnsi="Times New Roman" w:eastAsia="宋体"/>
          <w:b w:val="0"/>
          <w:i w:val="0"/>
          <w:color w:val="000000"/>
          <w:sz w:val="16"/>
        </w:rPr>
        <w:t>COHN-GORDON K, CREMERS C, DOWLING B, et al. A formal security analysis of the Signal messaging protocol[J]. Journal of Cryptology, 2020, 33(4): 1914-1983. DOI:10.1007/s00145-020-09360-1.</w:t>
      </w:r>
    </w:p>
    <w:p>
      <w:pPr>
        <w:pStyle w:val="84"/>
        <w:spacing w:before="0" w:after="0" w:lineRule="exact" w:line="190"/>
        <w:ind w:left="360" w:hanging="360"/>
        <w:jc w:val="left"/>
      </w:pPr>
      <w:r>
        <w:rPr>
          <w:rFonts w:ascii="Times New Roman" w:hAnsi="Times New Roman" w:eastAsia="宋体"/>
          <w:b w:val="0"/>
          <w:i w:val="0"/>
          <w:color w:val="000000"/>
          <w:sz w:val="16"/>
        </w:rPr>
        <w:t>BHARGAVAN K, JACOMME C, KIEFER F, et al. Formal verification of the PQXDH post-quantum key agreement protocol for end-to-end secure messaging[C]//33rd USENIX Security Symposium (USENIX Security 24). Philadelphia, PA: USENIX Association, 2024: 469-486.</w:t>
      </w:r>
    </w:p>
    <w:p>
      <w:pPr>
        <w:pStyle w:val="84"/>
        <w:spacing w:before="0" w:after="0" w:lineRule="exact" w:line="190"/>
        <w:ind w:left="360" w:hanging="360"/>
        <w:jc w:val="left"/>
      </w:pPr>
      <w:r>
        <w:rPr>
          <w:rFonts w:ascii="Times New Roman" w:hAnsi="Times New Roman" w:eastAsia="宋体"/>
          <w:b w:val="0"/>
          <w:i w:val="0"/>
          <w:color w:val="000000"/>
          <w:sz w:val="16"/>
        </w:rPr>
        <w:t>MEIER S, SCHMIDT B, CREMERS C, et al. The TAMARIN prover for the symbolic analysis of security protocols[C]//Computer Aided Verification: CAV 2013. Berlin, Heidelberg: Springer, 2013: 696-701. DOI:10.1007/978-3-642-39799-8_48.</w:t>
      </w:r>
    </w:p>
    <w:p>
      <w:pPr>
        <w:pStyle w:val="84"/>
        <w:spacing w:before="0" w:after="0" w:lineRule="exact" w:line="190"/>
        <w:ind w:left="360" w:hanging="360"/>
        <w:jc w:val="left"/>
      </w:pPr>
      <w:r>
        <w:rPr>
          <w:rFonts w:ascii="Times New Roman" w:hAnsi="Times New Roman" w:eastAsia="宋体"/>
          <w:b w:val="0"/>
          <w:i w:val="0"/>
          <w:color w:val="000000"/>
          <w:sz w:val="16"/>
        </w:rPr>
        <w:t>LUPETTI S, DILLEMA F W, STABELL-KULO T. Names in cryptographic protocols[C]//Proceedings of the 4th International Workshop on Security in Information Systems. Paphos, Cyprus: SciTePress, 2006: 185-194. DOI:10.5220/0002484701850194.</w:t>
      </w:r>
    </w:p>
    <w:p>
      <w:pPr>
        <w:pStyle w:val="84"/>
        <w:spacing w:before="0" w:after="0" w:lineRule="exact" w:line="190"/>
        <w:ind w:left="360" w:hanging="360"/>
        <w:jc w:val="left"/>
      </w:pPr>
      <w:r>
        <w:rPr>
          <w:rFonts w:ascii="Times New Roman" w:hAnsi="Times New Roman" w:eastAsia="宋体"/>
          <w:b w:val="0"/>
          <w:i w:val="0"/>
          <w:color w:val="000000"/>
          <w:sz w:val="16"/>
        </w:rPr>
        <w:t>LOWE G. A hierarchy of authentication specifications[C]//Proceedings of the 10th Computer Security Foundations Workshop. Rockport, MA: IEEE Computer Society Press, 1997: 31-43. DOI:10.1109/CSFW.1997.596782.</w:t>
      </w:r>
    </w:p>
    <w:sectPr>
      <w:type w:val="continuous"/>
      <w:pgSz w:w="11906" w:h="16838"/>
      <w:pgMar w:top="1134" w:right="850" w:bottom="850" w:left="850" w:header="397" w:footer="397" w:gutter="0"/>
      <w:cols w:space="360" w:num="2"/>
      <w:docGrid w:type="linesAndChars" w:linePitch="322" w:charSpace="4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1" w:usb1="080E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NimbusRomNo9L-Medi">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D1EA4">
    <w:pPr>
      <w:pStyle w:val="61"/>
    </w:pPr>
    <w:r>
      <w:rPr>
        <w:rFonts w:hint="eastAsia"/>
      </w:rPr>
      <w:t>——————————</w:t>
    </w:r>
  </w:p>
  <w:p w14:paraId="6D04923F">
    <w:pPr>
      <w:pStyle w:val="61"/>
    </w:pPr>
    <w:bookmarkStart w:id="12" w:name="AROC_FUND"/>
    <w:r>
      <w:rPr>
        <w:rFonts w:hint="eastAsia"/>
      </w:rPr>
      <w:t>　　</w:t>
    </w:r>
    <w:r>
      <w:rPr>
        <w:rStyle w:val="63"/>
        <w:rFonts w:hint="eastAsia"/>
      </w:rPr>
      <w:t>基金项目</w:t>
    </w:r>
    <w:r>
      <w:rPr>
        <w:rFonts w:hint="eastAsia"/>
      </w:rPr>
      <w:t>：国家自然科学基金资助项目（xxxxxxx，xxxxxxxx）；国家“863”计划资助项目（xxxxxxxx）；X</w:t>
    </w:r>
    <w:r>
      <w:t>XXX</w:t>
    </w:r>
    <w:r>
      <w:rPr>
        <w:rFonts w:hint="eastAsia"/>
      </w:rPr>
      <w:t>大学教育创新计划资助项目（xxxxxxxx）；军队科研资助项目</w:t>
    </w:r>
    <w:r>
      <w:rPr>
        <w:rFonts w:hint="eastAsia" w:ascii="楷体" w:hAnsi="楷体"/>
      </w:rPr>
      <w:t>﹝涉密项目不要填写基金项目编号﹞</w:t>
    </w:r>
  </w:p>
  <w:bookmarkEnd w:id="12"/>
  <w:p w14:paraId="019CD45C">
    <w:pPr>
      <w:pStyle w:val="61"/>
    </w:pPr>
    <w:bookmarkStart w:id="13" w:name="AROC_INTRO"/>
    <w:r>
      <w:rPr>
        <w:rFonts w:hint="eastAsia"/>
      </w:rPr>
      <w:t>　　</w:t>
    </w:r>
    <w:r>
      <w:rPr>
        <w:rStyle w:val="63"/>
        <w:rFonts w:hint="eastAsia"/>
      </w:rPr>
      <w:t>作者简介</w:t>
    </w:r>
    <w:r>
      <w:rPr>
        <w:rFonts w:hint="eastAsia"/>
      </w:rPr>
      <w:t>：作者姓名1（</w:t>
    </w:r>
    <w:r>
      <w:t>19XX-</w:t>
    </w:r>
    <w:r>
      <w:rPr>
        <w:rFonts w:hint="eastAsia"/>
      </w:rPr>
      <w:t>），男/女（民族</w:t>
    </w:r>
    <w:r>
      <w:rPr>
        <w:rFonts w:hint="eastAsia" w:ascii="楷体" w:hAnsi="楷体"/>
      </w:rPr>
      <w:t>﹝</w:t>
    </w:r>
    <w:r>
      <w:rPr>
        <w:rFonts w:hint="eastAsia"/>
      </w:rPr>
      <w:t>汉族不填</w:t>
    </w:r>
    <w:r>
      <w:rPr>
        <w:rFonts w:hint="eastAsia" w:ascii="楷体" w:hAnsi="楷体"/>
      </w:rPr>
      <w:t>﹞</w:t>
    </w:r>
    <w:r>
      <w:rPr>
        <w:rFonts w:hint="eastAsia"/>
      </w:rPr>
      <w:t>），籍贯</w:t>
    </w:r>
    <w:r>
      <w:rPr>
        <w:rFonts w:hint="eastAsia" w:ascii="楷体" w:hAnsi="楷体"/>
      </w:rPr>
      <w:t>﹝</w:t>
    </w:r>
    <w:r>
      <w:rPr>
        <w:rFonts w:hint="eastAsia"/>
      </w:rPr>
      <w:t>江苏苏州人/陕西渭南人，写到县/市级即可</w:t>
    </w:r>
    <w:r>
      <w:rPr>
        <w:rFonts w:hint="eastAsia" w:ascii="楷体" w:hAnsi="楷体"/>
      </w:rPr>
      <w:t>﹞</w:t>
    </w:r>
    <w:r>
      <w:rPr>
        <w:rFonts w:hint="eastAsia"/>
      </w:rPr>
      <w:t>，职称</w:t>
    </w:r>
    <w:r>
      <w:rPr>
        <w:rFonts w:hint="eastAsia" w:ascii="楷体" w:hAnsi="楷体"/>
      </w:rPr>
      <w:t>﹝</w:t>
    </w:r>
    <w:r>
      <w:rPr>
        <w:rFonts w:hint="eastAsia"/>
      </w:rPr>
      <w:t>教授/讲师/研究员/实验师/高级工程师/…，没有则不填写</w:t>
    </w:r>
    <w:r>
      <w:rPr>
        <w:rFonts w:hint="eastAsia" w:ascii="楷体" w:hAnsi="楷体"/>
      </w:rPr>
      <w:t>﹞</w:t>
    </w:r>
    <w:r>
      <w:rPr>
        <w:rFonts w:hint="eastAsia"/>
      </w:rPr>
      <w:t>，职务</w:t>
    </w:r>
    <w:r>
      <w:rPr>
        <w:rFonts w:hint="eastAsia" w:ascii="楷体" w:hAnsi="楷体"/>
      </w:rPr>
      <w:t>﹝</w:t>
    </w:r>
    <w:r>
      <w:rPr>
        <w:rFonts w:hint="eastAsia"/>
      </w:rPr>
      <w:t>博导/硕导，不是这两项则不填</w:t>
    </w:r>
    <w:r>
      <w:rPr>
        <w:rFonts w:hint="eastAsia" w:ascii="楷体" w:hAnsi="楷体"/>
      </w:rPr>
      <w:t>﹞</w:t>
    </w:r>
    <w:r>
      <w:rPr>
        <w:rFonts w:hint="eastAsia"/>
      </w:rPr>
      <w:t>，学位</w:t>
    </w:r>
    <w:r>
      <w:rPr>
        <w:rFonts w:hint="eastAsia" w:ascii="楷体" w:hAnsi="楷体"/>
      </w:rPr>
      <w:t>﹝</w:t>
    </w:r>
    <w:r>
      <w:rPr>
        <w:rFonts w:hint="eastAsia"/>
      </w:rPr>
      <w:t>博士/博士研究生/硕士/硕士研究生/学士/本科生</w:t>
    </w:r>
    <w:r>
      <w:rPr>
        <w:rFonts w:hint="eastAsia" w:ascii="楷体" w:hAnsi="楷体"/>
      </w:rPr>
      <w:t>﹞</w:t>
    </w:r>
    <w:r>
      <w:rPr>
        <w:rFonts w:hint="eastAsia"/>
      </w:rPr>
      <w:t>，主要研究方向为……；作者姓名2（</w:t>
    </w:r>
    <w:r>
      <w:t>19XX-</w:t>
    </w:r>
    <w:r>
      <w:rPr>
        <w:rFonts w:hint="eastAsia"/>
      </w:rPr>
      <w:t>），男/女（民族）（通信作者），籍贯，职称，职务，学位，主要研究方向为……（a</w:t>
    </w:r>
    <w:r>
      <w:t>bcdefg@abcd.com</w:t>
    </w:r>
    <w:r>
      <w:rPr>
        <w:rFonts w:hint="eastAsia" w:ascii="楷体" w:hAnsi="楷体"/>
      </w:rPr>
      <w:t>﹝通信作者一定要写邮箱地址，若没有通信作者，邮箱则标注第一作者的﹞</w:t>
    </w:r>
    <w:r>
      <w:rPr>
        <w:rFonts w:hint="eastAsia"/>
      </w:rPr>
      <w:t>）；作者姓名3（</w:t>
    </w:r>
    <w:r>
      <w:t>19XX-</w:t>
    </w:r>
    <w:r>
      <w:rPr>
        <w:rFonts w:hint="eastAsia"/>
      </w:rPr>
      <w:t>），男/女（民族），籍贯，职称，职务，学位，主要研究方向为……．</w:t>
    </w:r>
    <w:bookmarkEnd w:id="13"/>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45D1EA4">
    <w:pPr>
      <w:pStyle w:val="61"/>
    </w:pPr>
    <w:r>
      <w:rPr>
        <w:rFonts w:hint="eastAsia"/>
      </w:rPr>
      <w:t>——————————</w:t>
    </w:r>
  </w:p>
  <w:p w14:paraId="6D04923F">
    <w:pPr>
      <w:pStyle w:val="61"/>
    </w:pPr>
    <w:bookmarkStart w:id="12" w:name="AROC_FUND"/>
    <w:r>
      <w:rPr>
        <w:rFonts w:hint="eastAsia"/>
      </w:rPr>
      <w:t xml:space="preserve">　　基金项目：待补</w:t>
    </w:r>
    <w:r>
      <w:rPr>
        <w:rStyle w:val="63"/>
        <w:rFonts w:hint="eastAsia"/>
      </w:rPr>
    </w:r>
    <w:r>
      <w:rPr>
        <w:rFonts w:hint="eastAsia"/>
      </w:rPr>
    </w:r>
    <w:r/>
    <w:r>
      <w:rPr>
        <w:rFonts w:hint="eastAsia"/>
      </w:rPr>
    </w:r>
    <w:r>
      <w:rPr>
        <w:rFonts w:hint="eastAsia" w:ascii="楷体" w:hAnsi="楷体"/>
      </w:rPr>
    </w:r>
  </w:p>
  <w:bookmarkEnd w:id="12"/>
  <w:p w14:paraId="019CD45C">
    <w:pPr>
      <w:pStyle w:val="61"/>
    </w:pPr>
    <w:bookmarkStart w:id="13" w:name="AROC_INTRO"/>
    <w:r>
      <w:rPr>
        <w:rFonts w:hint="eastAsia"/>
      </w:rPr>
      <w:t xml:space="preserve">　　作者简介：待补</w:t>
    </w:r>
    <w:r>
      <w:rPr>
        <w:rStyle w:val="63"/>
        <w:rFonts w:hint="eastAsia"/>
      </w:rPr>
    </w:r>
    <w:r>
      <w:rPr>
        <w:rFonts w:hint="eastAsia"/>
      </w:rPr>
    </w: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Pr>
        <w:rFonts w:hint="eastAsia" w:ascii="楷体" w:hAnsi="楷体"/>
      </w:rPr>
    </w:r>
    <w:r>
      <w:rPr>
        <w:rFonts w:hint="eastAsia"/>
      </w:rPr>
    </w:r>
    <w:r/>
    <w:r>
      <w:rPr>
        <w:rFonts w:hint="eastAsia"/>
      </w:rPr>
    </w:r>
    <w:r/>
    <w:r>
      <w:rPr>
        <w:rFonts w:hint="eastAsia" w:ascii="楷体" w:hAnsi="楷体"/>
      </w:rPr>
    </w:r>
    <w:r>
      <w:rPr>
        <w:rFonts w:hint="eastAsia"/>
      </w:rPr>
    </w:r>
    <w:r/>
    <w:r>
      <w:rPr>
        <w:rFonts w:hint="eastAsia"/>
      </w:rPr>
    </w:r>
    <w:bookmarkEnd w:id="13"/>
  </w:p>
  <w:p>
    <w:r>
      <w:t xml:space="preserve">　　通信作者及电子邮箱：待补</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6313">
    <w:pPr>
      <w:pStyle w:val="60"/>
    </w:pPr>
    <w:r>
      <w:br w:type="textWrapping"/>
    </w:r>
    <w:r>
      <w:rPr>
        <w:rFonts w:hint="eastAsia"/>
      </w:rPr>
      <w:t>投稿</w:t>
    </w:r>
    <w:r>
      <w:rPr>
        <w:rFonts w:hint="eastAsia"/>
      </w:rPr>
      <w:tab/>
    </w:r>
    <w:r>
      <w:rPr>
        <w:rFonts w:hint="eastAsia"/>
      </w:rPr>
      <w:t>计算机应用研究</w:t>
    </w:r>
    <w:r>
      <w:rPr>
        <w:rFonts w:hint="eastAsia"/>
      </w:rPr>
      <w:tab/>
    </w:r>
    <w:r>
      <w:rPr>
        <w:rFonts w:hint="eastAsia"/>
      </w:rPr>
      <w:t>修改日期：</w:t>
    </w:r>
    <w:r>
      <w:fldChar w:fldCharType="begin"/>
    </w:r>
    <w:r>
      <w:instrText xml:space="preserve"> SAVEDATE  \@ "yyyy/MM/dd"  \* MERGEFORMAT </w:instrText>
    </w:r>
    <w:r>
      <w:fldChar w:fldCharType="separate"/>
    </w:r>
    <w:r>
      <w:t>2021/07/27</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7B588DE">
    <w:pPr>
      <w:pStyle w:val="60"/>
    </w:pPr>
    <w:r>
      <w:rPr>
        <w:rFonts w:hint="eastAsia"/>
      </w:rPr>
      <w:t>投稿</w:t>
    </w:r>
    <w:r>
      <w:rPr>
        <w:rFonts w:hint="eastAsia"/>
      </w:rPr>
      <w:tab/>
    </w:r>
    <w:r>
      <w:rPr>
        <w:rFonts w:hint="eastAsia"/>
      </w:rPr>
      <w:t>计算机应用研究</w:t>
    </w:r>
    <w:r>
      <w:rPr>
        <w:rFonts w:hint="eastAsia"/>
      </w:rPr>
      <w:tab/>
    </w:r>
    <w:r>
      <w:rPr>
        <w:rFonts w:hint="eastAsia"/>
      </w:rPr>
      <w:t>投稿</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1A46313">
    <w:pPr>
      <w:pStyle w:val="60"/>
    </w:pPr>
    <w:r>
      <w:br/>
      <w:t>投稿</w:t>
      <w:tab/>
      <w:t>计算机应用研究</w:t>
      <w:tab/>
      <w:t>修改日期：2026/10/09</w:t>
    </w:r>
    <w:r>
      <w:rPr>
        <w:rFonts w:hint="eastAsia"/>
      </w:rPr>
    </w:r>
    <w:r>
      <w:rPr>
        <w:rFonts w:hint="eastAsia"/>
      </w:rPr>
    </w:r>
    <w:r>
      <w:rPr>
        <w:rFonts w:hint="eastAsia"/>
      </w:rPr>
    </w:r>
    <w:r>
      <w:rPr>
        <w:rFonts w:hint="eastAsia"/>
      </w:rPr>
    </w:r>
    <w:r>
      <w:rPr>
        <w:rFonts w:hint="eastAsia"/>
      </w:rPr>
    </w:r>
    <w:r/>
    <w: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8D5A98"/>
    <w:multiLevelType w:val="multilevel"/>
    <w:tmpl w:val="308D5A98"/>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EB6341A"/>
    <w:multiLevelType w:val="multilevel"/>
    <w:tmpl w:val="5EB6341A"/>
    <w:lvl w:ilvl="0" w:tentative="0">
      <w:start w:val="0"/>
      <w:numFmt w:val="decimal"/>
      <w:pStyle w:val="65"/>
      <w:lvlText w:val="%1"/>
      <w:lvlJc w:val="left"/>
      <w:pPr>
        <w:ind w:left="425" w:hanging="425"/>
      </w:pPr>
      <w:rPr>
        <w:rFonts w:hint="eastAsia"/>
      </w:rPr>
    </w:lvl>
    <w:lvl w:ilvl="1" w:tentative="0">
      <w:start w:val="1"/>
      <w:numFmt w:val="decimal"/>
      <w:pStyle w:val="66"/>
      <w:lvlText w:val="%1.%2"/>
      <w:lvlJc w:val="left"/>
      <w:pPr>
        <w:ind w:left="425" w:hanging="425"/>
      </w:pPr>
      <w:rPr>
        <w:rFonts w:hint="eastAsia"/>
      </w:rPr>
    </w:lvl>
    <w:lvl w:ilvl="2" w:tentative="0">
      <w:start w:val="1"/>
      <w:numFmt w:val="decimal"/>
      <w:pStyle w:val="68"/>
      <w:lvlText w:val="%1.%2.%3"/>
      <w:lvlJc w:val="left"/>
      <w:pPr>
        <w:ind w:left="425" w:hanging="425"/>
      </w:pPr>
      <w:rPr>
        <w:rFonts w:hint="eastAsia"/>
      </w:rPr>
    </w:lvl>
    <w:lvl w:ilvl="3" w:tentative="0">
      <w:start w:val="1"/>
      <w:numFmt w:val="decimal"/>
      <w:lvlText w:val="%1.%2.%3.%4"/>
      <w:lvlJc w:val="left"/>
      <w:pPr>
        <w:tabs>
          <w:tab w:val="left" w:pos="1418"/>
        </w:tabs>
        <w:ind w:left="425" w:hanging="425"/>
      </w:pPr>
      <w:rPr>
        <w:rFonts w:hint="eastAsia"/>
      </w:rPr>
    </w:lvl>
    <w:lvl w:ilvl="4" w:tentative="0">
      <w:start w:val="1"/>
      <w:numFmt w:val="decimal"/>
      <w:lvlText w:val="%1.%2.%3.%4.%5"/>
      <w:lvlJc w:val="left"/>
      <w:pPr>
        <w:tabs>
          <w:tab w:val="left" w:pos="1418"/>
        </w:tabs>
        <w:ind w:left="425" w:hanging="425"/>
      </w:pPr>
      <w:rPr>
        <w:rFonts w:hint="eastAsia"/>
      </w:rPr>
    </w:lvl>
    <w:lvl w:ilvl="5" w:tentative="0">
      <w:start w:val="1"/>
      <w:numFmt w:val="decimal"/>
      <w:lvlText w:val="%1.%2.%3.%4.%5.%6"/>
      <w:lvlJc w:val="left"/>
      <w:pPr>
        <w:tabs>
          <w:tab w:val="left" w:pos="1418"/>
        </w:tabs>
        <w:ind w:left="425" w:hanging="425"/>
      </w:pPr>
      <w:rPr>
        <w:rFonts w:hint="eastAsia"/>
      </w:rPr>
    </w:lvl>
    <w:lvl w:ilvl="6" w:tentative="0">
      <w:start w:val="1"/>
      <w:numFmt w:val="decimal"/>
      <w:lvlText w:val="%1.%2.%3.%4.%5.%6.%7"/>
      <w:lvlJc w:val="left"/>
      <w:pPr>
        <w:tabs>
          <w:tab w:val="left" w:pos="1418"/>
        </w:tabs>
        <w:ind w:left="425" w:hanging="425"/>
      </w:pPr>
      <w:rPr>
        <w:rFonts w:hint="eastAsia"/>
      </w:rPr>
    </w:lvl>
    <w:lvl w:ilvl="7" w:tentative="0">
      <w:start w:val="1"/>
      <w:numFmt w:val="decimal"/>
      <w:lvlText w:val="%1.%2.%3.%4.%5.%6.%7.%8"/>
      <w:lvlJc w:val="left"/>
      <w:pPr>
        <w:tabs>
          <w:tab w:val="left" w:pos="1418"/>
        </w:tabs>
        <w:ind w:left="425" w:hanging="425"/>
      </w:pPr>
      <w:rPr>
        <w:rFonts w:hint="eastAsia"/>
      </w:rPr>
    </w:lvl>
    <w:lvl w:ilvl="8" w:tentative="0">
      <w:start w:val="1"/>
      <w:numFmt w:val="decimal"/>
      <w:lvlText w:val="%1.%2.%3.%4.%5.%6.%7.%8.%9"/>
      <w:lvlJc w:val="left"/>
      <w:pPr>
        <w:tabs>
          <w:tab w:val="left" w:pos="1418"/>
        </w:tabs>
        <w:ind w:left="425" w:hanging="425"/>
      </w:pPr>
      <w:rPr>
        <w:rFonts w:hint="eastAsia"/>
      </w:rPr>
    </w:lvl>
  </w:abstractNum>
  <w:num w:numId="1">
    <w:abstractNumId w:val="1"/>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91"/>
  <w:drawingGridVerticalSpacing w:val="16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04369"/>
    <w:rsid w:val="000030EE"/>
    <w:rsid w:val="00010AE4"/>
    <w:rsid w:val="000122D8"/>
    <w:rsid w:val="00015767"/>
    <w:rsid w:val="00016169"/>
    <w:rsid w:val="0001662B"/>
    <w:rsid w:val="00017F7E"/>
    <w:rsid w:val="00022CC6"/>
    <w:rsid w:val="0002356D"/>
    <w:rsid w:val="00023E14"/>
    <w:rsid w:val="00030A47"/>
    <w:rsid w:val="00032D41"/>
    <w:rsid w:val="00034A2A"/>
    <w:rsid w:val="00041CFC"/>
    <w:rsid w:val="00042878"/>
    <w:rsid w:val="00045863"/>
    <w:rsid w:val="00050A8E"/>
    <w:rsid w:val="00050E3E"/>
    <w:rsid w:val="00052107"/>
    <w:rsid w:val="00052CDD"/>
    <w:rsid w:val="0005687D"/>
    <w:rsid w:val="00056B68"/>
    <w:rsid w:val="00057B9A"/>
    <w:rsid w:val="00060BD6"/>
    <w:rsid w:val="000614DB"/>
    <w:rsid w:val="000629FA"/>
    <w:rsid w:val="00064D57"/>
    <w:rsid w:val="000662DB"/>
    <w:rsid w:val="000701E6"/>
    <w:rsid w:val="000816FF"/>
    <w:rsid w:val="00084145"/>
    <w:rsid w:val="00084528"/>
    <w:rsid w:val="000876D0"/>
    <w:rsid w:val="0008783B"/>
    <w:rsid w:val="00087ACF"/>
    <w:rsid w:val="00090163"/>
    <w:rsid w:val="0009041C"/>
    <w:rsid w:val="00090D22"/>
    <w:rsid w:val="00093BC4"/>
    <w:rsid w:val="000955E0"/>
    <w:rsid w:val="000A079E"/>
    <w:rsid w:val="000A1B4D"/>
    <w:rsid w:val="000A38A5"/>
    <w:rsid w:val="000A4D16"/>
    <w:rsid w:val="000A4F90"/>
    <w:rsid w:val="000A7FDD"/>
    <w:rsid w:val="000B0FBD"/>
    <w:rsid w:val="000B1AA9"/>
    <w:rsid w:val="000B2479"/>
    <w:rsid w:val="000B2A0B"/>
    <w:rsid w:val="000B4DD6"/>
    <w:rsid w:val="000B510E"/>
    <w:rsid w:val="000B5D1E"/>
    <w:rsid w:val="000C0FA3"/>
    <w:rsid w:val="000C2D29"/>
    <w:rsid w:val="000C4736"/>
    <w:rsid w:val="000C4810"/>
    <w:rsid w:val="000C4E81"/>
    <w:rsid w:val="000C7156"/>
    <w:rsid w:val="000C76EF"/>
    <w:rsid w:val="000D1402"/>
    <w:rsid w:val="000D2774"/>
    <w:rsid w:val="000D6571"/>
    <w:rsid w:val="000D77D9"/>
    <w:rsid w:val="000E21F7"/>
    <w:rsid w:val="000E2F33"/>
    <w:rsid w:val="000E5342"/>
    <w:rsid w:val="000F0178"/>
    <w:rsid w:val="000F1A05"/>
    <w:rsid w:val="000F4DAD"/>
    <w:rsid w:val="000F5073"/>
    <w:rsid w:val="001001A0"/>
    <w:rsid w:val="0010141B"/>
    <w:rsid w:val="00103ADB"/>
    <w:rsid w:val="00104368"/>
    <w:rsid w:val="0011195F"/>
    <w:rsid w:val="00115507"/>
    <w:rsid w:val="001179EA"/>
    <w:rsid w:val="00120538"/>
    <w:rsid w:val="00121229"/>
    <w:rsid w:val="001213A8"/>
    <w:rsid w:val="00126EF0"/>
    <w:rsid w:val="001314A6"/>
    <w:rsid w:val="001318E0"/>
    <w:rsid w:val="00136384"/>
    <w:rsid w:val="00143B51"/>
    <w:rsid w:val="00144AC1"/>
    <w:rsid w:val="001450B8"/>
    <w:rsid w:val="001459EF"/>
    <w:rsid w:val="00146A0E"/>
    <w:rsid w:val="00150406"/>
    <w:rsid w:val="00153688"/>
    <w:rsid w:val="001538F5"/>
    <w:rsid w:val="00154000"/>
    <w:rsid w:val="0016331B"/>
    <w:rsid w:val="0016510B"/>
    <w:rsid w:val="00166006"/>
    <w:rsid w:val="00170036"/>
    <w:rsid w:val="00172869"/>
    <w:rsid w:val="00173640"/>
    <w:rsid w:val="001766E8"/>
    <w:rsid w:val="0017792C"/>
    <w:rsid w:val="001824BC"/>
    <w:rsid w:val="00183CE6"/>
    <w:rsid w:val="00185C4E"/>
    <w:rsid w:val="00192A3C"/>
    <w:rsid w:val="0019303B"/>
    <w:rsid w:val="00197E48"/>
    <w:rsid w:val="001A0A3A"/>
    <w:rsid w:val="001A3582"/>
    <w:rsid w:val="001A5F60"/>
    <w:rsid w:val="001B425C"/>
    <w:rsid w:val="001B5F44"/>
    <w:rsid w:val="001B6074"/>
    <w:rsid w:val="001C4198"/>
    <w:rsid w:val="001D20A5"/>
    <w:rsid w:val="001D28B5"/>
    <w:rsid w:val="001D6DAE"/>
    <w:rsid w:val="001D7782"/>
    <w:rsid w:val="001E2DB7"/>
    <w:rsid w:val="001E33E7"/>
    <w:rsid w:val="001E33F4"/>
    <w:rsid w:val="001E4329"/>
    <w:rsid w:val="001E578D"/>
    <w:rsid w:val="001E7387"/>
    <w:rsid w:val="001E7529"/>
    <w:rsid w:val="001F05D9"/>
    <w:rsid w:val="001F0C34"/>
    <w:rsid w:val="001F0F32"/>
    <w:rsid w:val="001F21CD"/>
    <w:rsid w:val="001F4EDD"/>
    <w:rsid w:val="00200265"/>
    <w:rsid w:val="002057FC"/>
    <w:rsid w:val="00205FEC"/>
    <w:rsid w:val="00206379"/>
    <w:rsid w:val="00210348"/>
    <w:rsid w:val="00210CD6"/>
    <w:rsid w:val="00211EA2"/>
    <w:rsid w:val="00211FD9"/>
    <w:rsid w:val="00212261"/>
    <w:rsid w:val="00212AAC"/>
    <w:rsid w:val="00214347"/>
    <w:rsid w:val="002250EF"/>
    <w:rsid w:val="0023290D"/>
    <w:rsid w:val="00234652"/>
    <w:rsid w:val="002348C3"/>
    <w:rsid w:val="00237BF2"/>
    <w:rsid w:val="00242974"/>
    <w:rsid w:val="00244F30"/>
    <w:rsid w:val="0024692B"/>
    <w:rsid w:val="0024772A"/>
    <w:rsid w:val="00247934"/>
    <w:rsid w:val="00251EFB"/>
    <w:rsid w:val="0025264D"/>
    <w:rsid w:val="00252ADA"/>
    <w:rsid w:val="0025508D"/>
    <w:rsid w:val="0026028F"/>
    <w:rsid w:val="0026114A"/>
    <w:rsid w:val="00261994"/>
    <w:rsid w:val="00265180"/>
    <w:rsid w:val="00271000"/>
    <w:rsid w:val="00281D44"/>
    <w:rsid w:val="0028370E"/>
    <w:rsid w:val="00286FCA"/>
    <w:rsid w:val="0029156A"/>
    <w:rsid w:val="00292341"/>
    <w:rsid w:val="00294A1C"/>
    <w:rsid w:val="00294E29"/>
    <w:rsid w:val="002A0AF9"/>
    <w:rsid w:val="002B10B1"/>
    <w:rsid w:val="002B68BC"/>
    <w:rsid w:val="002B7171"/>
    <w:rsid w:val="002C0A61"/>
    <w:rsid w:val="002C143B"/>
    <w:rsid w:val="002C2930"/>
    <w:rsid w:val="002C295F"/>
    <w:rsid w:val="002C55A7"/>
    <w:rsid w:val="002C5A0A"/>
    <w:rsid w:val="002D2ADE"/>
    <w:rsid w:val="002D2F3A"/>
    <w:rsid w:val="002D7180"/>
    <w:rsid w:val="002E13A7"/>
    <w:rsid w:val="002F0F72"/>
    <w:rsid w:val="002F2E6A"/>
    <w:rsid w:val="00302B1C"/>
    <w:rsid w:val="0030363C"/>
    <w:rsid w:val="00304FEB"/>
    <w:rsid w:val="00306B33"/>
    <w:rsid w:val="0030737F"/>
    <w:rsid w:val="00307C5F"/>
    <w:rsid w:val="003100D9"/>
    <w:rsid w:val="00313870"/>
    <w:rsid w:val="00314BE2"/>
    <w:rsid w:val="00316070"/>
    <w:rsid w:val="00316ECD"/>
    <w:rsid w:val="00320234"/>
    <w:rsid w:val="0032100E"/>
    <w:rsid w:val="0032272C"/>
    <w:rsid w:val="00322763"/>
    <w:rsid w:val="00322B06"/>
    <w:rsid w:val="00323121"/>
    <w:rsid w:val="003245EC"/>
    <w:rsid w:val="00325890"/>
    <w:rsid w:val="003301A5"/>
    <w:rsid w:val="0033099D"/>
    <w:rsid w:val="00333A25"/>
    <w:rsid w:val="00333D39"/>
    <w:rsid w:val="003361E9"/>
    <w:rsid w:val="0033749D"/>
    <w:rsid w:val="0034124C"/>
    <w:rsid w:val="00342430"/>
    <w:rsid w:val="00345643"/>
    <w:rsid w:val="003457F2"/>
    <w:rsid w:val="00347304"/>
    <w:rsid w:val="00353B81"/>
    <w:rsid w:val="003541A4"/>
    <w:rsid w:val="003568F6"/>
    <w:rsid w:val="00356B21"/>
    <w:rsid w:val="003574C3"/>
    <w:rsid w:val="0036143E"/>
    <w:rsid w:val="00364C7D"/>
    <w:rsid w:val="00372620"/>
    <w:rsid w:val="003727AA"/>
    <w:rsid w:val="00373913"/>
    <w:rsid w:val="00375883"/>
    <w:rsid w:val="003773E5"/>
    <w:rsid w:val="00380611"/>
    <w:rsid w:val="003810B7"/>
    <w:rsid w:val="0038499A"/>
    <w:rsid w:val="00385C06"/>
    <w:rsid w:val="00386705"/>
    <w:rsid w:val="0038690F"/>
    <w:rsid w:val="003939D0"/>
    <w:rsid w:val="00396E52"/>
    <w:rsid w:val="003A004C"/>
    <w:rsid w:val="003A0624"/>
    <w:rsid w:val="003A26FD"/>
    <w:rsid w:val="003A2B4E"/>
    <w:rsid w:val="003A2DE9"/>
    <w:rsid w:val="003A56D6"/>
    <w:rsid w:val="003B0CE6"/>
    <w:rsid w:val="003B0E71"/>
    <w:rsid w:val="003B1086"/>
    <w:rsid w:val="003B259A"/>
    <w:rsid w:val="003B2AA5"/>
    <w:rsid w:val="003B3C75"/>
    <w:rsid w:val="003B6D48"/>
    <w:rsid w:val="003B7F04"/>
    <w:rsid w:val="003C01F1"/>
    <w:rsid w:val="003C245D"/>
    <w:rsid w:val="003C535F"/>
    <w:rsid w:val="003C5CF1"/>
    <w:rsid w:val="003C6584"/>
    <w:rsid w:val="003D01BD"/>
    <w:rsid w:val="003D2ADA"/>
    <w:rsid w:val="003D446A"/>
    <w:rsid w:val="003D47D7"/>
    <w:rsid w:val="003D5380"/>
    <w:rsid w:val="003E067C"/>
    <w:rsid w:val="003E086C"/>
    <w:rsid w:val="003E1AB4"/>
    <w:rsid w:val="003E215E"/>
    <w:rsid w:val="003E746D"/>
    <w:rsid w:val="003F07ED"/>
    <w:rsid w:val="003F5C71"/>
    <w:rsid w:val="003F6499"/>
    <w:rsid w:val="00400D6F"/>
    <w:rsid w:val="004029D0"/>
    <w:rsid w:val="004042CD"/>
    <w:rsid w:val="004073DC"/>
    <w:rsid w:val="004118E9"/>
    <w:rsid w:val="00412A54"/>
    <w:rsid w:val="00413F0A"/>
    <w:rsid w:val="0041471F"/>
    <w:rsid w:val="00414A47"/>
    <w:rsid w:val="00417489"/>
    <w:rsid w:val="0042044B"/>
    <w:rsid w:val="00420726"/>
    <w:rsid w:val="00421950"/>
    <w:rsid w:val="00423E2D"/>
    <w:rsid w:val="004243DD"/>
    <w:rsid w:val="00432879"/>
    <w:rsid w:val="004358E7"/>
    <w:rsid w:val="00441D9A"/>
    <w:rsid w:val="00446E40"/>
    <w:rsid w:val="00451FD1"/>
    <w:rsid w:val="00452574"/>
    <w:rsid w:val="00452907"/>
    <w:rsid w:val="00453A35"/>
    <w:rsid w:val="00455217"/>
    <w:rsid w:val="0045617D"/>
    <w:rsid w:val="0045722D"/>
    <w:rsid w:val="00465A99"/>
    <w:rsid w:val="00465AED"/>
    <w:rsid w:val="00465ED3"/>
    <w:rsid w:val="00466AA9"/>
    <w:rsid w:val="00467835"/>
    <w:rsid w:val="00471310"/>
    <w:rsid w:val="00471B9E"/>
    <w:rsid w:val="00471FBD"/>
    <w:rsid w:val="00473E85"/>
    <w:rsid w:val="004774F0"/>
    <w:rsid w:val="00477EE1"/>
    <w:rsid w:val="00480DAA"/>
    <w:rsid w:val="00482246"/>
    <w:rsid w:val="00482256"/>
    <w:rsid w:val="00482DE0"/>
    <w:rsid w:val="00486EEE"/>
    <w:rsid w:val="0048792B"/>
    <w:rsid w:val="00490207"/>
    <w:rsid w:val="0049146B"/>
    <w:rsid w:val="00491D55"/>
    <w:rsid w:val="00494EA6"/>
    <w:rsid w:val="004A6BAC"/>
    <w:rsid w:val="004B08C3"/>
    <w:rsid w:val="004B0CAC"/>
    <w:rsid w:val="004B20FC"/>
    <w:rsid w:val="004B3FD1"/>
    <w:rsid w:val="004C20CF"/>
    <w:rsid w:val="004C3D8D"/>
    <w:rsid w:val="004C67C8"/>
    <w:rsid w:val="004D0D2C"/>
    <w:rsid w:val="004D418E"/>
    <w:rsid w:val="004E152A"/>
    <w:rsid w:val="004E3631"/>
    <w:rsid w:val="004E3B36"/>
    <w:rsid w:val="004F2E20"/>
    <w:rsid w:val="004F3664"/>
    <w:rsid w:val="004F39FB"/>
    <w:rsid w:val="004F5DA4"/>
    <w:rsid w:val="004F66AB"/>
    <w:rsid w:val="005041D4"/>
    <w:rsid w:val="005049E0"/>
    <w:rsid w:val="00505DD7"/>
    <w:rsid w:val="005116E7"/>
    <w:rsid w:val="00513E3A"/>
    <w:rsid w:val="0052067A"/>
    <w:rsid w:val="00523962"/>
    <w:rsid w:val="00526808"/>
    <w:rsid w:val="005305BA"/>
    <w:rsid w:val="00530ADA"/>
    <w:rsid w:val="00530B95"/>
    <w:rsid w:val="0053125E"/>
    <w:rsid w:val="00533A94"/>
    <w:rsid w:val="00534B8B"/>
    <w:rsid w:val="00534F82"/>
    <w:rsid w:val="0053568D"/>
    <w:rsid w:val="00540157"/>
    <w:rsid w:val="00540428"/>
    <w:rsid w:val="005406BF"/>
    <w:rsid w:val="00540E6A"/>
    <w:rsid w:val="00540FDA"/>
    <w:rsid w:val="0054579A"/>
    <w:rsid w:val="00545A18"/>
    <w:rsid w:val="00552969"/>
    <w:rsid w:val="00554544"/>
    <w:rsid w:val="005547B6"/>
    <w:rsid w:val="00560C10"/>
    <w:rsid w:val="00560F8C"/>
    <w:rsid w:val="00564DA1"/>
    <w:rsid w:val="0057044C"/>
    <w:rsid w:val="00570465"/>
    <w:rsid w:val="0057095A"/>
    <w:rsid w:val="00570A8B"/>
    <w:rsid w:val="00572CB3"/>
    <w:rsid w:val="00582A79"/>
    <w:rsid w:val="005871F7"/>
    <w:rsid w:val="00587694"/>
    <w:rsid w:val="00587C27"/>
    <w:rsid w:val="005901DF"/>
    <w:rsid w:val="00591068"/>
    <w:rsid w:val="005917BB"/>
    <w:rsid w:val="005921FE"/>
    <w:rsid w:val="00594CAD"/>
    <w:rsid w:val="0059741D"/>
    <w:rsid w:val="00597DFC"/>
    <w:rsid w:val="005A222E"/>
    <w:rsid w:val="005A3591"/>
    <w:rsid w:val="005B0796"/>
    <w:rsid w:val="005B0F39"/>
    <w:rsid w:val="005C0F42"/>
    <w:rsid w:val="005C593E"/>
    <w:rsid w:val="005D5106"/>
    <w:rsid w:val="005D5490"/>
    <w:rsid w:val="005D5D07"/>
    <w:rsid w:val="005D665B"/>
    <w:rsid w:val="005D6E67"/>
    <w:rsid w:val="005D7317"/>
    <w:rsid w:val="005E0F43"/>
    <w:rsid w:val="005E40BE"/>
    <w:rsid w:val="005E6D21"/>
    <w:rsid w:val="00602EA4"/>
    <w:rsid w:val="0060472B"/>
    <w:rsid w:val="00604F28"/>
    <w:rsid w:val="00606A35"/>
    <w:rsid w:val="00614101"/>
    <w:rsid w:val="006149CF"/>
    <w:rsid w:val="006155E8"/>
    <w:rsid w:val="00616968"/>
    <w:rsid w:val="00622682"/>
    <w:rsid w:val="00622C09"/>
    <w:rsid w:val="00624F93"/>
    <w:rsid w:val="00625173"/>
    <w:rsid w:val="00627914"/>
    <w:rsid w:val="0063013E"/>
    <w:rsid w:val="0063130E"/>
    <w:rsid w:val="00631ED0"/>
    <w:rsid w:val="00635944"/>
    <w:rsid w:val="00641ADA"/>
    <w:rsid w:val="00646B07"/>
    <w:rsid w:val="0065065A"/>
    <w:rsid w:val="006511B0"/>
    <w:rsid w:val="00653014"/>
    <w:rsid w:val="0065354D"/>
    <w:rsid w:val="0065685F"/>
    <w:rsid w:val="00657DBD"/>
    <w:rsid w:val="00662270"/>
    <w:rsid w:val="00673A1E"/>
    <w:rsid w:val="00673AF3"/>
    <w:rsid w:val="00676D3C"/>
    <w:rsid w:val="006771E1"/>
    <w:rsid w:val="00677AF2"/>
    <w:rsid w:val="00677E87"/>
    <w:rsid w:val="00680037"/>
    <w:rsid w:val="00681C4D"/>
    <w:rsid w:val="00684273"/>
    <w:rsid w:val="006851CC"/>
    <w:rsid w:val="0068547E"/>
    <w:rsid w:val="00685E38"/>
    <w:rsid w:val="006869FD"/>
    <w:rsid w:val="00687790"/>
    <w:rsid w:val="00691F21"/>
    <w:rsid w:val="00693BDD"/>
    <w:rsid w:val="00694A3E"/>
    <w:rsid w:val="006951C0"/>
    <w:rsid w:val="006A2414"/>
    <w:rsid w:val="006B3B78"/>
    <w:rsid w:val="006B4206"/>
    <w:rsid w:val="006C2374"/>
    <w:rsid w:val="006C5E0C"/>
    <w:rsid w:val="006D1EAB"/>
    <w:rsid w:val="006D5565"/>
    <w:rsid w:val="006D6049"/>
    <w:rsid w:val="006D64D4"/>
    <w:rsid w:val="006D6CD8"/>
    <w:rsid w:val="006E0C43"/>
    <w:rsid w:val="006E5790"/>
    <w:rsid w:val="006E63A8"/>
    <w:rsid w:val="006E6584"/>
    <w:rsid w:val="006F05C4"/>
    <w:rsid w:val="006F1B62"/>
    <w:rsid w:val="006F7A1A"/>
    <w:rsid w:val="006F7F49"/>
    <w:rsid w:val="007003CA"/>
    <w:rsid w:val="00700BAC"/>
    <w:rsid w:val="00701489"/>
    <w:rsid w:val="007017F1"/>
    <w:rsid w:val="0070221D"/>
    <w:rsid w:val="00716578"/>
    <w:rsid w:val="007216F8"/>
    <w:rsid w:val="00726435"/>
    <w:rsid w:val="007268CA"/>
    <w:rsid w:val="007273F4"/>
    <w:rsid w:val="007306A1"/>
    <w:rsid w:val="00731E8F"/>
    <w:rsid w:val="007369A6"/>
    <w:rsid w:val="0073706A"/>
    <w:rsid w:val="00742FC3"/>
    <w:rsid w:val="00746DC2"/>
    <w:rsid w:val="0074709E"/>
    <w:rsid w:val="007568DC"/>
    <w:rsid w:val="00761A3F"/>
    <w:rsid w:val="00763EE6"/>
    <w:rsid w:val="00766172"/>
    <w:rsid w:val="007669EB"/>
    <w:rsid w:val="00766BE9"/>
    <w:rsid w:val="007701A9"/>
    <w:rsid w:val="007717E7"/>
    <w:rsid w:val="00772872"/>
    <w:rsid w:val="0077289F"/>
    <w:rsid w:val="0077648F"/>
    <w:rsid w:val="00776AA0"/>
    <w:rsid w:val="007770DC"/>
    <w:rsid w:val="007845BD"/>
    <w:rsid w:val="00784A18"/>
    <w:rsid w:val="00790C31"/>
    <w:rsid w:val="00795C8A"/>
    <w:rsid w:val="007970C9"/>
    <w:rsid w:val="007A05D1"/>
    <w:rsid w:val="007A13CC"/>
    <w:rsid w:val="007A2F92"/>
    <w:rsid w:val="007A5B00"/>
    <w:rsid w:val="007A6E5B"/>
    <w:rsid w:val="007A730F"/>
    <w:rsid w:val="007B0839"/>
    <w:rsid w:val="007B0E64"/>
    <w:rsid w:val="007B565F"/>
    <w:rsid w:val="007B584A"/>
    <w:rsid w:val="007C4427"/>
    <w:rsid w:val="007C4552"/>
    <w:rsid w:val="007C7F22"/>
    <w:rsid w:val="007D14F8"/>
    <w:rsid w:val="007D192C"/>
    <w:rsid w:val="007D56DD"/>
    <w:rsid w:val="007D6C54"/>
    <w:rsid w:val="007E04CF"/>
    <w:rsid w:val="007E1D3F"/>
    <w:rsid w:val="007E2A31"/>
    <w:rsid w:val="007E5817"/>
    <w:rsid w:val="007F030F"/>
    <w:rsid w:val="007F2432"/>
    <w:rsid w:val="007F3A10"/>
    <w:rsid w:val="007F5624"/>
    <w:rsid w:val="007F7886"/>
    <w:rsid w:val="0080021C"/>
    <w:rsid w:val="008022F8"/>
    <w:rsid w:val="008042B1"/>
    <w:rsid w:val="00804E29"/>
    <w:rsid w:val="008056F2"/>
    <w:rsid w:val="00806EB2"/>
    <w:rsid w:val="00813E02"/>
    <w:rsid w:val="00815125"/>
    <w:rsid w:val="00815CA6"/>
    <w:rsid w:val="008218E5"/>
    <w:rsid w:val="00822DDE"/>
    <w:rsid w:val="00822E8F"/>
    <w:rsid w:val="00823F5E"/>
    <w:rsid w:val="00824D57"/>
    <w:rsid w:val="00825517"/>
    <w:rsid w:val="008308C5"/>
    <w:rsid w:val="00832CFA"/>
    <w:rsid w:val="00833526"/>
    <w:rsid w:val="0083413C"/>
    <w:rsid w:val="0083480B"/>
    <w:rsid w:val="0083758A"/>
    <w:rsid w:val="00837C66"/>
    <w:rsid w:val="008406F1"/>
    <w:rsid w:val="00841390"/>
    <w:rsid w:val="00841CA2"/>
    <w:rsid w:val="00846250"/>
    <w:rsid w:val="00852E2D"/>
    <w:rsid w:val="00862880"/>
    <w:rsid w:val="00863D19"/>
    <w:rsid w:val="0086426F"/>
    <w:rsid w:val="0086543B"/>
    <w:rsid w:val="008666E2"/>
    <w:rsid w:val="00867E6E"/>
    <w:rsid w:val="00872B72"/>
    <w:rsid w:val="0089212B"/>
    <w:rsid w:val="00893D17"/>
    <w:rsid w:val="008A16AE"/>
    <w:rsid w:val="008A2358"/>
    <w:rsid w:val="008A33F4"/>
    <w:rsid w:val="008A4086"/>
    <w:rsid w:val="008B3514"/>
    <w:rsid w:val="008B57D4"/>
    <w:rsid w:val="008B67F4"/>
    <w:rsid w:val="008B6F8D"/>
    <w:rsid w:val="008C2368"/>
    <w:rsid w:val="008C2D43"/>
    <w:rsid w:val="008C6084"/>
    <w:rsid w:val="008C7977"/>
    <w:rsid w:val="008C7B47"/>
    <w:rsid w:val="008D4838"/>
    <w:rsid w:val="008D508D"/>
    <w:rsid w:val="008E05EB"/>
    <w:rsid w:val="008E112B"/>
    <w:rsid w:val="008E61BC"/>
    <w:rsid w:val="008F51BE"/>
    <w:rsid w:val="009011BA"/>
    <w:rsid w:val="00902634"/>
    <w:rsid w:val="00903060"/>
    <w:rsid w:val="00906166"/>
    <w:rsid w:val="009075BD"/>
    <w:rsid w:val="00913A91"/>
    <w:rsid w:val="009173D4"/>
    <w:rsid w:val="009211B0"/>
    <w:rsid w:val="009252D5"/>
    <w:rsid w:val="00931960"/>
    <w:rsid w:val="00953477"/>
    <w:rsid w:val="009552DB"/>
    <w:rsid w:val="009572E2"/>
    <w:rsid w:val="009609A4"/>
    <w:rsid w:val="009614DF"/>
    <w:rsid w:val="00961FC1"/>
    <w:rsid w:val="00962A11"/>
    <w:rsid w:val="00963241"/>
    <w:rsid w:val="009648CA"/>
    <w:rsid w:val="00964DD8"/>
    <w:rsid w:val="00966886"/>
    <w:rsid w:val="009677A9"/>
    <w:rsid w:val="00972E0C"/>
    <w:rsid w:val="00974F21"/>
    <w:rsid w:val="00975485"/>
    <w:rsid w:val="00981A06"/>
    <w:rsid w:val="00981B1B"/>
    <w:rsid w:val="00984FD5"/>
    <w:rsid w:val="009850A8"/>
    <w:rsid w:val="00985AF8"/>
    <w:rsid w:val="0098654D"/>
    <w:rsid w:val="00987DF0"/>
    <w:rsid w:val="00990AA3"/>
    <w:rsid w:val="009919AD"/>
    <w:rsid w:val="00994F32"/>
    <w:rsid w:val="009A636D"/>
    <w:rsid w:val="009A748F"/>
    <w:rsid w:val="009A7F32"/>
    <w:rsid w:val="009B0B50"/>
    <w:rsid w:val="009B14AA"/>
    <w:rsid w:val="009B1C52"/>
    <w:rsid w:val="009B2E95"/>
    <w:rsid w:val="009B4A37"/>
    <w:rsid w:val="009C0946"/>
    <w:rsid w:val="009C1067"/>
    <w:rsid w:val="009C302B"/>
    <w:rsid w:val="009C3960"/>
    <w:rsid w:val="009C4843"/>
    <w:rsid w:val="009C4BE8"/>
    <w:rsid w:val="009C5ACB"/>
    <w:rsid w:val="009C7C01"/>
    <w:rsid w:val="009D1418"/>
    <w:rsid w:val="009D1705"/>
    <w:rsid w:val="009D2856"/>
    <w:rsid w:val="009D4D5C"/>
    <w:rsid w:val="009D4EF1"/>
    <w:rsid w:val="009D5B34"/>
    <w:rsid w:val="009D68E2"/>
    <w:rsid w:val="009E0E87"/>
    <w:rsid w:val="009E1FC7"/>
    <w:rsid w:val="009E3767"/>
    <w:rsid w:val="009E55BA"/>
    <w:rsid w:val="009F1526"/>
    <w:rsid w:val="009F17E8"/>
    <w:rsid w:val="009F1B95"/>
    <w:rsid w:val="009F1D09"/>
    <w:rsid w:val="009F4F62"/>
    <w:rsid w:val="009F529A"/>
    <w:rsid w:val="009F78DE"/>
    <w:rsid w:val="00A0007A"/>
    <w:rsid w:val="00A00BBC"/>
    <w:rsid w:val="00A02463"/>
    <w:rsid w:val="00A038F4"/>
    <w:rsid w:val="00A03F1A"/>
    <w:rsid w:val="00A0453A"/>
    <w:rsid w:val="00A05238"/>
    <w:rsid w:val="00A1267F"/>
    <w:rsid w:val="00A214DB"/>
    <w:rsid w:val="00A21749"/>
    <w:rsid w:val="00A22FD3"/>
    <w:rsid w:val="00A257B0"/>
    <w:rsid w:val="00A26BE7"/>
    <w:rsid w:val="00A26FF0"/>
    <w:rsid w:val="00A315EB"/>
    <w:rsid w:val="00A31EF3"/>
    <w:rsid w:val="00A34EDA"/>
    <w:rsid w:val="00A378B8"/>
    <w:rsid w:val="00A37C10"/>
    <w:rsid w:val="00A40F5B"/>
    <w:rsid w:val="00A42462"/>
    <w:rsid w:val="00A43A27"/>
    <w:rsid w:val="00A50064"/>
    <w:rsid w:val="00A508D3"/>
    <w:rsid w:val="00A53B2A"/>
    <w:rsid w:val="00A5566B"/>
    <w:rsid w:val="00A57D7A"/>
    <w:rsid w:val="00A626A3"/>
    <w:rsid w:val="00A7056C"/>
    <w:rsid w:val="00A70628"/>
    <w:rsid w:val="00A74D47"/>
    <w:rsid w:val="00A76629"/>
    <w:rsid w:val="00A76C30"/>
    <w:rsid w:val="00A772C2"/>
    <w:rsid w:val="00A805B9"/>
    <w:rsid w:val="00A81762"/>
    <w:rsid w:val="00A8368D"/>
    <w:rsid w:val="00A87AF2"/>
    <w:rsid w:val="00A90D93"/>
    <w:rsid w:val="00A931BA"/>
    <w:rsid w:val="00A95121"/>
    <w:rsid w:val="00AA0EE6"/>
    <w:rsid w:val="00AA16DC"/>
    <w:rsid w:val="00AA28F7"/>
    <w:rsid w:val="00AA3864"/>
    <w:rsid w:val="00AA6ABA"/>
    <w:rsid w:val="00AA7DA0"/>
    <w:rsid w:val="00AB1802"/>
    <w:rsid w:val="00AB1A56"/>
    <w:rsid w:val="00AB1B84"/>
    <w:rsid w:val="00AB6618"/>
    <w:rsid w:val="00AC1FFC"/>
    <w:rsid w:val="00AC2B52"/>
    <w:rsid w:val="00AC3263"/>
    <w:rsid w:val="00AC5DEA"/>
    <w:rsid w:val="00AC7778"/>
    <w:rsid w:val="00AC7B25"/>
    <w:rsid w:val="00AD1F95"/>
    <w:rsid w:val="00AD2BFE"/>
    <w:rsid w:val="00AD448A"/>
    <w:rsid w:val="00AE0160"/>
    <w:rsid w:val="00AE077E"/>
    <w:rsid w:val="00AE2E8C"/>
    <w:rsid w:val="00AE3BE0"/>
    <w:rsid w:val="00AE4490"/>
    <w:rsid w:val="00AF1B1B"/>
    <w:rsid w:val="00AF4D46"/>
    <w:rsid w:val="00AF67CF"/>
    <w:rsid w:val="00AF7E9B"/>
    <w:rsid w:val="00B01AF9"/>
    <w:rsid w:val="00B0272F"/>
    <w:rsid w:val="00B07977"/>
    <w:rsid w:val="00B12E81"/>
    <w:rsid w:val="00B13C7C"/>
    <w:rsid w:val="00B1451F"/>
    <w:rsid w:val="00B178E9"/>
    <w:rsid w:val="00B21394"/>
    <w:rsid w:val="00B30AE2"/>
    <w:rsid w:val="00B32B60"/>
    <w:rsid w:val="00B32EE2"/>
    <w:rsid w:val="00B357DA"/>
    <w:rsid w:val="00B429A3"/>
    <w:rsid w:val="00B44025"/>
    <w:rsid w:val="00B462C7"/>
    <w:rsid w:val="00B468A1"/>
    <w:rsid w:val="00B5053E"/>
    <w:rsid w:val="00B50794"/>
    <w:rsid w:val="00B50DDE"/>
    <w:rsid w:val="00B51948"/>
    <w:rsid w:val="00B5377D"/>
    <w:rsid w:val="00B544B2"/>
    <w:rsid w:val="00B54559"/>
    <w:rsid w:val="00B573FE"/>
    <w:rsid w:val="00B602C8"/>
    <w:rsid w:val="00B66506"/>
    <w:rsid w:val="00B66FD8"/>
    <w:rsid w:val="00B700B8"/>
    <w:rsid w:val="00B703A1"/>
    <w:rsid w:val="00B70890"/>
    <w:rsid w:val="00B71122"/>
    <w:rsid w:val="00B71AED"/>
    <w:rsid w:val="00B73598"/>
    <w:rsid w:val="00B7459D"/>
    <w:rsid w:val="00B86CA7"/>
    <w:rsid w:val="00B9173F"/>
    <w:rsid w:val="00B9225B"/>
    <w:rsid w:val="00B92B97"/>
    <w:rsid w:val="00B93678"/>
    <w:rsid w:val="00B942E2"/>
    <w:rsid w:val="00B97FC6"/>
    <w:rsid w:val="00BA4C6B"/>
    <w:rsid w:val="00BA4F78"/>
    <w:rsid w:val="00BB063A"/>
    <w:rsid w:val="00BB111D"/>
    <w:rsid w:val="00BB3133"/>
    <w:rsid w:val="00BB348C"/>
    <w:rsid w:val="00BC20A0"/>
    <w:rsid w:val="00BC320F"/>
    <w:rsid w:val="00BC46C2"/>
    <w:rsid w:val="00BC6FEF"/>
    <w:rsid w:val="00BD4174"/>
    <w:rsid w:val="00BD54F4"/>
    <w:rsid w:val="00BD598F"/>
    <w:rsid w:val="00BD5B5C"/>
    <w:rsid w:val="00BD676F"/>
    <w:rsid w:val="00BD6C80"/>
    <w:rsid w:val="00BE7FF0"/>
    <w:rsid w:val="00BF1374"/>
    <w:rsid w:val="00BF1405"/>
    <w:rsid w:val="00BF3E6B"/>
    <w:rsid w:val="00C0023A"/>
    <w:rsid w:val="00C0271B"/>
    <w:rsid w:val="00C0747E"/>
    <w:rsid w:val="00C07CD2"/>
    <w:rsid w:val="00C1066B"/>
    <w:rsid w:val="00C10D52"/>
    <w:rsid w:val="00C11944"/>
    <w:rsid w:val="00C14227"/>
    <w:rsid w:val="00C17364"/>
    <w:rsid w:val="00C20156"/>
    <w:rsid w:val="00C219F6"/>
    <w:rsid w:val="00C21E92"/>
    <w:rsid w:val="00C23BE1"/>
    <w:rsid w:val="00C243FC"/>
    <w:rsid w:val="00C26351"/>
    <w:rsid w:val="00C27657"/>
    <w:rsid w:val="00C27E30"/>
    <w:rsid w:val="00C3089C"/>
    <w:rsid w:val="00C30A33"/>
    <w:rsid w:val="00C30A3D"/>
    <w:rsid w:val="00C33A7C"/>
    <w:rsid w:val="00C41E55"/>
    <w:rsid w:val="00C42BF8"/>
    <w:rsid w:val="00C508FC"/>
    <w:rsid w:val="00C522C2"/>
    <w:rsid w:val="00C55704"/>
    <w:rsid w:val="00C5688C"/>
    <w:rsid w:val="00C6042F"/>
    <w:rsid w:val="00C61ECB"/>
    <w:rsid w:val="00C6524A"/>
    <w:rsid w:val="00C65C60"/>
    <w:rsid w:val="00C66020"/>
    <w:rsid w:val="00C754CA"/>
    <w:rsid w:val="00C826A8"/>
    <w:rsid w:val="00C861F4"/>
    <w:rsid w:val="00C864EF"/>
    <w:rsid w:val="00C873A9"/>
    <w:rsid w:val="00C90440"/>
    <w:rsid w:val="00C91662"/>
    <w:rsid w:val="00C965BF"/>
    <w:rsid w:val="00C97D7F"/>
    <w:rsid w:val="00C97F56"/>
    <w:rsid w:val="00CA12AF"/>
    <w:rsid w:val="00CA1AEF"/>
    <w:rsid w:val="00CA3B82"/>
    <w:rsid w:val="00CB19F5"/>
    <w:rsid w:val="00CC02E4"/>
    <w:rsid w:val="00CC0E81"/>
    <w:rsid w:val="00CC4835"/>
    <w:rsid w:val="00CD20D5"/>
    <w:rsid w:val="00CD2A6D"/>
    <w:rsid w:val="00CD2BC3"/>
    <w:rsid w:val="00CD2D4A"/>
    <w:rsid w:val="00CD35CA"/>
    <w:rsid w:val="00CD410F"/>
    <w:rsid w:val="00CD5074"/>
    <w:rsid w:val="00CD68B9"/>
    <w:rsid w:val="00CE216C"/>
    <w:rsid w:val="00CE307C"/>
    <w:rsid w:val="00CE52BF"/>
    <w:rsid w:val="00CE55F8"/>
    <w:rsid w:val="00CE5D24"/>
    <w:rsid w:val="00CE6D53"/>
    <w:rsid w:val="00CE7848"/>
    <w:rsid w:val="00CE7935"/>
    <w:rsid w:val="00CF33A3"/>
    <w:rsid w:val="00CF48A2"/>
    <w:rsid w:val="00D00204"/>
    <w:rsid w:val="00D02A47"/>
    <w:rsid w:val="00D04369"/>
    <w:rsid w:val="00D06317"/>
    <w:rsid w:val="00D16CD9"/>
    <w:rsid w:val="00D177E5"/>
    <w:rsid w:val="00D25D8A"/>
    <w:rsid w:val="00D35602"/>
    <w:rsid w:val="00D35B8B"/>
    <w:rsid w:val="00D416F6"/>
    <w:rsid w:val="00D47711"/>
    <w:rsid w:val="00D54722"/>
    <w:rsid w:val="00D54A9D"/>
    <w:rsid w:val="00D563CB"/>
    <w:rsid w:val="00D56CB5"/>
    <w:rsid w:val="00D60043"/>
    <w:rsid w:val="00D606D2"/>
    <w:rsid w:val="00D606DB"/>
    <w:rsid w:val="00D620CC"/>
    <w:rsid w:val="00D651EC"/>
    <w:rsid w:val="00D660A8"/>
    <w:rsid w:val="00D661E8"/>
    <w:rsid w:val="00D70D2E"/>
    <w:rsid w:val="00D73D5B"/>
    <w:rsid w:val="00D73D98"/>
    <w:rsid w:val="00D74A61"/>
    <w:rsid w:val="00D76505"/>
    <w:rsid w:val="00D76C25"/>
    <w:rsid w:val="00D77B6B"/>
    <w:rsid w:val="00D806B5"/>
    <w:rsid w:val="00D84805"/>
    <w:rsid w:val="00D930EA"/>
    <w:rsid w:val="00DA187A"/>
    <w:rsid w:val="00DA2C34"/>
    <w:rsid w:val="00DA2DCA"/>
    <w:rsid w:val="00DA3967"/>
    <w:rsid w:val="00DA5171"/>
    <w:rsid w:val="00DA609A"/>
    <w:rsid w:val="00DA7CD1"/>
    <w:rsid w:val="00DB053A"/>
    <w:rsid w:val="00DB23C3"/>
    <w:rsid w:val="00DB323F"/>
    <w:rsid w:val="00DB4A31"/>
    <w:rsid w:val="00DB5A5E"/>
    <w:rsid w:val="00DB5AA7"/>
    <w:rsid w:val="00DB6668"/>
    <w:rsid w:val="00DC00D6"/>
    <w:rsid w:val="00DC1987"/>
    <w:rsid w:val="00DC2BDF"/>
    <w:rsid w:val="00DC4EF6"/>
    <w:rsid w:val="00DC5591"/>
    <w:rsid w:val="00DC71EB"/>
    <w:rsid w:val="00DD4135"/>
    <w:rsid w:val="00DD452B"/>
    <w:rsid w:val="00DD7292"/>
    <w:rsid w:val="00DE11EC"/>
    <w:rsid w:val="00DE1CFF"/>
    <w:rsid w:val="00DE3473"/>
    <w:rsid w:val="00DE5EB8"/>
    <w:rsid w:val="00DF0A07"/>
    <w:rsid w:val="00DF14A5"/>
    <w:rsid w:val="00DF1FD4"/>
    <w:rsid w:val="00E00210"/>
    <w:rsid w:val="00E02077"/>
    <w:rsid w:val="00E02E54"/>
    <w:rsid w:val="00E04AA2"/>
    <w:rsid w:val="00E04F4A"/>
    <w:rsid w:val="00E07959"/>
    <w:rsid w:val="00E131D2"/>
    <w:rsid w:val="00E148A2"/>
    <w:rsid w:val="00E1703E"/>
    <w:rsid w:val="00E21369"/>
    <w:rsid w:val="00E23EE7"/>
    <w:rsid w:val="00E24FD6"/>
    <w:rsid w:val="00E25D4E"/>
    <w:rsid w:val="00E31E84"/>
    <w:rsid w:val="00E34C95"/>
    <w:rsid w:val="00E3614A"/>
    <w:rsid w:val="00E374BE"/>
    <w:rsid w:val="00E41A61"/>
    <w:rsid w:val="00E41F84"/>
    <w:rsid w:val="00E42E4E"/>
    <w:rsid w:val="00E4544A"/>
    <w:rsid w:val="00E46019"/>
    <w:rsid w:val="00E524C9"/>
    <w:rsid w:val="00E55714"/>
    <w:rsid w:val="00E6049C"/>
    <w:rsid w:val="00E60606"/>
    <w:rsid w:val="00E6284A"/>
    <w:rsid w:val="00E650E3"/>
    <w:rsid w:val="00E65FCC"/>
    <w:rsid w:val="00E679C4"/>
    <w:rsid w:val="00E7145F"/>
    <w:rsid w:val="00E754A8"/>
    <w:rsid w:val="00E77030"/>
    <w:rsid w:val="00E82E77"/>
    <w:rsid w:val="00E85E63"/>
    <w:rsid w:val="00E9071B"/>
    <w:rsid w:val="00E9187A"/>
    <w:rsid w:val="00E9327A"/>
    <w:rsid w:val="00E95FA8"/>
    <w:rsid w:val="00E9605D"/>
    <w:rsid w:val="00E963F9"/>
    <w:rsid w:val="00EA226E"/>
    <w:rsid w:val="00EA41D6"/>
    <w:rsid w:val="00EB0F8A"/>
    <w:rsid w:val="00EB20E5"/>
    <w:rsid w:val="00EB3309"/>
    <w:rsid w:val="00EB3BB7"/>
    <w:rsid w:val="00EB3FAE"/>
    <w:rsid w:val="00EB4E2B"/>
    <w:rsid w:val="00EB6853"/>
    <w:rsid w:val="00EC12A8"/>
    <w:rsid w:val="00EC16C1"/>
    <w:rsid w:val="00EC19B5"/>
    <w:rsid w:val="00EC2A44"/>
    <w:rsid w:val="00EC2BCF"/>
    <w:rsid w:val="00EC51E1"/>
    <w:rsid w:val="00EC73CC"/>
    <w:rsid w:val="00EC77F9"/>
    <w:rsid w:val="00ED0002"/>
    <w:rsid w:val="00ED3FC7"/>
    <w:rsid w:val="00EE4E46"/>
    <w:rsid w:val="00EE4E78"/>
    <w:rsid w:val="00EE4FA0"/>
    <w:rsid w:val="00EE4FEF"/>
    <w:rsid w:val="00EE702E"/>
    <w:rsid w:val="00EE7990"/>
    <w:rsid w:val="00EE7C0C"/>
    <w:rsid w:val="00EF1CE1"/>
    <w:rsid w:val="00EF2FCE"/>
    <w:rsid w:val="00EF322E"/>
    <w:rsid w:val="00EF5334"/>
    <w:rsid w:val="00EF73B7"/>
    <w:rsid w:val="00F01EF1"/>
    <w:rsid w:val="00F0529F"/>
    <w:rsid w:val="00F0700E"/>
    <w:rsid w:val="00F10103"/>
    <w:rsid w:val="00F16C81"/>
    <w:rsid w:val="00F16D47"/>
    <w:rsid w:val="00F17AF3"/>
    <w:rsid w:val="00F20B66"/>
    <w:rsid w:val="00F20F00"/>
    <w:rsid w:val="00F22178"/>
    <w:rsid w:val="00F25823"/>
    <w:rsid w:val="00F25BE8"/>
    <w:rsid w:val="00F2634D"/>
    <w:rsid w:val="00F301CA"/>
    <w:rsid w:val="00F33AA4"/>
    <w:rsid w:val="00F35262"/>
    <w:rsid w:val="00F40AA4"/>
    <w:rsid w:val="00F40C4E"/>
    <w:rsid w:val="00F41CA7"/>
    <w:rsid w:val="00F4303C"/>
    <w:rsid w:val="00F436F1"/>
    <w:rsid w:val="00F43C30"/>
    <w:rsid w:val="00F43EA0"/>
    <w:rsid w:val="00F4512D"/>
    <w:rsid w:val="00F459B5"/>
    <w:rsid w:val="00F463A7"/>
    <w:rsid w:val="00F47F71"/>
    <w:rsid w:val="00F50602"/>
    <w:rsid w:val="00F50827"/>
    <w:rsid w:val="00F5470B"/>
    <w:rsid w:val="00F54E03"/>
    <w:rsid w:val="00F5635B"/>
    <w:rsid w:val="00F56A45"/>
    <w:rsid w:val="00F605CF"/>
    <w:rsid w:val="00F61F96"/>
    <w:rsid w:val="00F6207D"/>
    <w:rsid w:val="00F62617"/>
    <w:rsid w:val="00F637C8"/>
    <w:rsid w:val="00F6398C"/>
    <w:rsid w:val="00F63E99"/>
    <w:rsid w:val="00F65EF1"/>
    <w:rsid w:val="00F7004F"/>
    <w:rsid w:val="00F72D21"/>
    <w:rsid w:val="00F766C3"/>
    <w:rsid w:val="00F828B8"/>
    <w:rsid w:val="00F83214"/>
    <w:rsid w:val="00F83D3B"/>
    <w:rsid w:val="00F92501"/>
    <w:rsid w:val="00F928F8"/>
    <w:rsid w:val="00F936D0"/>
    <w:rsid w:val="00F96827"/>
    <w:rsid w:val="00FA1E1A"/>
    <w:rsid w:val="00FA3B1F"/>
    <w:rsid w:val="00FA548B"/>
    <w:rsid w:val="00FA6F61"/>
    <w:rsid w:val="00FA7B21"/>
    <w:rsid w:val="00FB0D5E"/>
    <w:rsid w:val="00FB2257"/>
    <w:rsid w:val="00FB4808"/>
    <w:rsid w:val="00FB6042"/>
    <w:rsid w:val="00FC3B47"/>
    <w:rsid w:val="00FC465D"/>
    <w:rsid w:val="00FC46DF"/>
    <w:rsid w:val="00FD1A10"/>
    <w:rsid w:val="00FD2788"/>
    <w:rsid w:val="00FD62C5"/>
    <w:rsid w:val="00FD7D49"/>
    <w:rsid w:val="00FE0AEC"/>
    <w:rsid w:val="00FE297F"/>
    <w:rsid w:val="00FE30BE"/>
    <w:rsid w:val="00FE3348"/>
    <w:rsid w:val="00FE5F5B"/>
    <w:rsid w:val="00FE7F7C"/>
    <w:rsid w:val="00FF2819"/>
    <w:rsid w:val="42A92FC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name="page number"/>
    <w:lsdException w:unhideWhenUsed="0" w:uiPriority="0" w:name="endnote reference"/>
    <w:lsdException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pPr>
      <w:widowControl w:val="0"/>
      <w:jc w:val="both"/>
      <w:textAlignment w:val="center"/>
    </w:pPr>
    <w:rPr>
      <w:kern w:val="2"/>
      <w:sz w:val="18"/>
      <w:lang w:val="en-US" w:eastAsia="zh-CN" w:bidi="ar-SA"/>
    </w:rPr>
  </w:style>
  <w:style w:type="paragraph" w:styleId="2">
    <w:name w:val="heading 1"/>
    <w:basedOn w:val="1"/>
    <w:next w:val="1"/>
    <w:uiPriority w:val="0"/>
    <w:pPr>
      <w:keepNext/>
      <w:outlineLvl w:val="0"/>
    </w:pPr>
    <w:rPr>
      <w:b/>
      <w:bCs/>
    </w:rPr>
  </w:style>
  <w:style w:type="paragraph" w:styleId="3">
    <w:name w:val="heading 2"/>
    <w:basedOn w:val="1"/>
    <w:next w:val="1"/>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uiPriority w:val="0"/>
    <w:pPr>
      <w:keepNext/>
      <w:keepLines/>
      <w:spacing w:before="260" w:after="260" w:line="416" w:lineRule="auto"/>
      <w:outlineLvl w:val="2"/>
    </w:pPr>
    <w:rPr>
      <w:b/>
      <w:bCs/>
      <w:sz w:val="32"/>
      <w:szCs w:val="32"/>
    </w:rPr>
  </w:style>
  <w:style w:type="paragraph" w:styleId="5">
    <w:name w:val="heading 4"/>
    <w:basedOn w:val="1"/>
    <w:next w:val="1"/>
    <w:uiPriority w:val="0"/>
    <w:pPr>
      <w:keepNext/>
      <w:jc w:val="center"/>
      <w:outlineLvl w:val="3"/>
    </w:pPr>
    <w:rPr>
      <w:b/>
      <w:bCs/>
      <w:sz w:val="30"/>
    </w:rPr>
  </w:style>
  <w:style w:type="character" w:default="1" w:styleId="18">
    <w:name w:val="Default Paragraph Font"/>
    <w:semiHidden/>
    <w:unhideWhenUsed/>
    <w:uiPriority w:val="1"/>
  </w:style>
  <w:style w:type="table" w:default="1" w:styleId="16">
    <w:name w:val="Normal Table"/>
    <w:semiHidden/>
    <w:unhideWhenUsed/>
    <w:uiPriority w:val="99"/>
    <w:tblPr>
      <w:tblStyle w:val="16"/>
      <w:tblCellMar>
        <w:top w:w="0" w:type="dxa"/>
        <w:left w:w="108" w:type="dxa"/>
        <w:bottom w:w="0" w:type="dxa"/>
        <w:right w:w="108" w:type="dxa"/>
      </w:tblCellMar>
    </w:tblPr>
    <w:trPr>
      <w:wBefore w:w="0" w:type="dxa"/>
    </w:trPr>
  </w:style>
  <w:style w:type="paragraph" w:styleId="6">
    <w:name w:val="Document Map"/>
    <w:basedOn w:val="1"/>
    <w:semiHidden/>
    <w:uiPriority w:val="0"/>
    <w:pPr>
      <w:shd w:val="clear" w:color="auto" w:fill="000080"/>
    </w:pPr>
  </w:style>
  <w:style w:type="paragraph" w:styleId="7">
    <w:name w:val="Body Text"/>
    <w:basedOn w:val="1"/>
    <w:semiHidden/>
    <w:uiPriority w:val="0"/>
    <w:rPr>
      <w:b/>
      <w:bCs/>
    </w:rPr>
  </w:style>
  <w:style w:type="paragraph" w:styleId="8">
    <w:name w:val="Body Text Indent"/>
    <w:basedOn w:val="1"/>
    <w:semiHidden/>
    <w:uiPriority w:val="0"/>
    <w:pPr>
      <w:ind w:firstLine="359" w:firstLineChars="171"/>
    </w:pPr>
  </w:style>
  <w:style w:type="paragraph" w:styleId="9">
    <w:name w:val="endnote text"/>
    <w:basedOn w:val="1"/>
    <w:semiHidden/>
    <w:uiPriority w:val="0"/>
    <w:pPr>
      <w:snapToGrid w:val="0"/>
      <w:jc w:val="left"/>
    </w:pPr>
  </w:style>
  <w:style w:type="paragraph" w:styleId="10">
    <w:name w:val="Balloon Text"/>
    <w:basedOn w:val="1"/>
    <w:link w:val="29"/>
    <w:semiHidden/>
    <w:unhideWhenUsed/>
    <w:uiPriority w:val="99"/>
    <w:rPr>
      <w:szCs w:val="18"/>
    </w:rPr>
  </w:style>
  <w:style w:type="paragraph" w:styleId="11">
    <w:name w:val="footer"/>
    <w:basedOn w:val="1"/>
    <w:link w:val="28"/>
    <w:unhideWhenUsed/>
    <w:uiPriority w:val="99"/>
    <w:pPr>
      <w:tabs>
        <w:tab w:val="center" w:pos="4153"/>
        <w:tab w:val="right" w:pos="8306"/>
      </w:tabs>
      <w:snapToGrid w:val="0"/>
      <w:jc w:val="left"/>
    </w:pPr>
    <w:rPr>
      <w:szCs w:val="18"/>
    </w:rPr>
  </w:style>
  <w:style w:type="paragraph" w:styleId="12">
    <w:name w:val="header"/>
    <w:basedOn w:val="1"/>
    <w:link w:val="39"/>
    <w:unhideWhenUsed/>
    <w:uiPriority w:val="99"/>
    <w:pPr>
      <w:pBdr>
        <w:bottom w:val="single" w:color="auto" w:sz="6" w:space="1"/>
      </w:pBdr>
      <w:tabs>
        <w:tab w:val="center" w:pos="4153"/>
        <w:tab w:val="right" w:pos="8306"/>
      </w:tabs>
      <w:snapToGrid w:val="0"/>
      <w:jc w:val="center"/>
    </w:pPr>
    <w:rPr>
      <w:szCs w:val="18"/>
    </w:rPr>
  </w:style>
  <w:style w:type="paragraph" w:styleId="13">
    <w:name w:val="Subtitle"/>
    <w:basedOn w:val="1"/>
    <w:next w:val="1"/>
    <w:qFormat/>
    <w:uiPriority w:val="0"/>
    <w:pPr>
      <w:overflowPunct w:val="0"/>
      <w:spacing w:before="320"/>
      <w:outlineLvl w:val="0"/>
    </w:pPr>
    <w:rPr>
      <w:rFonts w:eastAsia="黑体"/>
      <w:sz w:val="36"/>
    </w:rPr>
  </w:style>
  <w:style w:type="paragraph" w:styleId="14">
    <w:name w:val="footnote text"/>
    <w:basedOn w:val="1"/>
    <w:semiHidden/>
    <w:uiPriority w:val="0"/>
    <w:pPr>
      <w:snapToGrid w:val="0"/>
      <w:jc w:val="left"/>
    </w:pPr>
    <w:rPr>
      <w:szCs w:val="18"/>
    </w:rPr>
  </w:style>
  <w:style w:type="paragraph" w:styleId="15">
    <w:name w:val="Title"/>
    <w:basedOn w:val="1"/>
    <w:next w:val="1"/>
    <w:link w:val="38"/>
    <w:uiPriority w:val="10"/>
    <w:pPr>
      <w:spacing w:before="240" w:after="60"/>
      <w:jc w:val="center"/>
      <w:outlineLvl w:val="0"/>
    </w:pPr>
    <w:rPr>
      <w:rFonts w:ascii="等线 Light" w:hAnsi="等线 Light" w:eastAsia="等线 Light" w:cs="Times New Roman"/>
      <w:b/>
      <w:bCs/>
      <w:sz w:val="32"/>
      <w:szCs w:val="32"/>
    </w:rPr>
  </w:style>
  <w:style w:type="table" w:styleId="17">
    <w:name w:val="Table Grid"/>
    <w:basedOn w:val="16"/>
    <w:uiPriority w:val="39"/>
    <w:rPr>
      <w:kern w:val="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22"/>
    <w:rPr>
      <w:b/>
      <w:bCs/>
    </w:rPr>
  </w:style>
  <w:style w:type="character" w:styleId="20">
    <w:name w:val="endnote reference"/>
    <w:semiHidden/>
    <w:uiPriority w:val="0"/>
    <w:rPr>
      <w:vertAlign w:val="superscript"/>
    </w:rPr>
  </w:style>
  <w:style w:type="character" w:styleId="21">
    <w:name w:val="page number"/>
    <w:basedOn w:val="18"/>
    <w:semiHidden/>
    <w:uiPriority w:val="0"/>
  </w:style>
  <w:style w:type="character" w:styleId="22">
    <w:name w:val="FollowedHyperlink"/>
    <w:semiHidden/>
    <w:unhideWhenUsed/>
    <w:uiPriority w:val="99"/>
    <w:rPr>
      <w:color w:val="954F72"/>
      <w:u w:val="single"/>
    </w:rPr>
  </w:style>
  <w:style w:type="character" w:styleId="23">
    <w:name w:val="Emphasis"/>
    <w:qFormat/>
    <w:uiPriority w:val="20"/>
    <w:rPr>
      <w:i/>
      <w:iCs/>
    </w:rPr>
  </w:style>
  <w:style w:type="character" w:styleId="24">
    <w:name w:val="Hyperlink"/>
    <w:semiHidden/>
    <w:uiPriority w:val="0"/>
    <w:rPr>
      <w:color w:val="0000FF"/>
      <w:u w:val="single"/>
    </w:rPr>
  </w:style>
  <w:style w:type="character" w:styleId="25">
    <w:name w:val="footnote reference"/>
    <w:semiHidden/>
    <w:uiPriority w:val="0"/>
    <w:rPr>
      <w:vertAlign w:val="superscript"/>
    </w:rPr>
  </w:style>
  <w:style w:type="paragraph" w:customStyle="1" w:styleId="26">
    <w:name w:val="摘要"/>
    <w:basedOn w:val="7"/>
    <w:next w:val="1"/>
    <w:uiPriority w:val="0"/>
    <w:pPr>
      <w:tabs>
        <w:tab w:val="left" w:pos="798"/>
      </w:tabs>
      <w:overflowPunct w:val="0"/>
      <w:adjustRightInd w:val="0"/>
    </w:pPr>
    <w:rPr>
      <w:rFonts w:eastAsia="楷体_GB2312"/>
      <w:b w:val="0"/>
      <w:bCs w:val="0"/>
      <w:snapToGrid/>
    </w:rPr>
  </w:style>
  <w:style w:type="paragraph" w:customStyle="1" w:styleId="27">
    <w:name w:val="关键词"/>
    <w:basedOn w:val="26"/>
    <w:next w:val="1"/>
    <w:uiPriority w:val="0"/>
    <w:pPr>
      <w:ind w:left="429" w:hanging="429" w:hangingChars="429"/>
    </w:pPr>
  </w:style>
  <w:style w:type="character" w:customStyle="1" w:styleId="28">
    <w:name w:val="页脚 字符"/>
    <w:link w:val="11"/>
    <w:uiPriority w:val="99"/>
    <w:rPr>
      <w:kern w:val="2"/>
      <w:sz w:val="18"/>
      <w:szCs w:val="18"/>
    </w:rPr>
  </w:style>
  <w:style w:type="character" w:customStyle="1" w:styleId="29">
    <w:name w:val="批注框文本 字符"/>
    <w:link w:val="10"/>
    <w:semiHidden/>
    <w:uiPriority w:val="99"/>
    <w:rPr>
      <w:kern w:val="2"/>
      <w:sz w:val="18"/>
      <w:szCs w:val="18"/>
    </w:rPr>
  </w:style>
  <w:style w:type="paragraph" w:customStyle="1" w:styleId="30">
    <w:name w:val="彩色列表 - 强调文字颜色 11"/>
    <w:basedOn w:val="1"/>
    <w:qFormat/>
    <w:uiPriority w:val="34"/>
    <w:pPr>
      <w:ind w:firstLine="420" w:firstLineChars="200"/>
    </w:pPr>
  </w:style>
  <w:style w:type="character" w:customStyle="1" w:styleId="31">
    <w:name w:val="中等深浅网格 11"/>
    <w:semiHidden/>
    <w:uiPriority w:val="99"/>
    <w:rPr>
      <w:color w:val="808080"/>
    </w:rPr>
  </w:style>
  <w:style w:type="table" w:customStyle="1" w:styleId="32">
    <w:name w:val="网格型1"/>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网格型2"/>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网格型3"/>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网格型4"/>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网格型5"/>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网格型6"/>
    <w:basedOn w:val="16"/>
    <w:uiPriority w:val="39"/>
    <w:rPr>
      <w:rFonts w:ascii="Calibri" w:hAnsi="Calibri"/>
      <w:kern w:val="2"/>
      <w:sz w:val="21"/>
      <w:szCs w:val="22"/>
    </w:rPr>
    <w:tblPr>
      <w:tblStyle w:val="1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8">
    <w:name w:val="标题 字符"/>
    <w:link w:val="15"/>
    <w:uiPriority w:val="10"/>
    <w:rPr>
      <w:rFonts w:ascii="等线 Light" w:hAnsi="等线 Light" w:eastAsia="等线 Light" w:cs="Times New Roman"/>
      <w:b/>
      <w:bCs/>
      <w:kern w:val="2"/>
      <w:sz w:val="32"/>
      <w:szCs w:val="32"/>
    </w:rPr>
  </w:style>
  <w:style w:type="character" w:customStyle="1" w:styleId="39">
    <w:name w:val="页眉 字符"/>
    <w:link w:val="12"/>
    <w:uiPriority w:val="99"/>
    <w:rPr>
      <w:kern w:val="2"/>
      <w:sz w:val="18"/>
      <w:szCs w:val="18"/>
    </w:rPr>
  </w:style>
  <w:style w:type="paragraph" w:customStyle="1" w:styleId="40">
    <w:name w:val="@头部|标题|中文"/>
    <w:next w:val="1"/>
    <w:link w:val="48"/>
    <w:uiPriority w:val="0"/>
    <w:pPr>
      <w:widowControl w:val="0"/>
      <w:spacing w:before="320" w:beforeLines="100" w:line="480" w:lineRule="auto"/>
      <w:ind w:left="454" w:right="454"/>
      <w:jc w:val="center"/>
      <w:textAlignment w:val="center"/>
      <w:outlineLvl w:val="0"/>
    </w:pPr>
    <w:rPr>
      <w:rFonts w:ascii="Arial" w:hAnsi="Arial" w:eastAsia="黑体"/>
      <w:kern w:val="2"/>
      <w:sz w:val="32"/>
      <w:szCs w:val="32"/>
      <w:lang w:val="en-US" w:eastAsia="zh-CN" w:bidi="ar-SA"/>
    </w:rPr>
  </w:style>
  <w:style w:type="paragraph" w:customStyle="1" w:styleId="41">
    <w:name w:val="@头部|作者|中文"/>
    <w:next w:val="1"/>
    <w:link w:val="51"/>
    <w:uiPriority w:val="0"/>
    <w:pPr>
      <w:spacing w:line="480" w:lineRule="auto"/>
      <w:ind w:left="454" w:right="454"/>
      <w:jc w:val="center"/>
      <w:textAlignment w:val="center"/>
    </w:pPr>
    <w:rPr>
      <w:rFonts w:ascii="Times New Roman" w:hAnsi="Times New Roman" w:eastAsia="宋体"/>
      <w:kern w:val="2"/>
      <w:sz w:val="24"/>
      <w:szCs w:val="24"/>
      <w:lang w:val="en-US" w:eastAsia="zh-CN" w:bidi="ar-SA"/>
    </w:rPr>
  </w:style>
  <w:style w:type="paragraph" w:customStyle="1" w:styleId="42">
    <w:name w:val="@头部|标题|英文"/>
    <w:next w:val="1"/>
    <w:link w:val="47"/>
    <w:uiPriority w:val="0"/>
    <w:pPr>
      <w:widowControl w:val="0"/>
      <w:spacing w:before="320" w:beforeLines="100" w:after="320" w:afterLines="100"/>
      <w:ind w:left="454" w:right="454"/>
      <w:jc w:val="center"/>
      <w:textAlignment w:val="center"/>
    </w:pPr>
    <w:rPr>
      <w:rFonts w:ascii="Times New Roman" w:hAnsi="Times New Roman" w:eastAsia="宋体"/>
      <w:kern w:val="2"/>
      <w:sz w:val="24"/>
      <w:szCs w:val="24"/>
      <w:lang w:val="en-US" w:eastAsia="zh-CN" w:bidi="ar-SA"/>
    </w:rPr>
  </w:style>
  <w:style w:type="paragraph" w:customStyle="1" w:styleId="43">
    <w:name w:val="@头部|机构|单行"/>
    <w:next w:val="1"/>
    <w:link w:val="49"/>
    <w:uiPriority w:val="0"/>
    <w:pPr>
      <w:spacing w:after="160" w:afterLines="50"/>
      <w:ind w:left="454" w:right="454"/>
      <w:jc w:val="center"/>
    </w:pPr>
    <w:rPr>
      <w:rFonts w:eastAsia="楷体" w:ascii="Times New Roman" w:hAnsi="Times New Roman"/>
      <w:kern w:val="2"/>
      <w:sz w:val="18"/>
      <w:szCs w:val="18"/>
      <w:lang w:val="en-US" w:eastAsia="zh-CN" w:bidi="ar-SA"/>
    </w:rPr>
  </w:style>
  <w:style w:type="paragraph" w:customStyle="1" w:styleId="44">
    <w:name w:val="@头部|机构|多行"/>
    <w:next w:val="1"/>
    <w:link w:val="50"/>
    <w:uiPriority w:val="0"/>
    <w:pPr>
      <w:widowControl w:val="0"/>
      <w:spacing w:after="50" w:afterLines="50"/>
      <w:ind w:left="454" w:right="454"/>
      <w:jc w:val="both"/>
      <w:textAlignment w:val="center"/>
    </w:pPr>
    <w:rPr>
      <w:rFonts w:eastAsia="楷体"/>
      <w:kern w:val="2"/>
      <w:sz w:val="18"/>
      <w:szCs w:val="18"/>
      <w:lang w:val="en-US" w:eastAsia="zh-CN" w:bidi="ar-SA"/>
    </w:rPr>
  </w:style>
  <w:style w:type="paragraph" w:customStyle="1" w:styleId="45">
    <w:name w:val="@头部|摘要|文本"/>
    <w:next w:val="1"/>
    <w:link w:val="52"/>
    <w:uiPriority w:val="0"/>
    <w:pPr>
      <w:widowControl w:val="0"/>
      <w:ind w:left="454" w:right="454"/>
      <w:jc w:val="both"/>
      <w:textAlignment w:val="center"/>
    </w:pPr>
    <w:rPr>
      <w:rFonts w:eastAsia="楷体" w:ascii="Times New Roman" w:hAnsi="Times New Roman"/>
      <w:kern w:val="2"/>
      <w:sz w:val="18"/>
      <w:lang w:val="en-US" w:eastAsia="zh-CN" w:bidi="ar-SA"/>
    </w:rPr>
  </w:style>
  <w:style w:type="character" w:customStyle="1" w:styleId="46">
    <w:name w:val="@头部|摘要|中文标志"/>
    <w:uiPriority w:val="1"/>
    <w:rPr>
      <w:rFonts w:ascii="Times New Roman" w:hAnsi="Times New Roman" w:eastAsia="黑体"/>
      <w:sz w:val="18"/>
    </w:rPr>
  </w:style>
  <w:style w:type="character" w:customStyle="1" w:styleId="47">
    <w:name w:val="@头部|标题|英文 字符"/>
    <w:link w:val="42"/>
    <w:uiPriority w:val="0"/>
    <w:rPr>
      <w:kern w:val="2"/>
      <w:sz w:val="24"/>
      <w:szCs w:val="24"/>
    </w:rPr>
  </w:style>
  <w:style w:type="character" w:customStyle="1" w:styleId="48">
    <w:name w:val="@头部|标题|中文 字符"/>
    <w:link w:val="40"/>
    <w:uiPriority w:val="0"/>
    <w:rPr>
      <w:rFonts w:ascii="Arial" w:hAnsi="Arial" w:eastAsia="黑体"/>
      <w:kern w:val="2"/>
      <w:sz w:val="32"/>
      <w:szCs w:val="32"/>
    </w:rPr>
  </w:style>
  <w:style w:type="character" w:customStyle="1" w:styleId="49">
    <w:name w:val="@头部|机构|单行 字符"/>
    <w:link w:val="43"/>
    <w:uiPriority w:val="0"/>
    <w:rPr>
      <w:rFonts w:eastAsia="楷体"/>
      <w:kern w:val="2"/>
      <w:sz w:val="18"/>
      <w:szCs w:val="18"/>
    </w:rPr>
  </w:style>
  <w:style w:type="character" w:customStyle="1" w:styleId="50">
    <w:name w:val="@头部|机构|多行 字符"/>
    <w:link w:val="44"/>
    <w:uiPriority w:val="0"/>
    <w:rPr>
      <w:rFonts w:eastAsia="楷体"/>
      <w:kern w:val="2"/>
      <w:sz w:val="18"/>
      <w:szCs w:val="18"/>
    </w:rPr>
  </w:style>
  <w:style w:type="character" w:customStyle="1" w:styleId="51">
    <w:name w:val="@头部|作者|中文 字符"/>
    <w:link w:val="41"/>
    <w:uiPriority w:val="0"/>
    <w:rPr>
      <w:kern w:val="2"/>
      <w:sz w:val="24"/>
      <w:szCs w:val="24"/>
    </w:rPr>
  </w:style>
  <w:style w:type="character" w:customStyle="1" w:styleId="52">
    <w:name w:val="@头部|摘要|文本 字符"/>
    <w:link w:val="45"/>
    <w:uiPriority w:val="0"/>
    <w:rPr>
      <w:rFonts w:eastAsia="楷体"/>
      <w:kern w:val="2"/>
      <w:sz w:val="18"/>
    </w:rPr>
  </w:style>
  <w:style w:type="character" w:customStyle="1" w:styleId="53">
    <w:name w:val="@头部|机构|斜体"/>
    <w:uiPriority w:val="1"/>
    <w:rPr>
      <w:i/>
    </w:rPr>
  </w:style>
  <w:style w:type="character" w:customStyle="1" w:styleId="54">
    <w:name w:val="@头部|标题|标志"/>
    <w:uiPriority w:val="1"/>
    <w:rPr>
      <w:rFonts w:ascii="Arial" w:hAnsi="Arial" w:eastAsia="黑体"/>
      <w:kern w:val="2"/>
      <w:sz w:val="32"/>
      <w:szCs w:val="32"/>
      <w:vertAlign w:val="superscript"/>
    </w:rPr>
  </w:style>
  <w:style w:type="character" w:customStyle="1" w:styleId="55">
    <w:name w:val="@头部|作者|中文标志"/>
    <w:uiPriority w:val="1"/>
    <w:rPr>
      <w:kern w:val="2"/>
      <w:sz w:val="24"/>
      <w:szCs w:val="24"/>
      <w:vertAlign w:val="superscript"/>
    </w:rPr>
  </w:style>
  <w:style w:type="paragraph" w:customStyle="1" w:styleId="56">
    <w:name w:val="@头部|作者|英文"/>
    <w:next w:val="1"/>
    <w:link w:val="57"/>
    <w:uiPriority w:val="0"/>
    <w:pPr>
      <w:widowControl w:val="0"/>
      <w:jc w:val="center"/>
      <w:textAlignment w:val="center"/>
    </w:pPr>
    <w:rPr>
      <w:rFonts w:ascii="Times New Roman" w:hAnsi="Times New Roman" w:eastAsia="宋体"/>
      <w:kern w:val="2"/>
      <w:sz w:val="21"/>
      <w:szCs w:val="21"/>
      <w:lang w:val="en-US" w:eastAsia="zh-CN" w:bidi="ar-SA"/>
    </w:rPr>
  </w:style>
  <w:style w:type="character" w:customStyle="1" w:styleId="57">
    <w:name w:val="@头部|作者|英文 字符"/>
    <w:link w:val="56"/>
    <w:uiPriority w:val="0"/>
    <w:rPr>
      <w:kern w:val="2"/>
      <w:sz w:val="21"/>
      <w:szCs w:val="21"/>
    </w:rPr>
  </w:style>
  <w:style w:type="character" w:customStyle="1" w:styleId="58">
    <w:name w:val="@头部|作者|英文标志"/>
    <w:uiPriority w:val="1"/>
    <w:rPr>
      <w:kern w:val="2"/>
      <w:sz w:val="21"/>
      <w:szCs w:val="21"/>
      <w:vertAlign w:val="superscript"/>
    </w:rPr>
  </w:style>
  <w:style w:type="character" w:customStyle="1" w:styleId="59">
    <w:name w:val="@头部|摘要|英文标志"/>
    <w:uiPriority w:val="1"/>
    <w:rPr>
      <w:rFonts w:ascii="Times New Roman" w:hAnsi="Times New Roman" w:eastAsia="楷体"/>
      <w:b/>
      <w:kern w:val="2"/>
      <w:sz w:val="18"/>
    </w:rPr>
  </w:style>
  <w:style w:type="paragraph" w:customStyle="1" w:styleId="60">
    <w:name w:val="@头部|页眉"/>
    <w:link w:val="62"/>
    <w:uiPriority w:val="0"/>
    <w:pPr>
      <w:widowControl w:val="0"/>
      <w:pBdr>
        <w:bottom w:val="single" w:color="auto" w:sz="6" w:space="2"/>
      </w:pBdr>
      <w:tabs>
        <w:tab w:val="center" w:pos="5130"/>
        <w:tab w:val="right" w:pos="10170"/>
      </w:tabs>
      <w:spacing w:line="240" w:lineRule="exact"/>
      <w:jc w:val="both"/>
      <w:textAlignment w:val="center"/>
    </w:pPr>
    <w:rPr>
      <w:rFonts w:eastAsia="楷体"/>
      <w:kern w:val="2"/>
      <w:sz w:val="15"/>
      <w:szCs w:val="15"/>
      <w:lang w:val="en-US" w:eastAsia="zh-CN" w:bidi="ar-SA"/>
    </w:rPr>
  </w:style>
  <w:style w:type="paragraph" w:customStyle="1" w:styleId="61">
    <w:name w:val="@头部|页脚"/>
    <w:link w:val="64"/>
    <w:uiPriority w:val="0"/>
    <w:pPr>
      <w:widowControl w:val="0"/>
      <w:spacing w:line="240" w:lineRule="exact"/>
      <w:jc w:val="both"/>
    </w:pPr>
    <w:rPr>
      <w:rFonts w:eastAsia="楷体"/>
      <w:kern w:val="2"/>
      <w:sz w:val="15"/>
      <w:szCs w:val="15"/>
      <w:lang w:val="en-US" w:eastAsia="zh-CN" w:bidi="ar-SA"/>
    </w:rPr>
  </w:style>
  <w:style w:type="character" w:customStyle="1" w:styleId="62">
    <w:name w:val="@头部|页眉 字符"/>
    <w:link w:val="60"/>
    <w:uiPriority w:val="0"/>
    <w:rPr>
      <w:rFonts w:eastAsia="楷体"/>
      <w:kern w:val="2"/>
      <w:sz w:val="15"/>
      <w:szCs w:val="15"/>
    </w:rPr>
  </w:style>
  <w:style w:type="character" w:customStyle="1" w:styleId="63">
    <w:name w:val="@头部|页脚|标志"/>
    <w:uiPriority w:val="1"/>
    <w:rPr>
      <w:rFonts w:eastAsia="黑体"/>
      <w:kern w:val="2"/>
      <w:sz w:val="15"/>
      <w:szCs w:val="15"/>
    </w:rPr>
  </w:style>
  <w:style w:type="character" w:customStyle="1" w:styleId="64">
    <w:name w:val="@头部|页脚 字符"/>
    <w:link w:val="61"/>
    <w:uiPriority w:val="0"/>
    <w:rPr>
      <w:rFonts w:eastAsia="楷体"/>
      <w:kern w:val="2"/>
      <w:sz w:val="15"/>
      <w:szCs w:val="15"/>
    </w:rPr>
  </w:style>
  <w:style w:type="paragraph" w:customStyle="1" w:styleId="65">
    <w:name w:val="@正文|标题1"/>
    <w:next w:val="1"/>
    <w:link w:val="67"/>
    <w:uiPriority w:val="0"/>
    <w:pPr>
      <w:keepNext/>
      <w:keepLines/>
      <w:widowControl w:val="0"/>
      <w:numPr>
        <w:ilvl w:val="0"/>
        <w:numId w:val="1"/>
      </w:numPr>
      <w:pBdr>
        <w:top w:val="single" w:color="FFFFFF" w:sz="8" w:space="7"/>
        <w:bottom w:val="single" w:color="FFFFFF" w:sz="8" w:space="7"/>
      </w:pBdr>
      <w:spacing w:line="320" w:lineRule="exact"/>
      <w:jc w:val="both"/>
      <w:textAlignment w:val="center"/>
      <w:outlineLvl w:val="0"/>
    </w:pPr>
    <w:rPr>
      <w:rFonts w:ascii="Arial" w:hAnsi="Arial" w:eastAsia="黑体"/>
      <w:kern w:val="2"/>
      <w:sz w:val="21"/>
      <w:lang w:val="en-US" w:eastAsia="zh-CN" w:bidi="ar-SA"/>
    </w:rPr>
  </w:style>
  <w:style w:type="paragraph" w:customStyle="1" w:styleId="66">
    <w:name w:val="@正文|标题2"/>
    <w:next w:val="1"/>
    <w:link w:val="69"/>
    <w:uiPriority w:val="0"/>
    <w:pPr>
      <w:keepNext/>
      <w:keepLines/>
      <w:widowControl w:val="0"/>
      <w:numPr>
        <w:ilvl w:val="1"/>
        <w:numId w:val="1"/>
      </w:numPr>
      <w:jc w:val="both"/>
      <w:textAlignment w:val="center"/>
      <w:outlineLvl w:val="1"/>
    </w:pPr>
    <w:rPr>
      <w:rFonts w:ascii="Arial" w:hAnsi="Arial" w:eastAsia="黑体"/>
      <w:kern w:val="2"/>
      <w:sz w:val="18"/>
      <w:szCs w:val="18"/>
      <w:lang w:val="en-US" w:eastAsia="zh-CN" w:bidi="ar-SA"/>
    </w:rPr>
  </w:style>
  <w:style w:type="character" w:customStyle="1" w:styleId="67">
    <w:name w:val="@正文|标题1 字符"/>
    <w:link w:val="65"/>
    <w:uiPriority w:val="0"/>
    <w:rPr>
      <w:rFonts w:ascii="Arial" w:hAnsi="Arial" w:eastAsia="黑体"/>
      <w:kern w:val="2"/>
      <w:sz w:val="21"/>
    </w:rPr>
  </w:style>
  <w:style w:type="paragraph" w:customStyle="1" w:styleId="68">
    <w:name w:val="@正文|标题3"/>
    <w:next w:val="1"/>
    <w:link w:val="70"/>
    <w:uiPriority w:val="0"/>
    <w:pPr>
      <w:keepNext/>
      <w:keepLines/>
      <w:widowControl w:val="0"/>
      <w:numPr>
        <w:ilvl w:val="2"/>
        <w:numId w:val="1"/>
      </w:numPr>
      <w:jc w:val="both"/>
      <w:textAlignment w:val="center"/>
      <w:outlineLvl w:val="2"/>
    </w:pPr>
    <w:rPr>
      <w:rFonts w:eastAsia="楷体"/>
      <w:kern w:val="2"/>
      <w:sz w:val="18"/>
      <w:lang w:val="en-US" w:eastAsia="zh-CN" w:bidi="ar-SA"/>
    </w:rPr>
  </w:style>
  <w:style w:type="character" w:customStyle="1" w:styleId="69">
    <w:name w:val="@正文|标题2 字符"/>
    <w:link w:val="66"/>
    <w:uiPriority w:val="0"/>
    <w:rPr>
      <w:rFonts w:ascii="Arial" w:hAnsi="Arial" w:eastAsia="黑体"/>
      <w:kern w:val="2"/>
      <w:sz w:val="18"/>
      <w:szCs w:val="18"/>
    </w:rPr>
  </w:style>
  <w:style w:type="character" w:customStyle="1" w:styleId="70">
    <w:name w:val="@正文|标题3 字符"/>
    <w:link w:val="68"/>
    <w:uiPriority w:val="0"/>
    <w:rPr>
      <w:rFonts w:eastAsia="楷体"/>
      <w:kern w:val="2"/>
      <w:sz w:val="18"/>
    </w:rPr>
  </w:style>
  <w:style w:type="paragraph" w:customStyle="1" w:styleId="71">
    <w:name w:val="@正文|段落文本"/>
    <w:link w:val="73"/>
    <w:qFormat/>
    <w:uiPriority w:val="0"/>
    <w:pPr>
      <w:widowControl w:val="0"/>
      <w:ind w:firstLine="200" w:firstLineChars="200"/>
      <w:jc w:val="both"/>
      <w:textAlignment w:val="center"/>
    </w:pPr>
    <w:rPr>
      <w:rFonts w:ascii="Times New Roman" w:hAnsi="Times New Roman" w:eastAsia="宋体"/>
      <w:kern w:val="2"/>
      <w:sz w:val="18"/>
      <w:lang w:val="en-US" w:eastAsia="zh-CN" w:bidi="ar-SA"/>
    </w:rPr>
  </w:style>
  <w:style w:type="paragraph" w:customStyle="1" w:styleId="72">
    <w:name w:val="@正文|表格"/>
    <w:link w:val="75"/>
    <w:qFormat/>
    <w:uiPriority w:val="0"/>
    <w:pPr>
      <w:widowControl w:val="0"/>
      <w:jc w:val="center"/>
      <w:textAlignment w:val="center"/>
    </w:pPr>
    <w:rPr>
      <w:kern w:val="2"/>
      <w:sz w:val="16"/>
      <w:lang w:val="en-US" w:eastAsia="zh-CN" w:bidi="ar-SA"/>
    </w:rPr>
  </w:style>
  <w:style w:type="character" w:customStyle="1" w:styleId="73">
    <w:name w:val="@正文|段落文本 字符"/>
    <w:link w:val="71"/>
    <w:uiPriority w:val="0"/>
    <w:rPr>
      <w:kern w:val="2"/>
      <w:sz w:val="18"/>
    </w:rPr>
  </w:style>
  <w:style w:type="paragraph" w:customStyle="1" w:styleId="74">
    <w:name w:val="@正文|独行公式"/>
    <w:next w:val="71"/>
    <w:link w:val="76"/>
    <w:qFormat/>
    <w:uiPriority w:val="0"/>
    <w:pPr>
      <w:widowControl w:val="0"/>
      <w:tabs>
        <w:tab w:val="center" w:pos="2548"/>
        <w:tab w:val="right" w:pos="4914"/>
      </w:tabs>
      <w:jc w:val="both"/>
      <w:textAlignment w:val="center"/>
    </w:pPr>
    <w:rPr>
      <w:rFonts w:ascii="Cambria Math" w:hAnsi="Cambria Math" w:eastAsia="宋体"/>
      <w:kern w:val="2"/>
      <w:sz w:val="18"/>
      <w:lang w:val="en-US" w:eastAsia="zh-CN" w:bidi="ar-SA"/>
    </w:rPr>
  </w:style>
  <w:style w:type="character" w:customStyle="1" w:styleId="75">
    <w:name w:val="@正文|表格 字符"/>
    <w:link w:val="72"/>
    <w:uiPriority w:val="0"/>
    <w:rPr>
      <w:kern w:val="2"/>
      <w:sz w:val="16"/>
    </w:rPr>
  </w:style>
  <w:style w:type="character" w:customStyle="1" w:styleId="76">
    <w:name w:val="@正文|独行公式 字符"/>
    <w:link w:val="74"/>
    <w:uiPriority w:val="0"/>
    <w:rPr>
      <w:kern w:val="2"/>
      <w:sz w:val="18"/>
    </w:rPr>
  </w:style>
  <w:style w:type="paragraph" w:customStyle="1" w:styleId="77">
    <w:name w:val="@正文|图表|1列"/>
    <w:next w:val="71"/>
    <w:link w:val="79"/>
    <w:qFormat/>
    <w:uiPriority w:val="0"/>
    <w:pPr>
      <w:widowControl w:val="0"/>
      <w:jc w:val="center"/>
      <w:textAlignment w:val="center"/>
    </w:pPr>
    <w:rPr>
      <w:rFonts w:ascii="Times New Roman" w:hAnsi="Times New Roman" w:eastAsia="宋体"/>
      <w:kern w:val="2"/>
      <w:sz w:val="16"/>
      <w:szCs w:val="16"/>
      <w:lang w:val="en-US" w:eastAsia="zh-CN" w:bidi="ar-SA"/>
    </w:rPr>
  </w:style>
  <w:style w:type="paragraph" w:customStyle="1" w:styleId="78">
    <w:name w:val="@正文|图表|2列"/>
    <w:next w:val="71"/>
    <w:link w:val="81"/>
    <w:qFormat/>
    <w:uiPriority w:val="0"/>
    <w:pPr>
      <w:widowControl w:val="0"/>
      <w:tabs>
        <w:tab w:val="center" w:pos="1229"/>
        <w:tab w:val="center" w:pos="3686"/>
      </w:tabs>
      <w:textAlignment w:val="center"/>
    </w:pPr>
    <w:rPr>
      <w:kern w:val="2"/>
      <w:sz w:val="16"/>
      <w:szCs w:val="16"/>
      <w:lang w:val="en-US" w:eastAsia="zh-CN" w:bidi="ar-SA"/>
    </w:rPr>
  </w:style>
  <w:style w:type="character" w:customStyle="1" w:styleId="79">
    <w:name w:val="@正文|图表|1列 字符"/>
    <w:link w:val="77"/>
    <w:uiPriority w:val="0"/>
    <w:rPr>
      <w:kern w:val="2"/>
      <w:sz w:val="16"/>
      <w:szCs w:val="16"/>
      <w:lang/>
    </w:rPr>
  </w:style>
  <w:style w:type="paragraph" w:customStyle="1" w:styleId="80">
    <w:name w:val="@正文|图表|3列"/>
    <w:next w:val="71"/>
    <w:link w:val="83"/>
    <w:qFormat/>
    <w:uiPriority w:val="0"/>
    <w:pPr>
      <w:widowControl w:val="0"/>
      <w:tabs>
        <w:tab w:val="center" w:pos="819"/>
        <w:tab w:val="center" w:pos="2457"/>
        <w:tab w:val="center" w:pos="4095"/>
      </w:tabs>
      <w:jc w:val="both"/>
      <w:textAlignment w:val="center"/>
    </w:pPr>
    <w:rPr>
      <w:rFonts w:ascii="Times New Roman" w:hAnsi="Times New Roman" w:eastAsia="宋体"/>
      <w:kern w:val="2"/>
      <w:sz w:val="15"/>
      <w:szCs w:val="16"/>
      <w:lang w:val="en-US" w:eastAsia="zh-CN" w:bidi="ar-SA"/>
    </w:rPr>
  </w:style>
  <w:style w:type="character" w:customStyle="1" w:styleId="81">
    <w:name w:val="@正文|图表|2列 字符"/>
    <w:link w:val="78"/>
    <w:uiPriority w:val="0"/>
    <w:rPr>
      <w:kern w:val="2"/>
      <w:sz w:val="16"/>
      <w:szCs w:val="16"/>
    </w:rPr>
  </w:style>
  <w:style w:type="paragraph" w:customStyle="1" w:styleId="82">
    <w:name w:val="@正文|标题参考文献"/>
    <w:next w:val="1"/>
    <w:link w:val="85"/>
    <w:uiPriority w:val="0"/>
    <w:pPr>
      <w:keepNext/>
      <w:keepLines/>
      <w:widowControl w:val="0"/>
      <w:pBdr>
        <w:top w:val="single" w:color="FFFFFF" w:sz="8" w:space="7"/>
        <w:bottom w:val="single" w:color="FFFFFF" w:sz="8" w:space="7"/>
      </w:pBdr>
      <w:spacing w:line="320" w:lineRule="exact"/>
      <w:textAlignment w:val="center"/>
      <w:outlineLvl w:val="0"/>
    </w:pPr>
    <w:rPr>
      <w:rFonts w:ascii="Arial" w:hAnsi="Arial" w:eastAsia="黑体"/>
      <w:kern w:val="2"/>
      <w:sz w:val="21"/>
      <w:lang w:val="en-US" w:eastAsia="zh-CN" w:bidi="ar-SA"/>
    </w:rPr>
  </w:style>
  <w:style w:type="character" w:customStyle="1" w:styleId="83">
    <w:name w:val="@正文|图表|3列 字符"/>
    <w:link w:val="80"/>
    <w:uiPriority w:val="0"/>
    <w:rPr>
      <w:kern w:val="2"/>
      <w:sz w:val="16"/>
      <w:szCs w:val="16"/>
    </w:rPr>
  </w:style>
  <w:style w:type="paragraph" w:customStyle="1" w:styleId="84">
    <w:name w:val="@正文|参考文献"/>
    <w:link w:val="86"/>
    <w:qFormat/>
    <w:uiPriority w:val="0"/>
    <w:pPr>
      <w:widowControl w:val="0"/>
      <w:numPr>
        <w:ilvl w:val="0"/>
        <w:numId w:val="2"/>
      </w:numPr>
      <w:ind w:left="304" w:hanging="304" w:hangingChars="200"/>
      <w:jc w:val="both"/>
      <w:textAlignment w:val="baseline"/>
    </w:pPr>
    <w:rPr>
      <w:rFonts w:eastAsia="楷体" w:ascii="Times New Roman" w:hAnsi="Times New Roman"/>
      <w:kern w:val="2"/>
      <w:sz w:val="16"/>
      <w:szCs w:val="15"/>
      <w:lang w:val="en-US" w:eastAsia="zh-CN" w:bidi="ar-SA"/>
    </w:rPr>
  </w:style>
  <w:style w:type="character" w:customStyle="1" w:styleId="85">
    <w:name w:val="@正文|标题参考文献 字符"/>
    <w:link w:val="82"/>
    <w:uiPriority w:val="0"/>
    <w:rPr>
      <w:rFonts w:ascii="Arial" w:hAnsi="Arial" w:eastAsia="黑体"/>
      <w:kern w:val="2"/>
      <w:sz w:val="21"/>
    </w:rPr>
  </w:style>
  <w:style w:type="character" w:customStyle="1" w:styleId="86">
    <w:name w:val="@正文|参考文献 字符"/>
    <w:link w:val="84"/>
    <w:uiPriority w:val="0"/>
    <w:rPr>
      <w:rFonts w:eastAsia="楷体"/>
      <w:kern w:val="2"/>
      <w:sz w:val="15"/>
      <w:szCs w:val="15"/>
    </w:rPr>
  </w:style>
  <w:style w:type="paragraph" w:customStyle="1" w:styleId="87">
    <w:name w:val="@正文|代码"/>
    <w:basedOn w:val="71"/>
    <w:next w:val="1"/>
    <w:link w:val="88"/>
    <w:qFormat/>
    <w:uiPriority w:val="0"/>
    <w:pPr>
      <w:ind w:left="182" w:leftChars="100" w:firstLine="0" w:firstLineChars="0"/>
    </w:pPr>
    <w:rPr>
      <w:rFonts w:ascii="Consolas" w:hAnsi="Consolas"/>
      <w:sz w:val="15"/>
    </w:rPr>
  </w:style>
  <w:style w:type="character" w:customStyle="1" w:styleId="88">
    <w:name w:val="@正文|代码 字符"/>
    <w:link w:val="87"/>
    <w:uiPriority w:val="0"/>
    <w:rPr>
      <w:rFonts w:ascii="Consolas" w:hAnsi="Consolas"/>
      <w:kern w:val="2"/>
      <w:sz w:val="15"/>
    </w:rPr>
  </w:style>
  <w:style w:type="character" w:customStyle="1" w:styleId="89">
    <w:name w:val="@正文|参考文献etal"/>
    <w:uiPriority w:val="1"/>
    <w:rPr>
      <w:rFonts w:ascii="Times New Roman" w:hAnsi="Times New Roman" w:eastAsia="楷体"/>
      <w:i/>
      <w:kern w:val="2"/>
      <w:sz w:val="15"/>
      <w:szCs w:val="15"/>
    </w:rPr>
  </w:style>
  <w:style w:type="character" w:customStyle="1" w:styleId="90">
    <w:name w:val="@正文|参考文献黑体"/>
    <w:uiPriority w:val="1"/>
    <w:rPr>
      <w:rFonts w:ascii="Arial" w:hAnsi="Arial" w:eastAsia="楷体"/>
      <w:kern w:val="2"/>
      <w:sz w:val="15"/>
      <w:szCs w:val="15"/>
    </w:rPr>
  </w:style>
</w:styles>
</file>

<file path=word/_rels/document.xml.rels><?xml version='1.0' encoding='utf-8'?>
<Relationships xmlns="http://schemas.openxmlformats.org/package/2006/relationships"><Relationship Id="rId8" Type="http://schemas.openxmlformats.org/officeDocument/2006/relationships/image" Target="media/image1.wmf" /><Relationship Id="rId6"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header" Target="header2.xml" /><Relationship Id="rId3" Type="http://schemas.openxmlformats.org/officeDocument/2006/relationships/header" Target="header1.xml" /><Relationship Id="rId2" Type="http://schemas.openxmlformats.org/officeDocument/2006/relationships/settings" Target="settings.xml" /><Relationship Id="rId13" Type="http://schemas.openxmlformats.org/officeDocument/2006/relationships/fontTable" Target="fontTable.xml" /><Relationship Id="rId12" Type="http://schemas.openxmlformats.org/officeDocument/2006/relationships/numbering" Target="numbering.xml" /><Relationship Id="rId11" Type="http://schemas.openxmlformats.org/officeDocument/2006/relationships/image" Target="media/image3.emf" /><Relationship Id="rId10" Type="http://schemas.openxmlformats.org/officeDocument/2006/relationships/image" Target="media/image2.wmf" /><Relationship Id="rId1" Type="http://schemas.openxmlformats.org/officeDocument/2006/relationships/styles" Target="styles.xml"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header" Target="header3.xml" /><Relationship Id="rId17" Type="http://schemas.openxmlformats.org/officeDocument/2006/relationships/header" Target="header4.xml" /><Relationship Id="rId18" Type="http://schemas.openxmlformats.org/officeDocument/2006/relationships/footer" Target="footer2.xml" /><Relationship Id="rId19" Type="http://schemas.openxmlformats.org/officeDocument/2006/relationships/footer" Target="footer3.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app</Company>
  <Pages>1</Pages>
  <Words>722</Words>
  <Characters>4122</Characters>
  <Lines>34</Lines>
  <Paragraphs>9</Paragraphs>
  <TotalTime>0</TotalTime>
  <ScaleCrop>false</ScaleCrop>
  <LinksUpToDate>false</LinksUpToDate>
  <CharactersWithSpaces>4835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2018-10-18T02:03:00Z</dcterms:created>
  <dc:creator>Anonymous Author(s)</dc:creator>
  <cp:lastModifiedBy>Anonymous Author(s)</cp:lastModifiedBy>
  <cp:lastPrinted>2018-04-10T16:55:00Z</cp:lastPrinted>
  <dcterms:modified xsi:type="dcterms:W3CDTF">2026-10-06T05:17:24Z</dcterms:modified>
  <dc:title>Formal Analysis of the Distinct-Party Condition in K-Waay Batch Admission</dc:title>
  <cp:revision>7</cp:revision>
  <dc:subject>Anonymous AROCMAG Stage 3.1 final typography patch manuscript</dc:subject>
  <cp:keywords>K-Waay; batch admission; distinct-party condition; Tamarin; formal verification</cp:keywords>
  <dc:description>Official-template-derived anonymous Stage 3.1 manuscript; final typography patch synchronized from the current latex-v2 source.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tringCn">
    <vt:lpwstr>黄文明{1|2},卫万成{1},邓珍荣{1|2}</vt:lpwstr>
  </property>
  <property fmtid="{D5CDD505-2E9C-101B-9397-08002B2CF9AE}" pid="3" name="AuthorStringEn">
    <vt:lpwstr>Huang Wenming{1|2},Wei Wancheng{1},Deng Zhenrong{1|2}</vt:lpwstr>
  </property>
  <property fmtid="{D5CDD505-2E9C-101B-9397-08002B2CF9AE}" pid="4" name="KSOProductBuildVer">
    <vt:lpwstr>2052-12.1.0.28505</vt:lpwstr>
  </property>
  <property fmtid="{D5CDD505-2E9C-101B-9397-08002B2CF9AE}" pid="5" name="ICV">
    <vt:lpwstr>075E05FFD89D4CBE9241D7DE63462BF7_13</vt:lpwstr>
  </property>
</Properties>
</file>