
<file path=[Content_Types].xml><?xml version="1.0" encoding="utf-8"?>
<Types xmlns="http://schemas.openxmlformats.org/package/2006/content-types">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A293D7">
      <w:pPr>
        <w:pStyle w:val="40"/>
        <w:spacing w:after="80"/>
        <w:jc w:val="center"/>
      </w:pPr>
      <w:r>
        <w:rPr>
          <w:rFonts w:ascii="Times New Roman" w:hAnsi="Times New Roman" w:eastAsia="宋体"/>
          <w:b/>
          <w:i w:val="0"/>
          <w:color w:val="000000"/>
          <w:sz w:val="32"/>
        </w:rPr>
        <w:t>K-Waay批次准入中参与方互异条件的形式化分析</w:t>
      </w:r>
    </w:p>
    <w:p w14:paraId="343811B6">
      <w:pPr>
        <w:pStyle w:val="77"/>
        <w:keepNext/>
        <w:spacing w:before="0" w:after="20"/>
        <w:jc w:val="center"/>
      </w:pPr>
      <w:r>
        <w:rPr>
          <w:rFonts w:ascii="Times New Roman" w:hAnsi="Times New Roman" w:eastAsia="宋体"/>
          <w:b/>
          <w:i w:val="0"/>
          <w:color w:val="000000"/>
          <w:sz w:val="16"/>
        </w:rPr>
        <w:t>部分更新工作稿：第1、2章已更新；后续章节尚待衔接；非最终可投稿版本。</w:t>
      </w:r>
    </w:p>
    <w:p w14:paraId="5F739D54">
      <w:pPr>
        <w:pStyle w:val="41"/>
        <w:spacing w:after="20"/>
        <w:jc w:val="center"/>
      </w:pPr>
      <w:r>
        <w:rPr>
          <w:rFonts w:ascii="Times New Roman" w:hAnsi="Times New Roman" w:eastAsia="宋体"/>
          <w:b w:val="0"/>
          <w:i w:val="0"/>
          <w:color w:val="000000"/>
          <w:sz w:val="24"/>
        </w:rPr>
        <w:t>作者信息待补</w:t>
      </w:r>
    </w:p>
    <w:p w14:paraId="66DE329D">
      <w:pPr>
        <w:pStyle w:val="43"/>
        <w:spacing w:after="20"/>
        <w:jc w:val="center"/>
      </w:pPr>
      <w:r>
        <w:rPr>
          <w:rFonts w:ascii="Times New Roman" w:hAnsi="Times New Roman" w:eastAsia="宋体"/>
          <w:b w:val="0"/>
          <w:i w:val="0"/>
          <w:color w:val="000000"/>
          <w:sz w:val="18"/>
        </w:rPr>
        <w:t>（作者单位、城市、邮编待补）</w:t>
      </w:r>
    </w:p>
    <w:p w14:paraId="77601E9C">
      <w:pPr>
        <w:pStyle w:val="45"/>
        <w:spacing w:before="0" w:after="0" w:line="240" w:lineRule="exact"/>
      </w:pPr>
      <w:r>
        <w:rPr>
          <w:rFonts w:ascii="Times New Roman" w:hAnsi="Times New Roman" w:eastAsia="宋体"/>
          <w:b/>
          <w:i w:val="0"/>
          <w:color w:val="000000"/>
          <w:sz w:val="18"/>
        </w:rPr>
        <w:t>摘  要：</w:t>
      </w:r>
      <w:r>
        <w:rPr>
          <w:rFonts w:ascii="Times New Roman" w:hAnsi="Times New Roman" w:eastAsia="宋体"/>
          <w:b w:val="0"/>
          <w:i w:val="0"/>
          <w:color w:val="000000"/>
          <w:sz w:val="18"/>
        </w:rPr>
        <w:t>K-Waay的BatchReceive 要求同次调用中的输入元素分别对应不同参与方，但消息限制能否替代该条件需验证。基于共同生命周期构造无互异、消息互异和参与方互异三种固定两槽Tamarin准入模型。无互异模型允许一个匹配发送来源对应同批两个接受；人工语义推导表明，新鲜消息和精确来源匹配使消息互异性与批内来源单射性等价。机器可达见证显示，同一参与方的不同发送实例与消息各有匹配发送来源，可同批接受，故消息约束不能推出参与方互异性。参与方互异约束模型保持目标关系，有效批次可达。结论限于固定两槽准入抽象。</w:t>
      </w:r>
    </w:p>
    <w:p w14:paraId="4EC3633B">
      <w:pPr>
        <w:pStyle w:val="45"/>
        <w:spacing w:before="0" w:after="0" w:line="240" w:lineRule="exact"/>
      </w:pPr>
      <w:r>
        <w:rPr>
          <w:rFonts w:ascii="Times New Roman" w:hAnsi="Times New Roman" w:eastAsia="宋体"/>
          <w:b/>
          <w:i w:val="0"/>
          <w:color w:val="000000"/>
          <w:sz w:val="18"/>
        </w:rPr>
        <w:t>关键词：</w:t>
      </w:r>
      <w:r>
        <w:rPr>
          <w:rFonts w:ascii="Times New Roman" w:hAnsi="Times New Roman" w:eastAsia="宋体"/>
          <w:b w:val="0"/>
          <w:i w:val="0"/>
          <w:color w:val="000000"/>
          <w:sz w:val="18"/>
        </w:rPr>
        <w:t>K-Waay；批次准入；批内参与方互异条件；Tamarin；形式化验证</w:t>
      </w:r>
    </w:p>
    <w:p w14:paraId="663EC500">
      <w:pPr>
        <w:pStyle w:val="45"/>
        <w:spacing w:before="0" w:after="0" w:line="240" w:lineRule="exact"/>
      </w:pPr>
      <w:r>
        <w:rPr>
          <w:rFonts w:ascii="Times New Roman" w:hAnsi="Times New Roman" w:eastAsia="宋体"/>
          <w:b/>
          <w:i w:val="0"/>
          <w:color w:val="000000"/>
          <w:sz w:val="18"/>
        </w:rPr>
        <w:t>中图分类号：待确认　　文献标志码：待确认　　文章编号：待定</w:t>
      </w:r>
    </w:p>
    <w:p w14:paraId="68BB4BF3">
      <w:pPr>
        <w:pStyle w:val="42"/>
        <w:spacing w:before="100" w:after="40"/>
        <w:jc w:val="center"/>
      </w:pPr>
      <w:r>
        <w:rPr>
          <w:rFonts w:ascii="Times New Roman" w:hAnsi="Times New Roman" w:eastAsia="宋体"/>
          <w:b/>
          <w:i w:val="0"/>
          <w:color w:val="000000"/>
          <w:sz w:val="24"/>
        </w:rPr>
        <w:t>Formal Analysis of the Distinct-Party Condition in K-Waay Batch Admission</w:t>
      </w:r>
    </w:p>
    <w:p w14:paraId="6C896426">
      <w:pPr>
        <w:pStyle w:val="56"/>
        <w:jc w:val="center"/>
      </w:pPr>
      <w:r>
        <w:rPr>
          <w:rFonts w:ascii="Times New Roman" w:hAnsi="Times New Roman" w:eastAsia="宋体"/>
          <w:b w:val="0"/>
          <w:i w:val="0"/>
          <w:color w:val="000000"/>
          <w:sz w:val="21"/>
        </w:rPr>
        <w:t>Author information pending</w:t>
      </w:r>
    </w:p>
    <w:p w14:paraId="6DF2CA2A">
      <w:pPr>
        <w:pStyle w:val="43"/>
        <w:jc w:val="center"/>
      </w:pPr>
      <w:r>
        <w:rPr>
          <w:rFonts w:ascii="Times New Roman" w:hAnsi="Times New Roman" w:eastAsia="宋体"/>
          <w:b w:val="0"/>
          <w:i w:val="0"/>
          <w:color w:val="000000"/>
          <w:sz w:val="18"/>
        </w:rPr>
        <w:t>(Affiliation, city, postal code, and country pending)</w:t>
      </w:r>
    </w:p>
    <w:p w14:paraId="21340C2C">
      <w:pPr>
        <w:pStyle w:val="45"/>
        <w:spacing w:before="0" w:after="0" w:line="220" w:lineRule="exact"/>
        <w:jc w:val="left"/>
      </w:pPr>
      <w:r>
        <w:rPr>
          <w:rFonts w:ascii="Times New Roman" w:hAnsi="Times New Roman" w:eastAsia="宋体"/>
          <w:b/>
          <w:i w:val="0"/>
          <w:color w:val="000000"/>
          <w:sz w:val="17"/>
        </w:rPr>
        <w:t xml:space="preserve">Abstract: </w:t>
      </w:r>
      <w:r>
        <w:rPr>
          <w:rFonts w:ascii="Times New Roman" w:hAnsi="Times New Roman" w:eastAsia="宋体"/>
          <w:b w:val="0"/>
          <w:i w:val="0"/>
          <w:color w:val="000000"/>
          <w:sz w:val="17"/>
        </w:rPr>
        <w:t>K-Waay requires inputs to one BatchReceive invocation to correspond to different parties, but whether message distinction can replace this same-batch condition requires verification. Three fixed-two-slot Tamarin admission models—unconstrained, message-constrained, and party-constrained—were constructed over a common lifecycle. The unconstrained model admitted two same-batch acceptance events supported by one matching sender origin. A manual semantic derivation under the fresh-message and exact-origin rules showed that same-batch message distinction and batch-scoped origin injectivity are equivalent in the message-constrained model. A machine-reachable execution nevertheless contained two distinct sender occurrences and messages from the same party, each with its own matching sender origin; both entered one batch and yielded two ReceiverAccept events. Thus message distinction does not imply same-batch party distinction. The party-constrained model preserved the target relation while retaining reachable valid distinct-party batches. These conclusions are limited to the fixed-two-slot batch-admission abstraction.</w:t>
      </w:r>
    </w:p>
    <w:p w14:paraId="0A8E4262">
      <w:pPr>
        <w:pStyle w:val="45"/>
        <w:spacing w:before="0" w:after="0" w:line="220" w:lineRule="exact"/>
        <w:jc w:val="left"/>
      </w:pPr>
      <w:r>
        <w:rPr>
          <w:rFonts w:ascii="Times New Roman" w:hAnsi="Times New Roman" w:eastAsia="宋体"/>
          <w:b/>
          <w:i w:val="0"/>
          <w:color w:val="000000"/>
          <w:sz w:val="17"/>
        </w:rPr>
        <w:t xml:space="preserve">Key words: </w:t>
      </w:r>
      <w:r>
        <w:rPr>
          <w:rFonts w:ascii="Times New Roman" w:hAnsi="Times New Roman" w:eastAsia="宋体"/>
          <w:b w:val="0"/>
          <w:i w:val="0"/>
          <w:color w:val="000000"/>
          <w:sz w:val="17"/>
        </w:rPr>
        <w:t>K-Waay; batch admission; distinct-party condition; Tamarin; formal verification</w:t>
      </w:r>
    </w:p>
    <w:p w14:paraId="4E664328">
      <w:pPr>
        <w:sectPr>
          <w:headerReference r:id="rId4" w:type="first"/>
          <w:footerReference r:id="rId6" w:type="first"/>
          <w:headerReference r:id="rId3" w:type="default"/>
          <w:footerReference r:id="rId5" w:type="default"/>
          <w:type w:val="continuous"/>
          <w:pgSz w:w="11906" w:h="16838"/>
          <w:pgMar w:top="1134" w:right="850" w:bottom="850" w:left="850" w:header="397" w:footer="397" w:gutter="0"/>
          <w:cols w:space="360" w:num="1"/>
          <w:titlePg/>
          <w:docGrid w:type="linesAndChars" w:linePitch="322" w:charSpace="460"/>
        </w:sectPr>
      </w:pPr>
    </w:p>
    <w:p w14:paraId="26F6A906">
      <w:pPr>
        <w:pStyle w:val="65"/>
        <w:keepNext/>
        <w:spacing w:before="100" w:after="20"/>
      </w:pPr>
      <w:r>
        <w:rPr>
          <w:rFonts w:ascii="Times New Roman" w:hAnsi="Times New Roman" w:eastAsia="宋体"/>
          <w:b/>
          <w:i w:val="0"/>
          <w:color w:val="000000"/>
          <w:sz w:val="21"/>
        </w:rPr>
        <w:t>引言</w:t>
      </w:r>
    </w:p>
    <w:p w14:paraId="675AD215">
      <w:pPr>
        <w:pStyle w:val="71"/>
        <w:spacing w:before="0" w:after="0" w:line="240" w:lineRule="exact"/>
        <w:ind w:firstLine="360"/>
        <w:jc w:val="both"/>
      </w:pPr>
      <w:r>
        <w:rPr>
          <w:rFonts w:ascii="Times New Roman" w:hAnsi="Times New Roman" w:eastAsia="宋体"/>
          <w:b w:val="0"/>
          <w:i w:val="0"/>
          <w:color w:val="000000"/>
          <w:sz w:val="18"/>
        </w:rPr>
        <w:t>后量子安全消息协议的分析通常围绕单次握手、单条消息或单个会话展开，而异步接收接口还可能将多个发送方关联输入组合为一次处理。单个条目的来源性质只能描述该条目，不能据此确定同批条目之间应满足的关系。安全消息的会话组合研究同样表明，组合边界可能承担独立于组件性质的安全义务[1]。因此，批次准入中的条目关系需要作为单独的分析对象。</w:t>
      </w:r>
    </w:p>
    <w:p w14:paraId="04CEE3E2">
      <w:pPr>
        <w:pStyle w:val="71"/>
        <w:spacing w:before="0" w:after="0" w:line="240" w:lineRule="exact"/>
        <w:ind w:firstLine="360"/>
        <w:jc w:val="both"/>
      </w:pPr>
      <w:r>
        <w:rPr>
          <w:rFonts w:ascii="Times New Roman" w:hAnsi="Times New Roman" w:eastAsia="宋体"/>
          <w:b w:val="0"/>
          <w:i w:val="0"/>
          <w:color w:val="000000"/>
          <w:sz w:val="18"/>
        </w:rPr>
        <w:t>K-Waay 是一种后量子、类似X3DH的可否认认证密钥交换协议[2]。其BatchReceive 操作在共享接收方状态下处理多个发送方关联输入；原文第5.1节（第21页）明确要求同一次调用中的元素对应不同参与方[3]。下文将这一要求称为批内参与方互异条件（distinct-party condition）。分析并非寻找协议规范遗漏的条件，而是考察该条件维护的批内关系，以及在条目均具有模型内匹配发送来源时，其他准入限制能否推出这一关系。</w:t>
      </w:r>
    </w:p>
    <w:p w14:paraId="46AE06A4">
      <w:pPr>
        <w:pStyle w:val="71"/>
        <w:spacing w:before="0" w:after="0" w:line="240" w:lineRule="exact"/>
        <w:ind w:firstLine="360"/>
        <w:jc w:val="both"/>
      </w:pPr>
      <w:r>
        <w:rPr>
          <w:rFonts w:ascii="Times New Roman" w:hAnsi="Times New Roman" w:eastAsia="宋体"/>
          <w:b w:val="0"/>
          <w:i w:val="0"/>
          <w:color w:val="000000"/>
          <w:sz w:val="18"/>
        </w:rPr>
        <w:t>已有安全消息协议分析为研究提供了方法基础，但其主要分析对象与批内关系不同。Signal的形式化分析将X3DH和Double Ratchet建模为多阶段认证密钥交换，研究会话中的密钥安全；PQXDH的分析使用ProVerif和CryptoVerif考察认证、机密性、后量子前向安全及共同部署[4,5]。本文使用Tamarin的多集重写与迹性质验证方法[6]，抽取一次接收调用内的条目组合关系，不重复验证上述密码过程，也不由批次见证推断其密钥安全结论失效。</w:t>
      </w:r>
    </w:p>
    <w:p w14:paraId="636E5B1C">
      <w:pPr>
        <w:pStyle w:val="71"/>
        <w:spacing w:before="0" w:after="0" w:line="240" w:lineRule="exact"/>
        <w:ind w:firstLine="360"/>
        <w:jc w:val="both"/>
      </w:pPr>
      <w:r>
        <w:rPr>
          <w:rFonts w:ascii="Times New Roman" w:hAnsi="Times New Roman" w:eastAsia="宋体"/>
          <w:b w:val="0"/>
          <w:i w:val="0"/>
          <w:color w:val="000000"/>
          <w:sz w:val="18"/>
        </w:rPr>
        <w:t>身份名称与认证事件对应关系也有既有理论基础。Lupetti等讨论了名称在相关会话范围内的唯一性及其协议语义[7]；Lowe的认证层次区分非单射一致性与单射一致性等性质[8]。本文假设参与方投影已正确建立，比较的是同一批次不同位置上的投影是否相同；所检查的来源单射性仅约束给定批次上下文内的发送—接受事件对应。因此，该问题既不是名称解释歧义，也不是重新提出身份唯一性或认证单射性理论。</w:t>
      </w:r>
    </w:p>
    <w:p w14:paraId="741BCE9C">
      <w:pPr>
        <w:pStyle w:val="71"/>
        <w:spacing w:before="0" w:after="0" w:line="240" w:lineRule="exact"/>
        <w:ind w:firstLine="360"/>
        <w:jc w:val="both"/>
      </w:pPr>
      <w:r>
        <w:rPr>
          <w:rFonts w:ascii="Times New Roman" w:hAnsi="Times New Roman" w:eastAsia="宋体"/>
          <w:b w:val="0"/>
          <w:i w:val="0"/>
          <w:color w:val="000000"/>
          <w:sz w:val="18"/>
        </w:rPr>
        <w:t>在组合层面，Cremers等分析多条棘轮会话链如何被管理和合并为会话交谈，说明单条链的性质不能直接代替交谈层面的失陷后安全分析[1]。本文沿用将组合边界单独建模的思路，但对象是一次BatchReceive 的输入条目及其参与方投影，而非多会话管理。研究区别在于：针对K-Waay已声明的批内条件，在相同生命周期下比较消息级限制与参与方级限制，并验证相关条目能否实际到达接受边界。</w:t>
      </w:r>
    </w:p>
    <w:p w14:paraId="0A047ECB">
      <w:pPr>
        <w:pStyle w:val="71"/>
        <w:spacing w:before="0" w:after="0" w:line="240" w:lineRule="exact"/>
        <w:ind w:firstLine="360"/>
        <w:jc w:val="both"/>
      </w:pPr>
      <w:r>
        <w:rPr>
          <w:rFonts w:ascii="Times New Roman" w:hAnsi="Times New Roman" w:eastAsia="宋体"/>
          <w:b w:val="0"/>
          <w:i w:val="0"/>
          <w:color w:val="000000"/>
          <w:sz w:val="18"/>
        </w:rPr>
        <w:t>同一参与方可以通过不同发送实例产生不同消息，因而批内消息互异性、发送—接受事件的单射关系和批内参与方互异性比较的是不同对象。静态地指出这些对象不同，并不能说明相应条目能否经过来源匹配、批次准入和顺序处理并产生接受事件。为此，需要回答三个相互关联的问题：移除目标条件后，重复参与方条目能否进入同一批次；一个完整元组的匹配发送来源能否对应同批两个接受事件；消息互异约束能否排除同一参与方的不同消息共同进入批次。研究边界限定在固定两槽的批次准入抽象，不将模型结果解释为完整K-Waay攻击或部署缺陷。</w:t>
      </w:r>
    </w:p>
    <w:p w14:paraId="5998C55E">
      <w:pPr>
        <w:pStyle w:val="71"/>
        <w:spacing w:before="0" w:after="0" w:line="240" w:lineRule="exact"/>
        <w:ind w:firstLine="360"/>
        <w:jc w:val="both"/>
      </w:pPr>
      <w:r>
        <w:rPr>
          <w:rFonts w:ascii="Times New Roman" w:hAnsi="Times New Roman" w:eastAsia="宋体"/>
          <w:b w:val="0"/>
          <w:i w:val="0"/>
          <w:color w:val="000000"/>
          <w:sz w:val="18"/>
        </w:rPr>
        <w:t>为控制流程差异，三个模型共用发送、网络暴露、两槽收集、来源匹配和顺序处理生命周期，仅改变准入约束。无互异约束模型用于观察移除目标条件后的行为；消息互异约束模型检验消息关系能否替代参与方关系；参与方互异约束模型直接施加目标约束，作为目标对照（positive control）。验证结果表明，无互异约束模型允许一个匹配发送来源对应同批两个接受事件；消息互异约束模型虽保持消息互异性和批内来源单射性，同一参与方的不同消息仍可在同批被接受；目标对照则保持批内参与方互异性，且有效的不同参与方批次可达。</w:t>
      </w:r>
    </w:p>
    <w:p w14:paraId="29EC8931">
      <w:pPr>
        <w:pStyle w:val="71"/>
        <w:spacing w:before="0" w:after="0" w:line="240" w:lineRule="exact"/>
        <w:ind w:firstLine="360"/>
        <w:jc w:val="both"/>
      </w:pPr>
      <w:r>
        <w:rPr>
          <w:rFonts w:ascii="Times New Roman" w:hAnsi="Times New Roman" w:eastAsia="宋体"/>
          <w:b w:val="0"/>
          <w:i w:val="0"/>
          <w:color w:val="000000"/>
          <w:sz w:val="18"/>
        </w:rPr>
        <w:t>本文的主要贡献如下：</w:t>
      </w:r>
    </w:p>
    <w:p w14:paraId="3B4F8CE2">
      <w:pPr>
        <w:pStyle w:val="71"/>
        <w:spacing w:before="0" w:after="0" w:line="240" w:lineRule="exact"/>
        <w:ind w:left="440" w:hanging="440"/>
        <w:jc w:val="both"/>
      </w:pPr>
      <w:r>
        <w:rPr>
          <w:rFonts w:ascii="Times New Roman" w:hAnsi="Times New Roman" w:eastAsia="宋体"/>
          <w:b/>
          <w:color w:val="000000"/>
          <w:sz w:val="18"/>
        </w:rPr>
        <w:t xml:space="preserve">1) </w:t>
      </w:r>
      <w:r>
        <w:rPr>
          <w:rFonts w:ascii="Times New Roman" w:hAnsi="Times New Roman" w:eastAsia="宋体"/>
          <w:b w:val="0"/>
          <w:i w:val="0"/>
          <w:color w:val="000000"/>
          <w:sz w:val="18"/>
        </w:rPr>
        <w:t>从BatchReceive 接口建立有明确省略边界的协议到模型映射，形式化刻画批内参与方互异条件，并区分参与方、发送实例和消息三个比较维度；</w:t>
      </w:r>
    </w:p>
    <w:p w14:paraId="568D1F7A">
      <w:pPr>
        <w:pStyle w:val="71"/>
        <w:spacing w:before="0" w:after="0" w:line="240" w:lineRule="exact"/>
        <w:ind w:left="440" w:hanging="440"/>
        <w:jc w:val="both"/>
      </w:pPr>
      <w:r>
        <w:rPr>
          <w:rFonts w:ascii="Times New Roman" w:hAnsi="Times New Roman" w:eastAsia="宋体"/>
          <w:b/>
          <w:color w:val="000000"/>
          <w:sz w:val="18"/>
        </w:rPr>
        <w:t xml:space="preserve">2) </w:t>
      </w:r>
      <w:r>
        <w:rPr>
          <w:rFonts w:ascii="Times New Roman" w:hAnsi="Times New Roman" w:eastAsia="宋体"/>
          <w:b w:val="0"/>
          <w:i w:val="0"/>
          <w:color w:val="000000"/>
          <w:sz w:val="18"/>
        </w:rPr>
        <w:t>在共同的两槽生命周期上构造三种受控准入模型，比较消息互异约束与参与方互异约束的作用，并用发送来源对应性和批内来源单射性描述发送—接受事件关系；通过14项性质及独立复核记录给出可核查的比较证据；</w:t>
      </w:r>
    </w:p>
    <w:p w14:paraId="74BBE416">
      <w:pPr>
        <w:pStyle w:val="71"/>
        <w:spacing w:before="0" w:after="0" w:line="240" w:lineRule="exact"/>
        <w:ind w:left="440" w:hanging="440"/>
        <w:jc w:val="both"/>
      </w:pPr>
      <w:r>
        <w:rPr>
          <w:rFonts w:ascii="Times New Roman" w:hAnsi="Times New Roman" w:eastAsia="宋体"/>
          <w:b/>
          <w:color w:val="000000"/>
          <w:sz w:val="18"/>
        </w:rPr>
        <w:t xml:space="preserve">3) </w:t>
      </w:r>
      <w:r>
        <w:rPr>
          <w:rFonts w:ascii="Times New Roman" w:hAnsi="Times New Roman" w:eastAsia="宋体"/>
          <w:b w:val="0"/>
          <w:i w:val="0"/>
          <w:color w:val="000000"/>
          <w:sz w:val="18"/>
        </w:rPr>
        <w:t>给出并机器验证消息级限制不能替代参与方关系的完整可达见证：同一参与方的不同发送实例和消息各有匹配发送来源，经过共同批次生命周期后产生两个接受事件；同时利用目标对照确认批内参与方互异性成立且有效批次可达。</w:t>
      </w:r>
    </w:p>
    <w:p w14:paraId="1E848AB7">
      <w:pPr>
        <w:pStyle w:val="65"/>
        <w:keepNext/>
        <w:spacing w:before="100" w:after="20"/>
      </w:pPr>
      <w:r>
        <w:rPr>
          <w:rFonts w:ascii="Times New Roman" w:hAnsi="Times New Roman" w:eastAsia="宋体"/>
          <w:b/>
          <w:i w:val="0"/>
          <w:color w:val="000000"/>
          <w:sz w:val="21"/>
        </w:rPr>
        <w:t>K-Waay协议及安全问题</w:t>
      </w:r>
    </w:p>
    <w:p w14:paraId="7E8C3EAA">
      <w:pPr>
        <w:pStyle w:val="66"/>
        <w:keepNext/>
        <w:spacing w:before="60" w:after="20"/>
      </w:pPr>
      <w:r>
        <w:rPr>
          <w:rFonts w:ascii="Times New Roman" w:hAnsi="Times New Roman" w:eastAsia="宋体"/>
          <w:b/>
          <w:i w:val="0"/>
          <w:color w:val="000000"/>
          <w:sz w:val="18"/>
        </w:rPr>
        <w:t>K-Waay 核心密钥交换流程</w:t>
      </w:r>
    </w:p>
    <w:p w14:paraId="78A49A81">
      <w:pPr>
        <w:pStyle w:val="71"/>
        <w:spacing w:before="0" w:after="0" w:line="240" w:lineRule="exact"/>
        <w:ind w:firstLine="360"/>
        <w:jc w:val="both"/>
      </w:pPr>
      <w:r>
        <w:rPr>
          <w:rFonts w:ascii="Times New Roman" w:hAnsi="Times New Roman" w:eastAsia="宋体"/>
          <w:b w:val="0"/>
          <w:i w:val="0"/>
          <w:color w:val="000000"/>
          <w:sz w:val="18"/>
        </w:rPr>
        <w:t>K-Waay 是面向异步通信的后量子可否认认证密钥交换协议，利用 KEM、签名和 split-KEM 实现发送方离线发起与接收方后续处理[2]。其核心接口包括密钥生成、预密钥初始化、发送及批量接收。本文关注 Figure 7 所示核心构造及完整稿中的接收接口，而非对原协议计算安全证明的重新推导[3]。</w:t>
      </w:r>
    </w:p>
    <w:p w14:paraId="6FDB5C8F">
      <w:pPr>
        <w:pStyle w:val="71"/>
        <w:spacing w:before="0" w:after="0" w:line="240" w:lineRule="exact"/>
        <w:ind w:firstLine="360"/>
        <w:jc w:val="both"/>
      </w:pPr>
      <w:r>
        <w:rPr>
          <w:rFonts w:ascii="Times New Roman" w:hAnsi="Times New Roman" w:eastAsia="宋体"/>
          <w:b w:val="0"/>
          <w:i w:val="0"/>
          <w:color w:val="000000"/>
          <w:sz w:val="18"/>
        </w:rPr>
        <w:t xml:space="preserve">设发送方为 </w:t>
      </w:r>
      <m:oMath>
        <m:box>
          <m:boxPr/>
          <m:e>
            <m:r>
              <m:rPr/>
              <w:rPr>
                <w:rFonts w:ascii="Cambria Math" w:hAnsi="Cambria Math" w:eastAsia="宋体"/>
                <w:color w:val="000000"/>
                <w:sz w:val="18"/>
              </w:rPr>
              <m:t>A</m:t>
            </m:r>
          </m:e>
        </m:box>
      </m:oMath>
      <w:r>
        <w:rPr>
          <w:rFonts w:ascii="Times New Roman" w:hAnsi="Times New Roman" w:eastAsia="宋体"/>
          <w:b w:val="0"/>
          <w:i w:val="0"/>
          <w:color w:val="000000"/>
          <w:sz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b w:val="0"/>
          <w:i w:val="0"/>
          <w:color w:val="000000"/>
          <w:sz w:val="18"/>
        </w:rPr>
        <w:t xml:space="preserve">。双方发布带签名的预密钥材料；发送方先验证接收方预密钥签名，再分别针对接收方长期 KEM 公钥和临时 KEM 公钥封装，并结合自身 split-KEM 秘密材料与接收方 split-KEM 公钥生成第三个分量。将三份密文及对应共享秘密记为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e>
        </m:box>
      </m:oMath>
      <w:r>
        <w:rPr>
          <w:rFonts w:ascii="Times New Roman" w:hAnsi="Times New Roman" w:eastAsia="宋体"/>
          <w:b w:val="0"/>
          <w:i w:val="0"/>
          <w:color w:val="000000"/>
          <w:sz w:val="18"/>
        </w:rPr>
        <w:t>、</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和 </w:t>
      </w:r>
      <m:oMath>
        <m:box>
          <m:boxPr/>
          <m:e>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w:r>
        <w:rPr>
          <w:rFonts w:ascii="Times New Roman" w:hAnsi="Times New Roman" w:eastAsia="宋体"/>
          <w:b w:val="0"/>
          <w:i w:val="0"/>
          <w:color w:val="000000"/>
          <w:sz w:val="18"/>
        </w:rPr>
        <w:t>。核心消息、会话标识与会话密钥表示为</w:t>
      </w:r>
    </w:p>
    <w:p w14:paraId="3E6A7117">
      <w:pPr>
        <w:pStyle w:val="74"/>
        <w:keepLines/>
        <w:tabs>
          <w:tab w:val="right" w:pos="4592"/>
        </w:tabs>
        <w:spacing w:before="40" w:after="40"/>
        <w:jc w:val="center"/>
      </w:pPr>
      <m:oMathPara>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r>
                <m:rPr>
                  <m:sty m:val="p"/>
                </m:rPr>
                <w:rPr>
                  <w:rFonts w:ascii="Cambria Math" w:hAnsi="Cambria Math" w:eastAsia="宋体"/>
                  <w:color w:val="000000"/>
                  <w:sz w:val="18"/>
                </w:rPr>
                <m:t>,</m:t>
              </m:r>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r>
                <m:rPr>
                  <m:sty m:val="p"/>
                </m:rPr>
                <w:rPr>
                  <w:rFonts w:ascii="Cambria Math" w:hAnsi="Cambria Math" w:eastAsia="宋体"/>
                  <w:color w:val="000000"/>
                  <w:sz w:val="18"/>
                </w:rPr>
                <m:t>),</m:t>
              </m:r>
            </m:e>
          </m:box>
        </m:oMath>
      </m:oMathPara>
      <w:r>
        <w:br w:type="textWrapping"/>
      </w:r>
      <m:oMathPara>
        <m:oMath>
          <m:box>
            <m:boxPr/>
            <m:e>
              <m:r>
                <m:rPr/>
                <w:rPr>
                  <w:rFonts w:ascii="Cambria Math" w:hAnsi="Cambria Math" w:eastAsia="宋体"/>
                  <w:color w:val="000000"/>
                  <w:sz w:val="18"/>
                </w:rPr>
                <m:t>sid</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e>
          </m:box>
        </m:oMath>
      </m:oMathPara>
      <w:r>
        <w:br w:type="textWrapping"/>
      </w:r>
      <m:oMathPara>
        <m:oMath>
          <m:box>
            <m:boxPr/>
            <m:e>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A</m:t>
                  </m:r>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r>
                    <m:rPr/>
                    <w:rPr>
                      <w:rFonts w:ascii="Cambria Math" w:hAnsi="Cambria Math" w:eastAsia="宋体"/>
                      <w:color w:val="000000"/>
                      <w:sz w:val="18"/>
                    </w:rPr>
                    <m:t>B</m:t>
                  </m:r>
                </m:sub>
              </m:sSub>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e>
          </m:box>
        </m:oMath>
      </m:oMathPara>
      <w:r>
        <w:br w:type="textWrapping"/>
      </w:r>
      <m:oMath>
        <m:box>
          <m:boxPr/>
          <m:e>
            <m:r>
              <m:rPr/>
              <w:rPr>
                <w:rFonts w:ascii="Cambria Math" w:hAnsi="Cambria Math" w:eastAsia="宋体"/>
                <w:color w:val="000000"/>
                <w:sz w:val="18"/>
              </w:rPr>
              <m:t>k</m:t>
            </m:r>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e>
        </m:box>
      </m:oMath>
      <w:r>
        <w:tab/>
      </w:r>
      <w:r>
        <w:t>(1)</w:t>
      </w:r>
    </w:p>
    <w:p w14:paraId="7FE6CC09">
      <w:pPr>
        <w:pStyle w:val="71"/>
        <w:spacing w:before="0" w:after="0" w:line="240" w:lineRule="exact"/>
        <w:ind w:firstLine="360"/>
        <w:jc w:val="both"/>
      </w:pPr>
      <w:r>
        <w:rPr>
          <w:rFonts w:ascii="Times New Roman" w:hAnsi="Times New Roman" w:eastAsia="宋体"/>
          <w:b w:val="0"/>
          <w:i w:val="0"/>
          <w:color w:val="000000"/>
          <w:sz w:val="18"/>
        </w:rPr>
        <w:t>其中，</w:t>
      </w:r>
      <m:oMath>
        <m:box>
          <m:boxPr/>
          <m:e>
            <m:box>
              <m:boxPr/>
              <m:e>
                <m:r>
                  <m:rPr>
                    <m:scr m:val="sans-serif"/>
                  </m:rPr>
                  <w:rPr>
                    <w:rFonts w:ascii="Cambria Math" w:hAnsi="Cambria Math" w:eastAsia="宋体"/>
                    <w:color w:val="000000"/>
                    <w:sz w:val="18"/>
                  </w:rPr>
                  <m:t>SID</m:t>
                </m:r>
              </m:e>
            </m:box>
          </m:e>
        </m:box>
      </m:oMath>
      <w:r>
        <w:rPr>
          <w:rFonts w:ascii="Times New Roman" w:hAnsi="Times New Roman" w:eastAsia="宋体"/>
          <w:b w:val="0"/>
          <w:i w:val="0"/>
          <w:color w:val="000000"/>
          <w:sz w:val="18"/>
        </w:rPr>
        <w:t xml:space="preserve"> 是对原协议身份、公钥、预密钥和完整消息转录本的简记，并非新增的密码算法。发送方公开发送 </w:t>
      </w:r>
      <m:oMath>
        <m:box>
          <m:boxPr/>
          <m:e>
            <m:r>
              <m:rPr/>
              <w:rPr>
                <w:rFonts w:ascii="Cambria Math" w:hAnsi="Cambria Math" w:eastAsia="宋体"/>
                <w:color w:val="000000"/>
                <w:sz w:val="18"/>
              </w:rPr>
              <m:t>m</m:t>
            </m:r>
          </m:e>
        </m:box>
      </m:oMath>
      <w:r>
        <w:rPr>
          <w:rFonts w:ascii="Times New Roman" w:hAnsi="Times New Roman" w:eastAsia="宋体"/>
          <w:b w:val="0"/>
          <w:i w:val="0"/>
          <w:color w:val="000000"/>
          <w:sz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 xml:space="preserve"> 不随消息公开。接收方先验证所声称发送方的预密钥签名，再使用本地长期、临时和 split-KEM 秘密材料解封装相应密文，并按相同字段顺序计算 </w:t>
      </w:r>
      <m:oMath>
        <m:box>
          <m:boxPr/>
          <m:e>
            <m:r>
              <m:rPr/>
              <w:rPr>
                <w:rFonts w:ascii="Cambria Math" w:hAnsi="Cambria Math" w:eastAsia="宋体"/>
                <w:color w:val="000000"/>
                <w:sz w:val="18"/>
              </w:rPr>
              <m:t>sid</m:t>
            </m:r>
          </m:e>
        </m:box>
      </m:oMath>
      <w:r>
        <w:rPr>
          <w:rFonts w:ascii="Times New Roman" w:hAnsi="Times New Roman" w:eastAsia="宋体"/>
          <w:b w:val="0"/>
          <w:i w:val="0"/>
          <w:color w:val="000000"/>
          <w:sz w:val="18"/>
        </w:rPr>
        <w:t xml:space="preserve"> 与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；其接收方预密钥来自本地状态，而不是由网络消息替换。</w:t>
      </w:r>
    </w:p>
    <w:p w14:paraId="507CC115">
      <w:pPr>
        <w:pStyle w:val="71"/>
        <w:spacing w:before="0" w:after="0" w:line="240" w:lineRule="exact"/>
        <w:ind w:firstLine="360"/>
        <w:jc w:val="both"/>
      </w:pPr>
      <w:r>
        <w:rPr>
          <w:rFonts w:ascii="Times New Roman" w:hAnsi="Times New Roman" w:eastAsia="宋体"/>
          <w:b w:val="0"/>
          <w:i w:val="0"/>
          <w:color w:val="000000"/>
          <w:sz w:val="18"/>
        </w:rPr>
        <w:t>这里必须区分三种保证：</w:t>
      </w:r>
      <w:r>
        <w:rPr>
          <w:rFonts w:ascii="Times New Roman" w:hAnsi="Times New Roman" w:eastAsia="宋体"/>
          <w:b w:val="0"/>
          <w:i/>
          <w:color w:val="000000"/>
          <w:sz w:val="18"/>
        </w:rPr>
        <w:t>解封装成功</w:t>
      </w:r>
      <w:r>
        <w:rPr>
          <w:rFonts w:ascii="Times New Roman" w:hAnsi="Times New Roman" w:eastAsia="宋体"/>
          <w:b w:val="0"/>
          <w:i w:val="0"/>
          <w:color w:val="000000"/>
          <w:sz w:val="18"/>
        </w:rPr>
        <w:t>表示局部密码处理可完成；</w:t>
      </w:r>
      <w:r>
        <w:rPr>
          <w:rFonts w:ascii="Times New Roman" w:hAnsi="Times New Roman" w:eastAsia="宋体"/>
          <w:b w:val="0"/>
          <w:i/>
          <w:color w:val="000000"/>
          <w:sz w:val="18"/>
        </w:rPr>
        <w:t>密钥机密性</w:t>
      </w:r>
      <w:r>
        <w:rPr>
          <w:rFonts w:ascii="Times New Roman" w:hAnsi="Times New Roman" w:eastAsia="宋体"/>
          <w:b w:val="0"/>
          <w:i w:val="0"/>
          <w:color w:val="000000"/>
          <w:sz w:val="18"/>
        </w:rPr>
        <w:t>要求攻击者不能推导会话密钥；</w:t>
      </w:r>
      <w:r>
        <w:rPr>
          <w:rFonts w:ascii="Times New Roman" w:hAnsi="Times New Roman" w:eastAsia="宋体"/>
          <w:b w:val="0"/>
          <w:i/>
          <w:color w:val="000000"/>
          <w:sz w:val="18"/>
        </w:rPr>
        <w:t>完整参数对应关系</w:t>
      </w:r>
      <w:r>
        <w:rPr>
          <w:rFonts w:ascii="Times New Roman" w:hAnsi="Times New Roman" w:eastAsia="宋体"/>
          <w:b w:val="0"/>
          <w:i w:val="0"/>
          <w:color w:val="000000"/>
          <w:sz w:val="18"/>
        </w:rPr>
        <w:t>则要求接收方的会话参数存在匹配的发送方完成过程。前两者不能直接推出第三者，这构成后文分析接收行为的起点。</w:t>
      </w:r>
    </w:p>
    <w:p w14:paraId="3F3C9D92">
      <w:pPr>
        <w:pStyle w:val="66"/>
        <w:keepNext/>
        <w:spacing w:before="60" w:after="20"/>
      </w:pPr>
      <w:r>
        <w:rPr>
          <w:rFonts w:ascii="Times New Roman" w:hAnsi="Times New Roman" w:eastAsia="宋体"/>
          <w:b/>
          <w:i w:val="0"/>
          <w:color w:val="000000"/>
          <w:sz w:val="18"/>
        </w:rPr>
        <w:t>BatchReceive 批量接收机制</w:t>
      </w:r>
    </w:p>
    <w:p w14:paraId="5B9FAA5A">
      <w:pPr>
        <w:pStyle w:val="71"/>
        <w:spacing w:before="0" w:after="0" w:line="240" w:lineRule="exact"/>
        <w:ind w:firstLine="360"/>
        <w:jc w:val="both"/>
      </w:pPr>
      <w:r>
        <w:rPr>
          <w:rFonts w:ascii="Times New Roman" w:hAnsi="Times New Roman" w:eastAsia="宋体"/>
          <w:b w:val="0"/>
          <w:i w:val="0"/>
          <w:color w:val="000000"/>
          <w:sz w:val="18"/>
        </w:rPr>
        <w:t>异步场景下，多名发送方可能使用接收方已发布的同一临时预密钥。K-Waay 因而允许接收方针对共享的本地临时状态调用一次 BatchReceive，处理一个输入向量[3]：</w:t>
      </w:r>
    </w:p>
    <w:p w14:paraId="479D83AE">
      <w:pPr>
        <w:pStyle w:val="74"/>
        <w:keepLines/>
        <w:tabs>
          <w:tab w:val="right" w:pos="4592"/>
        </w:tabs>
        <w:spacing w:before="40" w:after="40"/>
        <w:jc w:val="center"/>
      </w:pPr>
      <m:oMath>
        <m:box>
          <m:boxPr/>
          <m:e>
            <m:r>
              <m:rPr/>
              <w:rPr>
                <w:rFonts w:ascii="Cambria Math" w:hAnsi="Cambria Math" w:eastAsia="宋体"/>
                <w:color w:val="000000"/>
                <w:sz w:val="18"/>
              </w:rPr>
              <m:t>S</m:t>
            </m:r>
            <m:r>
              <m:rPr>
                <m:sty m:val="p"/>
              </m:rPr>
              <w:rPr>
                <w:rFonts w:ascii="Cambria Math" w:hAnsi="Cambria Math" w:eastAsia="宋体"/>
                <w:color w:val="000000"/>
                <w:sz w:val="18"/>
              </w:rPr>
              <m:t>=</m:t>
            </m:r>
            <m:d>
              <m:dPr>
                <m:endChr m:val=""/>
              </m:dPr>
              <m:e>
                <m:box>
                  <m:boxPr/>
                  <m:e>
                    <m:r>
                      <m:rPr>
                        <m:sty m:val="p"/>
                      </m:rPr>
                      <w:rPr>
                        <w:rFonts w:ascii="Cambria Math" w:hAnsi="Cambria Math" w:eastAsia="宋体"/>
                        <w:color w:val="000000"/>
                        <w:sz w:val="18"/>
                      </w:rPr>
                      <m:t>(</m:t>
                    </m:r>
                    <m:r>
                      <m:rPr/>
                      <w:rPr>
                        <w:rFonts w:ascii="Cambria Math" w:hAnsi="Cambria Math" w:eastAsia="宋体"/>
                        <w:color w:val="000000"/>
                        <w:sz w:val="18"/>
                      </w:rPr>
                      <m:t>p</m:t>
                    </m:r>
                    <m:sSub>
                      <m:sSubPr/>
                      <m:e>
                        <m:r>
                          <m:rPr/>
                          <w:rPr>
                            <w:rFonts w:ascii="Cambria Math" w:hAnsi="Cambria Math" w:eastAsia="宋体"/>
                            <w:color w:val="000000"/>
                            <w:sz w:val="18"/>
                          </w:rPr>
                          <m:t>k</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r>
                      <m:rPr/>
                      <w:rPr>
                        <w:rFonts w:ascii="Cambria Math" w:hAnsi="Cambria Math" w:eastAsia="宋体"/>
                        <w:color w:val="000000"/>
                        <w:sz w:val="18"/>
                      </w:rPr>
                      <m:t>preke</m:t>
                    </m:r>
                    <m:sSub>
                      <m:sSubPr/>
                      <m:e>
                        <m:r>
                          <m:rPr/>
                          <w:rPr>
                            <w:rFonts w:ascii="Cambria Math" w:hAnsi="Cambria Math" w:eastAsia="宋体"/>
                            <w:color w:val="000000"/>
                            <w:sz w:val="18"/>
                          </w:rPr>
                          <m:t>y</m:t>
                        </m:r>
                      </m:e>
                      <m:sub>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Sup>
                      <m:sSubSupPr/>
                      <m:e>
                        <m:r>
                          <m:rPr>
                            <m:sty m:val="p"/>
                          </m:rPr>
                          <w:rPr>
                            <w:rFonts w:ascii="Cambria Math" w:hAnsi="Cambria Math" w:eastAsia="宋体"/>
                            <w:color w:val="000000"/>
                            <w:sz w:val="18"/>
                          </w:rPr>
                          <m:t>)</m:t>
                        </m:r>
                      </m:e>
                      <m:sub>
                        <m:box>
                          <m:boxPr/>
                          <m:e>
                            <m:r>
                              <m:rPr/>
                              <w:rPr>
                                <w:rFonts w:ascii="Cambria Math" w:hAnsi="Cambria Math" w:eastAsia="宋体"/>
                                <w:color w:val="000000"/>
                                <w:sz w:val="18"/>
                              </w:rPr>
                              <m:t>i</m:t>
                            </m:r>
                            <m:r>
                              <m:rPr>
                                <m:sty m:val="p"/>
                              </m:rPr>
                              <w:rPr>
                                <w:rFonts w:ascii="Cambria Math" w:hAnsi="Cambria Math" w:eastAsia="宋体"/>
                                <w:color w:val="000000"/>
                                <w:sz w:val="18"/>
                              </w:rPr>
                              <m:t>=1</m:t>
                            </m:r>
                          </m:e>
                        </m:box>
                      </m:sub>
                      <m:sup>
                        <m:box>
                          <m:boxPr/>
                          <m:e>
                            <m:r>
                              <m:rPr/>
                              <w:rPr>
                                <w:rFonts w:ascii="Cambria Math" w:hAnsi="Cambria Math" w:eastAsia="宋体"/>
                                <w:color w:val="000000"/>
                                <w:sz w:val="18"/>
                              </w:rPr>
                              <m:t>d</m:t>
                            </m:r>
                          </m:e>
                        </m:box>
                      </m:sup>
                    </m:sSubSup>
                    <m:r>
                      <m:rPr>
                        <m:sty m:val="p"/>
                      </m:rPr>
                      <w:rPr>
                        <w:rFonts w:ascii="Cambria Math" w:hAnsi="Cambria Math" w:eastAsia="宋体"/>
                        <w:color w:val="000000"/>
                        <w:sz w:val="18"/>
                      </w:rPr>
                      <m:t>,</m:t>
                    </m:r>
                    <m:r>
                      <m:rPr/>
                      <w:rPr>
                        <w:rFonts w:ascii="Cambria Math" w:hAnsi="Cambria Math" w:eastAsia="宋体"/>
                        <w:color w:val="000000"/>
                        <w:sz w:val="18"/>
                      </w:rPr>
                      <m:t>d</m:t>
                    </m:r>
                    <m:r>
                      <m:rPr>
                        <m:sty m:val="p"/>
                      </m:rPr>
                      <w:rPr>
                        <w:rFonts w:ascii="Cambria Math" w:hAnsi="Cambria Math" w:eastAsia="宋体"/>
                        <w:color w:val="000000"/>
                        <w:sz w:val="18"/>
                      </w:rPr>
                      <m:t>≥1.</m:t>
                    </m:r>
                  </m:e>
                </m:box>
              </m:e>
            </m:d>
          </m:e>
        </m:box>
      </m:oMath>
      <w:r>
        <w:tab/>
      </w:r>
      <w:r>
        <w:t>(2)</w:t>
      </w:r>
    </w:p>
    <w:p w14:paraId="493B3B34">
      <w:pPr>
        <w:pStyle w:val="71"/>
        <w:spacing w:before="0" w:after="0" w:line="240" w:lineRule="exact"/>
        <w:ind w:firstLine="360"/>
        <w:jc w:val="both"/>
      </w:pPr>
      <w:r>
        <w:rPr>
          <w:rFonts w:ascii="Times New Roman" w:hAnsi="Times New Roman" w:eastAsia="宋体"/>
          <w:b w:val="0"/>
          <w:i w:val="0"/>
          <w:color w:val="000000"/>
          <w:sz w:val="18"/>
        </w:rPr>
        <w:t>每个位置关联一个发送方身份材料、预密钥束及消息；接收结果按照相应位置组织为密钥或失败值。原构造既有条目级失败处理，也有特定解封装失败导致的批次级失败，因此槽位中的局部计算不能无条件等同于最终批次成功返回。</w:t>
      </w:r>
    </w:p>
    <w:p w14:paraId="0C909CC4">
      <w:pPr>
        <w:pStyle w:val="71"/>
        <w:spacing w:before="0" w:after="0" w:line="240" w:lineRule="exact"/>
        <w:ind w:firstLine="360"/>
        <w:jc w:val="both"/>
      </w:pPr>
      <w:r>
        <w:rPr>
          <w:rFonts w:ascii="Times New Roman" w:hAnsi="Times New Roman" w:eastAsia="宋体"/>
          <w:b w:val="0"/>
          <w:i w:val="0"/>
          <w:color w:val="000000"/>
          <w:sz w:val="18"/>
        </w:rPr>
        <w:t>完整稿第 5.1 节明确要求，一次 BatchReceive 调用的不同输入条目对应</w:t>
      </w:r>
      <w:r>
        <w:rPr>
          <w:rFonts w:ascii="Times New Roman" w:hAnsi="Times New Roman" w:eastAsia="宋体"/>
          <w:b w:val="0"/>
          <w:i/>
          <w:color w:val="000000"/>
          <w:sz w:val="18"/>
        </w:rPr>
        <w:t>不同参与方</w:t>
      </w:r>
      <w:r>
        <w:rPr>
          <w:rFonts w:ascii="Times New Roman" w:hAnsi="Times New Roman" w:eastAsia="宋体"/>
          <w:b w:val="0"/>
          <w:i w:val="0"/>
          <w:color w:val="000000"/>
          <w:sz w:val="18"/>
        </w:rPr>
        <w:t xml:space="preserve">[3]。记 </w:t>
      </w:r>
      <m:oMath>
        <m:box>
          <m:boxPr/>
          <m:e>
            <m:sSub>
              <m:sSubPr/>
              <m:e>
                <m:r>
                  <m:rPr/>
                  <w:rPr>
                    <w:rFonts w:ascii="Cambria Math" w:hAnsi="Cambria Math" w:eastAsia="宋体"/>
                    <w:color w:val="000000"/>
                    <w:sz w:val="18"/>
                  </w:rPr>
                  <m:t>A</m:t>
                </m:r>
              </m:e>
              <m:sub>
                <m:r>
                  <m:rPr/>
                  <w:rPr>
                    <w:rFonts w:ascii="Cambria Math" w:hAnsi="Cambria Math" w:eastAsia="宋体"/>
                    <w:color w:val="000000"/>
                    <w:sz w:val="18"/>
                  </w:rPr>
                  <m:t>i</m:t>
                </m:r>
              </m:sub>
            </m:sSub>
          </m:e>
        </m:box>
      </m:oMath>
      <w:r>
        <w:rPr>
          <w:rFonts w:ascii="Times New Roman" w:hAnsi="Times New Roman" w:eastAsia="宋体"/>
          <w:b w:val="0"/>
          <w:i w:val="0"/>
          <w:color w:val="000000"/>
          <w:sz w:val="18"/>
        </w:rPr>
        <w:t xml:space="preserve"> 为第 </w:t>
      </w:r>
      <m:oMath>
        <m:box>
          <m:boxPr/>
          <m:e>
            <m:r>
              <m:rPr/>
              <w:rPr>
                <w:rFonts w:ascii="Cambria Math" w:hAnsi="Cambria Math" w:eastAsia="宋体"/>
                <w:color w:val="000000"/>
                <w:sz w:val="18"/>
              </w:rPr>
              <m:t>i</m:t>
            </m:r>
          </m:e>
        </m:box>
      </m:oMath>
      <w:r>
        <w:rPr>
          <w:rFonts w:ascii="Times New Roman" w:hAnsi="Times New Roman" w:eastAsia="宋体"/>
          <w:b w:val="0"/>
          <w:i w:val="0"/>
          <w:color w:val="000000"/>
          <w:sz w:val="18"/>
        </w:rPr>
        <w:t xml:space="preserve"> 个条目的参与方投影，该前置条件为</w:t>
      </w:r>
    </w:p>
    <w:p w14:paraId="21487C48">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DistinctPartyPerBatch</m:t>
                  </m:r>
                </m:e>
              </m:box>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i</m:t>
                </m:r>
              </m:sub>
            </m:sSub>
            <m:r>
              <m:rPr>
                <m:sty m:val="p"/>
              </m:rPr>
              <w:rPr>
                <w:rFonts w:ascii="Cambria Math" w:hAnsi="Cambria Math" w:eastAsia="宋体"/>
                <w:color w:val="000000"/>
                <w:sz w:val="18"/>
              </w:rPr>
              <m:t>≠</m:t>
            </m:r>
            <m:sSub>
              <m:sSubPr/>
              <m:e>
                <m:r>
                  <m:rPr/>
                  <w:rPr>
                    <w:rFonts w:ascii="Cambria Math" w:hAnsi="Cambria Math" w:eastAsia="宋体"/>
                    <w:color w:val="000000"/>
                    <w:sz w:val="18"/>
                  </w:rPr>
                  <m:t>A</m:t>
                </m:r>
              </m:e>
              <m:sub>
                <m:r>
                  <m:rPr/>
                  <w:rPr>
                    <w:rFonts w:ascii="Cambria Math" w:hAnsi="Cambria Math" w:eastAsia="宋体"/>
                    <w:color w:val="000000"/>
                    <w:sz w:val="18"/>
                  </w:rPr>
                  <m:t>j</m:t>
                </m:r>
              </m:sub>
            </m:sSub>
            <m:r>
              <m:rPr>
                <m:sty m:val="p"/>
              </m:rPr>
              <w:rPr>
                <w:rFonts w:ascii="Cambria Math" w:hAnsi="Cambria Math" w:eastAsia="宋体"/>
                <w:color w:val="000000"/>
                <w:sz w:val="18"/>
              </w:rPr>
              <m:t>.</m:t>
            </m:r>
          </m:e>
        </m:box>
      </m:oMath>
      <w:r>
        <w:tab/>
      </w:r>
      <w:r>
        <w:t>(3)</w:t>
      </w:r>
    </w:p>
    <w:p w14:paraId="63BDEE8D">
      <w:pPr>
        <w:pStyle w:val="71"/>
        <w:spacing w:before="0" w:after="0" w:line="240" w:lineRule="exact"/>
        <w:ind w:firstLine="360"/>
        <w:jc w:val="both"/>
      </w:pPr>
      <w:r>
        <w:rPr>
          <w:rFonts w:ascii="Times New Roman" w:hAnsi="Times New Roman" w:eastAsia="宋体"/>
          <w:b w:val="0"/>
          <w:i w:val="0"/>
          <w:color w:val="000000"/>
          <w:sz w:val="18"/>
        </w:rPr>
        <w:t>该要求仅约束同一次调用内的条目，不禁止同一参与方在其他批次或其他会话中再次发送。它比较的是参与方，而非消息字节、预密钥或发送发生。本文后续考察这一既有输入条件</w:t>
      </w:r>
      <w:r>
        <w:rPr>
          <w:rFonts w:ascii="Times New Roman" w:hAnsi="Times New Roman" w:eastAsia="宋体"/>
          <w:b w:val="0"/>
          <w:i/>
          <w:color w:val="000000"/>
          <w:sz w:val="18"/>
        </w:rPr>
        <w:t>未被维持</w:t>
      </w:r>
      <w:r>
        <w:rPr>
          <w:rFonts w:ascii="Times New Roman" w:hAnsi="Times New Roman" w:eastAsia="宋体"/>
          <w:b w:val="0"/>
          <w:i w:val="0"/>
          <w:color w:val="000000"/>
          <w:sz w:val="18"/>
        </w:rPr>
        <w:t>时的放宽输入模型，不将所得反例称为满足原协议前置条件的执行。</w:t>
      </w:r>
    </w:p>
    <w:p w14:paraId="27A2DEED">
      <w:pPr>
        <w:pStyle w:val="66"/>
        <w:keepNext/>
        <w:spacing w:before="60" w:after="20"/>
      </w:pPr>
      <w:r>
        <w:rPr>
          <w:rFonts w:ascii="Times New Roman" w:hAnsi="Times New Roman" w:eastAsia="宋体"/>
          <w:b/>
          <w:i w:val="0"/>
          <w:color w:val="000000"/>
          <w:sz w:val="18"/>
        </w:rPr>
        <w:t>接收端安全问题与研究范围</w:t>
      </w:r>
    </w:p>
    <w:p w14:paraId="704D2837">
      <w:pPr>
        <w:pStyle w:val="71"/>
        <w:spacing w:before="0" w:after="0" w:line="240" w:lineRule="exact"/>
        <w:ind w:firstLine="360"/>
        <w:jc w:val="both"/>
      </w:pPr>
      <w:r>
        <w:rPr>
          <w:rFonts w:ascii="Times New Roman" w:hAnsi="Times New Roman" w:eastAsia="宋体"/>
          <w:b w:val="0"/>
          <w:i w:val="0"/>
          <w:color w:val="000000"/>
          <w:sz w:val="18"/>
        </w:rPr>
        <w:t>本文考察两个相互关联但并不等价的问题：其一，接收方完成会话时，是否存在身份、</w:t>
      </w:r>
      <m:oMath>
        <m:box>
          <m:boxPr/>
          <m:e>
            <m:r>
              <m:rPr/>
              <w:rPr>
                <w:rFonts w:ascii="Cambria Math" w:hAnsi="Cambria Math" w:eastAsia="宋体"/>
                <w:color w:val="000000"/>
                <w:sz w:val="18"/>
              </w:rPr>
              <m:t>sid</m:t>
            </m:r>
          </m:e>
        </m:box>
      </m:oMath>
      <w:r>
        <w:rPr>
          <w:rFonts w:ascii="Times New Roman" w:hAnsi="Times New Roman" w:eastAsia="宋体"/>
          <w:b w:val="0"/>
          <w:i w:val="0"/>
          <w:color w:val="000000"/>
          <w:sz w:val="18"/>
        </w:rPr>
        <w:t xml:space="preserve"> 和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 xml:space="preserve"> 均匹配的发送方完成事件；其二，即使一条消息具有匹配发送来源或通过显式密钥确认，在放宽批次输入条件后，它是否仍可在同一批次中被重复接受。前者属于</w:t>
      </w:r>
      <w:r>
        <w:rPr>
          <w:rFonts w:ascii="Times New Roman" w:hAnsi="Times New Roman" w:eastAsia="宋体"/>
          <w:b w:val="0"/>
          <w:i/>
          <w:color w:val="000000"/>
          <w:sz w:val="18"/>
        </w:rPr>
        <w:t>完整参数对应关系</w:t>
      </w:r>
      <w:r>
        <w:rPr>
          <w:rFonts w:ascii="Times New Roman" w:hAnsi="Times New Roman" w:eastAsia="宋体"/>
          <w:b w:val="0"/>
          <w:i w:val="0"/>
          <w:color w:val="000000"/>
          <w:sz w:val="18"/>
        </w:rPr>
        <w:t>，后者属于</w:t>
      </w:r>
      <w:r>
        <w:rPr>
          <w:rFonts w:ascii="Times New Roman" w:hAnsi="Times New Roman" w:eastAsia="宋体"/>
          <w:b w:val="0"/>
          <w:i/>
          <w:color w:val="000000"/>
          <w:sz w:val="18"/>
        </w:rPr>
        <w:t>批内接收发生唯一性</w:t>
      </w:r>
      <w:r>
        <w:rPr>
          <w:rFonts w:ascii="Times New Roman" w:hAnsi="Times New Roman" w:eastAsia="宋体"/>
          <w:b w:val="0"/>
          <w:i w:val="0"/>
          <w:color w:val="000000"/>
          <w:sz w:val="18"/>
        </w:rPr>
        <w:t>。重复接受可能产生何种上层效果，尚需额外说明接收输出的消费方式，不能从接收事件本身直接推出真实会话安装。</w:t>
      </w:r>
    </w:p>
    <w:p w14:paraId="5A950A73">
      <w:pPr>
        <w:pStyle w:val="71"/>
        <w:spacing w:before="0" w:after="0" w:line="240" w:lineRule="exact"/>
        <w:ind w:firstLine="360"/>
        <w:jc w:val="both"/>
      </w:pPr>
      <w:r>
        <w:rPr>
          <w:rFonts w:ascii="Times New Roman" w:hAnsi="Times New Roman" w:eastAsia="宋体"/>
          <w:b w:val="0"/>
          <w:i w:val="0"/>
          <w:color w:val="000000"/>
          <w:sz w:val="18"/>
        </w:rPr>
        <w:t>为分别回答上述问题，本文对核心密码处理建立 ProVerif 单次接收符号模型，对共享状态、槽位及发生顺序建立 Tamarin 有界批次模型，并在明确前提下比较加固变体。研究结论仅适用于各自的符号模型及假设，不替代 K-Waay 原有的计算安全结论。</w:t>
      </w:r>
    </w:p>
    <w:p w14:paraId="3230F976">
      <w:pPr>
        <w:pStyle w:val="65"/>
        <w:keepNext/>
        <w:spacing w:before="100" w:after="20"/>
      </w:pPr>
      <w:r>
        <w:rPr>
          <w:rFonts w:ascii="Times New Roman" w:hAnsi="Times New Roman" w:eastAsia="宋体"/>
          <w:b/>
          <w:i w:val="0"/>
          <w:color w:val="000000"/>
          <w:sz w:val="21"/>
        </w:rPr>
        <w:t>形式化建模与安全性质</w:t>
      </w:r>
    </w:p>
    <w:p w14:paraId="4C73939B">
      <w:pPr>
        <w:pStyle w:val="66"/>
        <w:keepNext/>
        <w:spacing w:before="60" w:after="20"/>
      </w:pPr>
      <w:r>
        <w:rPr>
          <w:rFonts w:ascii="Times New Roman" w:hAnsi="Times New Roman" w:eastAsia="宋体"/>
          <w:b/>
          <w:i w:val="0"/>
          <w:color w:val="000000"/>
          <w:sz w:val="18"/>
        </w:rPr>
        <w:t>攻击者模型与研究假设</w:t>
      </w:r>
    </w:p>
    <w:p w14:paraId="3E808BC0">
      <w:pPr>
        <w:pStyle w:val="71"/>
        <w:spacing w:before="0" w:after="0" w:line="240" w:lineRule="exact"/>
        <w:ind w:firstLine="360"/>
        <w:jc w:val="both"/>
      </w:pPr>
      <w:r>
        <w:rPr>
          <w:rFonts w:ascii="Times New Roman" w:hAnsi="Times New Roman" w:eastAsia="宋体"/>
          <w:b w:val="0"/>
          <w:i w:val="0"/>
          <w:color w:val="000000"/>
          <w:sz w:val="18"/>
        </w:rPr>
        <w:t xml:space="preserve">本文采用 Dolev--Yao 主动网络攻击者：攻击者可读取公开材料，拦截、重组、替换及重放消息，但只能使用符号模型允许的构造与消去规则。普通 KEM 封装可由公开公钥执行，因此攻击者能够构造新的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l</m:t>
                </m:r>
              </m:sub>
            </m:sSub>
          </m:e>
        </m:box>
      </m:oMath>
      <w:r>
        <w:rPr>
          <w:rFonts w:ascii="Times New Roman" w:hAnsi="Times New Roman" w:eastAsia="宋体"/>
          <w:b w:val="0"/>
          <w:i w:val="0"/>
          <w:color w:val="000000"/>
          <w:sz w:val="18"/>
        </w:rPr>
        <w:t>、</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k</m:t>
                </m:r>
              </m:sub>
            </m:sSub>
          </m:e>
        </m:box>
      </m:oMath>
      <w:r>
        <w:rPr>
          <w:rFonts w:ascii="Times New Roman" w:hAnsi="Times New Roman" w:eastAsia="宋体"/>
          <w:b w:val="0"/>
          <w:i w:val="0"/>
          <w:color w:val="000000"/>
          <w:sz w:val="18"/>
        </w:rPr>
        <w:t xml:space="preserve">；在没有相应 split-KEM 秘密材料时，不能凭空生成匹配的诚实 </w:t>
      </w:r>
      <m:oMath>
        <m:box>
          <m:boxPr/>
          <m:e>
            <m:r>
              <m:rPr/>
              <w:rPr>
                <w:rFonts w:ascii="Cambria Math" w:hAnsi="Cambria Math" w:eastAsia="宋体"/>
                <w:color w:val="000000"/>
                <w:sz w:val="18"/>
              </w:rPr>
              <m:t>c</m:t>
            </m:r>
            <m:sSub>
              <m:sSubPr/>
              <m:e>
                <m:r>
                  <m:rPr/>
                  <w:rPr>
                    <w:rFonts w:ascii="Cambria Math" w:hAnsi="Cambria Math" w:eastAsia="宋体"/>
                    <w:color w:val="000000"/>
                    <w:sz w:val="18"/>
                  </w:rPr>
                  <m:t>t</m:t>
                </m:r>
              </m:e>
              <m:sub>
                <m:r>
                  <m:rPr/>
                  <w:rPr>
                    <w:rFonts w:ascii="Cambria Math" w:hAnsi="Cambria Math" w:eastAsia="宋体"/>
                    <w:color w:val="000000"/>
                    <w:sz w:val="18"/>
                  </w:rPr>
                  <m:t>s</m:t>
                </m:r>
              </m:sub>
            </m:sSub>
          </m:e>
        </m:box>
      </m:oMath>
      <w:r>
        <w:rPr>
          <w:rFonts w:ascii="Times New Roman" w:hAnsi="Times New Roman" w:eastAsia="宋体"/>
          <w:b w:val="0"/>
          <w:i w:val="0"/>
          <w:color w:val="000000"/>
          <w:sz w:val="18"/>
        </w:rPr>
        <w:t>，但可以复用已观察到的分量。主要无泄露实验不开放秘密状态，独立泄露实验仅按各自模型解释。</w:t>
      </w:r>
    </w:p>
    <w:p w14:paraId="7362FF62">
      <w:pPr>
        <w:pStyle w:val="71"/>
        <w:spacing w:before="0" w:after="0" w:line="240" w:lineRule="exact"/>
        <w:ind w:firstLine="360"/>
        <w:jc w:val="both"/>
      </w:pPr>
      <w:r>
        <w:rPr>
          <w:rFonts w:ascii="Times New Roman" w:hAnsi="Times New Roman" w:eastAsia="宋体"/>
          <w:b w:val="0"/>
          <w:i w:val="0"/>
          <w:color w:val="000000"/>
          <w:sz w:val="18"/>
        </w:rPr>
        <w:t>批次模型还允许攻击者在抽象输入边界选择条目及其槽位，包括重复投递已观察到的有效消息。这是</w:t>
      </w:r>
      <w:r>
        <w:rPr>
          <w:rFonts w:ascii="Times New Roman" w:hAnsi="Times New Roman" w:eastAsia="宋体"/>
          <w:b w:val="0"/>
          <w:i/>
          <w:color w:val="000000"/>
          <w:sz w:val="18"/>
        </w:rPr>
        <w:t>模型中的批次组合能力</w:t>
      </w:r>
      <w:r>
        <w:rPr>
          <w:rFonts w:ascii="Times New Roman" w:hAnsi="Times New Roman" w:eastAsia="宋体"/>
          <w:b w:val="0"/>
          <w:i w:val="0"/>
          <w:color w:val="000000"/>
          <w:sz w:val="18"/>
        </w:rPr>
        <w:t>，并不证明攻击者能够操控真实部署的批次构造组件。下述 ProVerif 与 Tamarin 模型有不同的事件和密码学抽象，彼此结果不构成一条自动衔接的攻击轨迹。</w:t>
      </w:r>
    </w:p>
    <w:p w14:paraId="5D9A855E">
      <w:pPr>
        <w:pStyle w:val="66"/>
        <w:keepNext/>
        <w:spacing w:before="60" w:after="20"/>
      </w:pPr>
      <w:r>
        <w:rPr>
          <w:rFonts w:ascii="Times New Roman" w:hAnsi="Times New Roman" w:eastAsia="宋体"/>
          <w:b/>
          <w:i w:val="0"/>
          <w:color w:val="000000"/>
          <w:sz w:val="18"/>
        </w:rPr>
        <w:t>ProVerif 核心模型</w:t>
      </w:r>
    </w:p>
    <w:p w14:paraId="48AAA3AB">
      <w:pPr>
        <w:pStyle w:val="71"/>
        <w:spacing w:before="0" w:after="0" w:line="240" w:lineRule="exact"/>
        <w:ind w:firstLine="360"/>
        <w:jc w:val="both"/>
      </w:pPr>
      <w:r>
        <w:rPr>
          <w:rFonts w:ascii="Times New Roman" w:hAnsi="Times New Roman" w:eastAsia="宋体"/>
          <w:b w:val="0"/>
          <w:i w:val="0"/>
          <w:color w:val="000000"/>
          <w:sz w:val="18"/>
        </w:rPr>
        <w:t>ProVerif 模型保留式(1)中的三密文消息、预密钥签名检查、KEM/split-KEM 解封装和密钥派生，以公开信道表示网络。发送方从网络获得声称的接收方预密钥；接收方使用本地保存的接收方预密钥与解封装秘密。模型采用</w:t>
      </w:r>
      <w:r>
        <w:rPr>
          <w:rFonts w:ascii="Times New Roman" w:hAnsi="Times New Roman" w:eastAsia="宋体"/>
          <w:b w:val="0"/>
          <w:i/>
          <w:color w:val="000000"/>
          <w:sz w:val="18"/>
        </w:rPr>
        <w:t>单次接收抽象</w:t>
      </w:r>
      <w:r>
        <w:rPr>
          <w:rFonts w:ascii="Times New Roman" w:hAnsi="Times New Roman" w:eastAsia="宋体"/>
          <w:b w:val="0"/>
          <w:i w:val="0"/>
          <w:color w:val="000000"/>
          <w:sz w:val="18"/>
        </w:rPr>
        <w:t>，不包含 BatchReceive 的批次槽位与关闭状态。</w:t>
      </w:r>
    </w:p>
    <w:p w14:paraId="2A8264A9">
      <w:pPr>
        <w:pStyle w:val="71"/>
        <w:spacing w:before="0" w:after="0" w:line="240" w:lineRule="exact"/>
        <w:ind w:firstLine="360"/>
        <w:jc w:val="both"/>
      </w:pPr>
      <w:r>
        <w:rPr>
          <w:rFonts w:ascii="Times New Roman" w:hAnsi="Times New Roman" w:eastAsia="宋体"/>
          <w:b w:val="0"/>
          <w:i w:val="0"/>
          <w:color w:val="000000"/>
          <w:sz w:val="18"/>
        </w:rPr>
        <w:t xml:space="preserve">双方导出密钥时分别记录 </w:t>
      </w:r>
      <m:oMath>
        <m:box>
          <m:boxPr/>
          <m:e>
            <m:box>
              <m:boxPr/>
              <m:e>
                <m:r>
                  <m:rPr>
                    <m:scr m:val="sans-serif"/>
                  </m:rPr>
                  <w:rPr>
                    <w:rFonts w:ascii="Cambria Math" w:hAnsi="Cambria Math" w:eastAsia="宋体"/>
                    <w:color w:val="000000"/>
                    <w:sz w:val="18"/>
                  </w:rPr>
                  <m:t>SenderKey</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与 </w:t>
      </w:r>
      <m:oMath>
        <m:box>
          <m:boxPr/>
          <m:e>
            <m:box>
              <m:boxPr/>
              <m:e>
                <m:r>
                  <m:rPr>
                    <m:scr m:val="sans-serif"/>
                  </m:rPr>
                  <w:rPr>
                    <w:rFonts w:ascii="Cambria Math" w:hAnsi="Cambria Math" w:eastAsia="宋体"/>
                    <w:color w:val="000000"/>
                    <w:sz w:val="18"/>
                  </w:rPr>
                  <m:t>ReceiverKey</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；发送方完成和接收方完成分别记录</w:t>
      </w:r>
    </w:p>
    <w:p w14:paraId="04A7F853">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m:oMathPara>
      <w:r>
        <w:br w:type="textWrapping"/>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(4)</w:t>
      </w:r>
    </w:p>
    <w:p w14:paraId="55308EDB">
      <w:pPr>
        <w:pStyle w:val="71"/>
        <w:spacing w:before="0" w:after="0" w:line="240" w:lineRule="exact"/>
        <w:ind w:firstLine="360"/>
        <w:jc w:val="both"/>
      </w:pPr>
      <w:r>
        <w:rPr>
          <w:rFonts w:ascii="Times New Roman" w:hAnsi="Times New Roman" w:eastAsia="宋体"/>
          <w:b w:val="0"/>
          <w:i w:val="0"/>
          <w:color w:val="000000"/>
          <w:sz w:val="18"/>
        </w:rPr>
        <w:t>发送方的完成事件位于核心消息输出之后；原始模型的接收完成事件位于成功解封装及密钥派生之后。另以分量发送和分量接受事件检查 split-KEM 来源。上述事件是</w:t>
      </w:r>
      <w:r>
        <w:rPr>
          <w:rFonts w:ascii="Times New Roman" w:hAnsi="Times New Roman" w:eastAsia="宋体"/>
          <w:b w:val="0"/>
          <w:i/>
          <w:color w:val="000000"/>
          <w:sz w:val="18"/>
        </w:rPr>
        <w:t>模型观察点</w:t>
      </w:r>
      <w:r>
        <w:rPr>
          <w:rFonts w:ascii="Times New Roman" w:hAnsi="Times New Roman" w:eastAsia="宋体"/>
          <w:b w:val="0"/>
          <w:i w:val="0"/>
          <w:color w:val="000000"/>
          <w:sz w:val="18"/>
        </w:rPr>
        <w:t>，</w:t>
      </w:r>
      <m:oMath>
        <m:box>
          <m:boxPr/>
          <m:e>
            <m:box>
              <m:boxPr/>
              <m:e>
                <m:r>
                  <m:rPr>
                    <m:scr m:val="sans-serif"/>
                  </m:rPr>
                  <w:rPr>
                    <w:rFonts w:ascii="Cambria Math" w:hAnsi="Cambria Math" w:eastAsia="宋体"/>
                    <w:color w:val="000000"/>
                    <w:sz w:val="18"/>
                  </w:rPr>
                  <m:t>RecvDone</m:t>
                </m:r>
              </m:e>
            </m:box>
          </m:e>
        </m:box>
      </m:oMath>
      <w:r>
        <w:rPr>
          <w:rFonts w:ascii="Times New Roman" w:hAnsi="Times New Roman" w:eastAsia="宋体"/>
          <w:b w:val="0"/>
          <w:i w:val="0"/>
          <w:color w:val="000000"/>
          <w:sz w:val="18"/>
        </w:rPr>
        <w:t xml:space="preserve"> 不表示真实软件已安装会话。独立的 HMAC 变体在接收完成前增加确认检查；具体机制及验证对照留待第3章。</w:t>
      </w:r>
    </w:p>
    <w:p w14:paraId="2C189EA3">
      <w:pPr>
        <w:pStyle w:val="66"/>
        <w:keepNext/>
        <w:spacing w:before="60" w:after="20"/>
      </w:pPr>
      <w:r>
        <w:rPr>
          <w:rFonts w:ascii="Times New Roman" w:hAnsi="Times New Roman" w:eastAsia="宋体"/>
          <w:b/>
          <w:i w:val="0"/>
          <w:color w:val="000000"/>
          <w:sz w:val="18"/>
        </w:rPr>
        <w:t>Tamarin 批次模型</w:t>
      </w:r>
    </w:p>
    <w:p w14:paraId="0FD54303">
      <w:pPr>
        <w:pStyle w:val="71"/>
        <w:spacing w:before="0" w:after="0" w:line="240" w:lineRule="exact"/>
        <w:ind w:firstLine="360"/>
        <w:jc w:val="both"/>
      </w:pPr>
      <w:r>
        <w:rPr>
          <w:rFonts w:ascii="Times New Roman" w:hAnsi="Times New Roman" w:eastAsia="宋体"/>
          <w:b w:val="0"/>
          <w:i w:val="0"/>
          <w:color w:val="000000"/>
          <w:sz w:val="18"/>
        </w:rPr>
        <w:t xml:space="preserve">Tamarin 使用多集重写规则表达线性状态和事件先后关系[6]。接收状态实例以 </w:t>
      </w:r>
      <m:oMath>
        <m:box>
          <m:boxPr/>
          <m:e>
            <m:r>
              <m:rPr/>
              <w:rPr>
                <w:rFonts w:ascii="Cambria Math" w:hAnsi="Cambria Math" w:eastAsia="宋体"/>
                <w:color w:val="000000"/>
                <w:sz w:val="18"/>
              </w:rPr>
              <m:t>rst</m:t>
            </m:r>
          </m:e>
        </m:box>
      </m:oMath>
      <w:r>
        <w:rPr>
          <w:rFonts w:ascii="Times New Roman" w:hAnsi="Times New Roman" w:eastAsia="宋体"/>
          <w:b w:val="0"/>
          <w:i w:val="0"/>
          <w:color w:val="000000"/>
          <w:sz w:val="18"/>
        </w:rPr>
        <w:t xml:space="preserve"> 标识，批次以 </w:t>
      </w:r>
      <m:oMath>
        <m:box>
          <m:boxPr/>
          <m:e>
            <m:r>
              <m:rPr/>
              <w:rPr>
                <w:rFonts w:ascii="Cambria Math" w:hAnsi="Cambria Math" w:eastAsia="宋体"/>
                <w:color w:val="000000"/>
                <w:sz w:val="18"/>
              </w:rPr>
              <m:t>bid</m:t>
            </m:r>
          </m:e>
        </m:box>
      </m:oMath>
      <w:r>
        <w:rPr>
          <w:rFonts w:ascii="Times New Roman" w:hAnsi="Times New Roman" w:eastAsia="宋体"/>
          <w:b w:val="0"/>
          <w:i w:val="0"/>
          <w:color w:val="000000"/>
          <w:sz w:val="18"/>
        </w:rPr>
        <w:t xml:space="preserve"> 标识，同批槽位以 </w:t>
      </w:r>
      <m:oMath>
        <m:box>
          <m:boxPr/>
          <m:e>
            <m:r>
              <m:rPr/>
              <w:rPr>
                <w:rFonts w:ascii="Cambria Math" w:hAnsi="Cambria Math" w:eastAsia="宋体"/>
                <w:color w:val="000000"/>
                <w:sz w:val="18"/>
              </w:rPr>
              <m:t>idx</m:t>
            </m:r>
          </m:e>
        </m:box>
      </m:oMath>
      <w:r>
        <w:rPr>
          <w:rFonts w:ascii="Times New Roman" w:hAnsi="Times New Roman" w:eastAsia="宋体"/>
          <w:b w:val="0"/>
          <w:i w:val="0"/>
          <w:color w:val="000000"/>
          <w:sz w:val="18"/>
        </w:rPr>
        <w:t xml:space="preserve"> 区分；输入收集、封闭、逐槽处理及批次完成或失败由线性事实约束。这些阶段是本文的</w:t>
      </w:r>
      <w:r>
        <w:rPr>
          <w:rFonts w:ascii="Times New Roman" w:hAnsi="Times New Roman" w:eastAsia="宋体"/>
          <w:b w:val="0"/>
          <w:i/>
          <w:color w:val="000000"/>
          <w:sz w:val="18"/>
        </w:rPr>
        <w:t>符号建模分解</w:t>
      </w:r>
      <w:r>
        <w:rPr>
          <w:rFonts w:ascii="Times New Roman" w:hAnsi="Times New Roman" w:eastAsia="宋体"/>
          <w:b w:val="0"/>
          <w:i w:val="0"/>
          <w:color w:val="000000"/>
          <w:sz w:val="18"/>
        </w:rPr>
        <w:t>，并非原协议新增加的算法接口。V6/V7 用于验证状态和生命周期约束，其中 V7 为固定四槽模型；批内重放与后续加固主要采用固定两槽模型。</w:t>
      </w:r>
    </w:p>
    <w:p w14:paraId="3F24FC93">
      <w:pPr>
        <w:pStyle w:val="71"/>
        <w:spacing w:before="0" w:after="0" w:line="240" w:lineRule="exact"/>
        <w:ind w:firstLine="360"/>
        <w:jc w:val="both"/>
      </w:pPr>
      <w:r>
        <w:rPr>
          <w:rFonts w:ascii="Times New Roman" w:hAnsi="Times New Roman" w:eastAsia="宋体"/>
          <w:b w:val="0"/>
          <w:i w:val="0"/>
          <w:color w:val="000000"/>
          <w:sz w:val="18"/>
        </w:rPr>
        <w:t xml:space="preserve">在历史重放模型中，发送完成事件为 </w:t>
      </w:r>
      <m:oMath>
        <m:box>
          <m:boxPr/>
          <m:e>
            <m:box>
              <m:boxPr/>
              <m:e>
                <m:r>
                  <m:rPr>
                    <m:scr m:val="sans-serif"/>
                  </m:rPr>
                  <w:rPr>
                    <w:rFonts w:ascii="Cambria Math" w:hAnsi="Cambria Math" w:eastAsia="宋体"/>
                    <w:color w:val="000000"/>
                    <w:sz w:val="18"/>
                  </w:rPr>
                  <m:t>SenderSession</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；接收发生事件为</w:t>
      </w:r>
    </w:p>
    <w:p w14:paraId="2C194C4E">
      <w:pPr>
        <w:pStyle w:val="74"/>
        <w:keepLines/>
        <w:tabs>
          <w:tab w:val="right" w:pos="4592"/>
        </w:tabs>
        <w:spacing w:before="40" w:after="40"/>
        <w:jc w:val="center"/>
      </w:pPr>
      <m:oMath>
        <m:box>
          <m:boxPr/>
          <m:e>
            <m:box>
              <m:boxPr/>
              <m:e>
                <m:r>
                  <m:rPr>
                    <m:scr m:val="sans-serif"/>
                  </m:rPr>
                  <w:rPr>
                    <w:rFonts w:ascii="Cambria Math" w:hAnsi="Cambria Math" w:eastAsia="宋体"/>
                    <w:color w:val="000000"/>
                    <w:sz w:val="18"/>
                  </w:rPr>
                  <m:t>ReceiverAccept</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(5)</w:t>
      </w:r>
    </w:p>
    <w:p w14:paraId="7788CD8D">
      <w:pPr>
        <w:pStyle w:val="71"/>
        <w:spacing w:before="0" w:after="0" w:line="240" w:lineRule="exact"/>
        <w:ind w:firstLine="360"/>
        <w:jc w:val="both"/>
      </w:pPr>
      <w:r>
        <w:rPr>
          <w:rFonts w:ascii="Times New Roman" w:hAnsi="Times New Roman" w:eastAsia="宋体"/>
          <w:b w:val="0"/>
          <w:i w:val="0"/>
          <w:color w:val="000000"/>
          <w:sz w:val="18"/>
        </w:rPr>
        <w:t>模型以持久的诚实会话来源事实抽象成功解封装与参数匹配，同时保留不同槽位对同一来源的重复读取可能性；它</w:t>
      </w:r>
      <w:r>
        <w:rPr>
          <w:rFonts w:ascii="Times New Roman" w:hAnsi="Times New Roman" w:eastAsia="宋体"/>
          <w:b w:val="0"/>
          <w:i/>
          <w:color w:val="000000"/>
          <w:sz w:val="18"/>
        </w:rPr>
        <w:t>不独立重演</w:t>
      </w:r>
      <w:r>
        <w:rPr>
          <w:rFonts w:ascii="Times New Roman" w:hAnsi="Times New Roman" w:eastAsia="宋体"/>
          <w:b w:val="0"/>
          <w:i w:val="0"/>
          <w:color w:val="000000"/>
          <w:sz w:val="18"/>
        </w:rPr>
        <w:t xml:space="preserve"> ProVerif 中的全部密码检查。HMAC-only 模型增加确认消息及对应接受事件；影响模型另引入有条件的输出消费与符号安装层。独立的 RQ-v2 准入原型只比较消息和参与方坐标，其发送发生标识并非协议会话标识 </w:t>
      </w:r>
      <m:oMath>
        <m:box>
          <m:boxPr/>
          <m:e>
            <m:r>
              <m:rPr/>
              <w:rPr>
                <w:rFonts w:ascii="Cambria Math" w:hAnsi="Cambria Math" w:eastAsia="宋体"/>
                <w:color w:val="000000"/>
                <w:sz w:val="18"/>
              </w:rPr>
              <m:t>sid</m:t>
            </m:r>
          </m:e>
        </m:box>
      </m:oMath>
      <w:r>
        <w:rPr>
          <w:rFonts w:ascii="Times New Roman" w:hAnsi="Times New Roman" w:eastAsia="宋体"/>
          <w:b w:val="0"/>
          <w:i w:val="0"/>
          <w:color w:val="000000"/>
          <w:sz w:val="18"/>
        </w:rPr>
        <w:t>。这些理论的同名事件不能直接互换。</w:t>
      </w:r>
    </w:p>
    <w:p w14:paraId="2ADD210A">
      <w:pPr>
        <w:pStyle w:val="66"/>
        <w:keepNext/>
        <w:spacing w:before="60" w:after="20"/>
      </w:pPr>
      <w:r>
        <w:rPr>
          <w:rFonts w:ascii="Times New Roman" w:hAnsi="Times New Roman" w:eastAsia="宋体"/>
          <w:b/>
          <w:i w:val="0"/>
          <w:color w:val="000000"/>
          <w:sz w:val="18"/>
        </w:rPr>
        <w:t>安全性质与验证分工</w:t>
      </w:r>
    </w:p>
    <w:p w14:paraId="5BC3CAC2">
      <w:pPr>
        <w:pStyle w:val="71"/>
        <w:spacing w:before="0" w:after="0" w:line="240" w:lineRule="exact"/>
        <w:ind w:firstLine="360"/>
        <w:jc w:val="both"/>
      </w:pPr>
      <w:r>
        <w:rPr>
          <w:rFonts w:ascii="Times New Roman" w:hAnsi="Times New Roman" w:eastAsia="宋体"/>
          <w:b w:val="0"/>
          <w:i w:val="0"/>
          <w:color w:val="000000"/>
          <w:sz w:val="18"/>
        </w:rPr>
        <w:t xml:space="preserve">本文将安全目标分层，而不视为可互相替代的单一认证性质。P0-S 检查发送方或接收方密钥事件中的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 xml:space="preserve"> 是否可由攻击者推导；P0-O 检查已接受 split-KEM 分量是否具有匹配发送来源。P1 要求每个接收完成具有更早且参数完全一致的发送完成，形式为</w:t>
      </w:r>
    </w:p>
    <w:p w14:paraId="2FE472B1">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@r⟹</m:t>
              </m:r>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&lt;</m:t>
            </m:r>
            <m:r>
              <m:rPr/>
              <w:rPr>
                <w:rFonts w:ascii="Cambria Math" w:hAnsi="Cambria Math" w:eastAsia="宋体"/>
                <w:color w:val="000000"/>
                <w:sz w:val="18"/>
              </w:rPr>
              <m:t>r:</m:t>
            </m:r>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r>
              <m:rPr/>
              <w:rPr>
                <w:rFonts w:ascii="Cambria Math" w:hAnsi="Cambria Math" w:eastAsia="宋体"/>
                <w:color w:val="000000"/>
                <w:sz w:val="18"/>
              </w:rPr>
              <m:t>@s</m:t>
            </m:r>
            <m:r>
              <m:rPr>
                <m:sty m:val="p"/>
              </m:rPr>
              <w:rPr>
                <w:rFonts w:ascii="Cambria Math" w:hAnsi="Cambria Math" w:eastAsia="宋体"/>
                <w:color w:val="000000"/>
                <w:sz w:val="18"/>
              </w:rPr>
              <m:t>.</m:t>
            </m:r>
          </m:e>
        </m:box>
      </m:oMath>
      <w:r>
        <w:tab/>
      </w:r>
      <w:r>
        <w:t>(6)</w:t>
      </w:r>
    </w:p>
    <w:p w14:paraId="36DFCDAF">
      <w:pPr>
        <w:pStyle w:val="71"/>
        <w:spacing w:before="0" w:after="0" w:line="240" w:lineRule="exact"/>
        <w:ind w:firstLine="360"/>
        <w:jc w:val="both"/>
      </w:pPr>
      <w:r>
        <w:rPr>
          <w:rFonts w:ascii="Times New Roman" w:hAnsi="Times New Roman" w:eastAsia="宋体"/>
          <w:b w:val="0"/>
          <w:i w:val="0"/>
          <w:color w:val="000000"/>
          <w:sz w:val="18"/>
        </w:rPr>
        <w:t>该性质为</w:t>
      </w:r>
      <w:r>
        <w:rPr>
          <w:rFonts w:ascii="Times New Roman" w:hAnsi="Times New Roman" w:eastAsia="宋体"/>
          <w:b w:val="0"/>
          <w:i/>
          <w:color w:val="000000"/>
          <w:sz w:val="18"/>
        </w:rPr>
        <w:t>非单射对应关系</w:t>
      </w:r>
      <w:r>
        <w:rPr>
          <w:rFonts w:ascii="Times New Roman" w:hAnsi="Times New Roman" w:eastAsia="宋体"/>
          <w:b w:val="0"/>
          <w:i w:val="0"/>
          <w:color w:val="000000"/>
          <w:sz w:val="18"/>
        </w:rPr>
        <w:t>，即同一个发送完成可以匹配多次接收；它不能保证重放防护。</w:t>
      </w:r>
    </w:p>
    <w:p w14:paraId="789BC76F">
      <w:pPr>
        <w:pStyle w:val="71"/>
        <w:spacing w:before="0" w:after="0" w:line="240" w:lineRule="exact"/>
        <w:ind w:firstLine="360"/>
        <w:jc w:val="both"/>
      </w:pPr>
      <w:r>
        <w:rPr>
          <w:rFonts w:ascii="Times New Roman" w:hAnsi="Times New Roman" w:eastAsia="宋体"/>
          <w:b w:val="0"/>
          <w:i w:val="0"/>
          <w:color w:val="000000"/>
          <w:sz w:val="18"/>
        </w:rPr>
        <w:t>P2 针对有界批次中的接收</w:t>
      </w:r>
      <w:r>
        <w:rPr>
          <w:rFonts w:ascii="Times New Roman" w:hAnsi="Times New Roman" w:eastAsia="宋体"/>
          <w:b w:val="0"/>
          <w:i/>
          <w:color w:val="000000"/>
          <w:sz w:val="18"/>
        </w:rPr>
        <w:t>发生</w:t>
      </w:r>
      <w:r>
        <w:rPr>
          <w:rFonts w:ascii="Times New Roman" w:hAnsi="Times New Roman" w:eastAsia="宋体"/>
          <w:b w:val="0"/>
          <w:i w:val="0"/>
          <w:color w:val="000000"/>
          <w:sz w:val="18"/>
        </w:rPr>
        <w:t xml:space="preserve">。令 </w:t>
      </w:r>
      <m:oMath>
        <m:box>
          <m:boxPr/>
          <m:e>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sid</m:t>
            </m:r>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w:t>
      </w:r>
      <m:oMath>
        <m:box>
          <m:boxPr/>
          <m:e>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w:t>
      </w:r>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idx</m:t>
            </m:r>
            <m:r>
              <m:rPr>
                <m:sty m:val="p"/>
              </m:rPr>
              <w:rPr>
                <w:rFonts w:ascii="Cambria Math" w:hAnsi="Cambria Math" w:eastAsia="宋体"/>
                <w:color w:val="000000"/>
                <w:sz w:val="18"/>
              </w:rPr>
              <m:t>)</m:t>
            </m:r>
            <m:r>
              <m:rPr/>
              <w:rPr>
                <w:rFonts w:ascii="Cambria Math" w:hAnsi="Cambria Math" w:eastAsia="宋体"/>
                <w:color w:val="000000"/>
                <w:sz w:val="18"/>
              </w:rPr>
              <m:t>@r</m:t>
            </m:r>
          </m:e>
        </m:box>
      </m:oMath>
      <w:r>
        <w:rPr>
          <w:rFonts w:ascii="Times New Roman" w:hAnsi="Times New Roman" w:eastAsia="宋体"/>
          <w:b w:val="0"/>
          <w:i w:val="0"/>
          <w:color w:val="000000"/>
          <w:sz w:val="18"/>
        </w:rPr>
        <w:t xml:space="preserve"> 表示式(5)中的接收事件，且发送来源的存在性与唯一性分别受相应引理约束。批内发生单射性的核心限制为</w:t>
      </w:r>
    </w:p>
    <w:p w14:paraId="6A0AB4FE">
      <w:pPr>
        <w:pStyle w:val="74"/>
        <w:keepLines/>
        <w:tabs>
          <w:tab w:val="right" w:pos="4592"/>
        </w:tabs>
        <w:spacing w:before="40" w:after="40"/>
        <w:jc w:val="center"/>
      </w:pPr>
      <m:oMathPara>
        <m:oMath>
          <m:box>
            <m:boxPr/>
            <m:e>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i</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r>
                <m:rPr/>
                <w:rPr>
                  <w:rFonts w:ascii="Cambria Math" w:hAnsi="Cambria Math" w:eastAsia="宋体"/>
                  <w:color w:val="000000"/>
                  <w:sz w:val="18"/>
                </w:rPr>
                <m:t>R</m:t>
              </m:r>
              <m:r>
                <m:rPr>
                  <m:sty m:val="p"/>
                </m:rPr>
                <w:rPr>
                  <w:rFonts w:ascii="Cambria Math" w:hAnsi="Cambria Math" w:eastAsia="宋体"/>
                  <w:color w:val="000000"/>
                  <w:sz w:val="18"/>
                </w:rPr>
                <m:t>(</m:t>
              </m:r>
              <m:r>
                <m:rPr/>
                <w:rPr>
                  <w:rFonts w:ascii="Cambria Math" w:hAnsi="Cambria Math" w:eastAsia="宋体"/>
                  <w:color w:val="000000"/>
                  <w:sz w:val="18"/>
                </w:rPr>
                <m:t>θ</m:t>
              </m:r>
              <m:r>
                <m:rPr>
                  <m:sty m:val="p"/>
                </m:rPr>
                <w:rPr>
                  <w:rFonts w:ascii="Cambria Math" w:hAnsi="Cambria Math" w:eastAsia="宋体"/>
                  <w:color w:val="000000"/>
                  <w:sz w:val="18"/>
                </w:rPr>
                <m:t>,</m:t>
              </m:r>
              <m:r>
                <m:rPr/>
                <w:rPr>
                  <w:rFonts w:ascii="Cambria Math" w:hAnsi="Cambria Math" w:eastAsia="宋体"/>
                  <w:color w:val="000000"/>
                  <w:sz w:val="18"/>
                </w:rPr>
                <m:t>β</m:t>
              </m:r>
              <m:r>
                <m:rPr>
                  <m:sty m:val="p"/>
                </m:rPr>
                <w:rPr>
                  <w:rFonts w:ascii="Cambria Math" w:hAnsi="Cambria Math" w:eastAsia="宋体"/>
                  <w:color w:val="000000"/>
                  <w:sz w:val="18"/>
                </w:rPr>
                <m:t>,</m:t>
              </m:r>
              <m:r>
                <m:rPr/>
                <w:rPr>
                  <w:rFonts w:ascii="Cambria Math" w:hAnsi="Cambria Math" w:eastAsia="宋体"/>
                  <w:color w:val="000000"/>
                  <w:sz w:val="18"/>
                </w:rPr>
                <m:t>j</m:t>
              </m:r>
              <m:r>
                <m:rPr>
                  <m:sty m:val="p"/>
                </m:rPr>
                <w:rPr>
                  <w:rFonts w:ascii="Cambria Math" w:hAnsi="Cambria Math" w:eastAsia="宋体"/>
                  <w:color w:val="000000"/>
                  <w:sz w:val="18"/>
                </w:rPr>
                <m:t>)</m:t>
              </m:r>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e>
          </m:box>
        </m:oMath>
      </m:oMathPara>
      <w:r>
        <w:br w:type="textWrapping"/>
      </w:r>
      <m:oMath>
        <m:box>
          <m:boxPr/>
          <m:e>
            <m:r>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1</m:t>
                </m:r>
              </m:sub>
            </m:sSub>
            <m:r>
              <m:rPr>
                <m:sty m:val="p"/>
              </m:rPr>
              <w:rPr>
                <w:rFonts w:ascii="Cambria Math" w:hAnsi="Cambria Math" w:eastAsia="宋体"/>
                <w:color w:val="000000"/>
                <w:sz w:val="18"/>
              </w:rPr>
              <m:t>=</m:t>
            </m:r>
            <m:sSub>
              <m:sSubPr/>
              <m:e>
                <m:r>
                  <m:rPr/>
                  <w:rPr>
                    <w:rFonts w:ascii="Cambria Math" w:hAnsi="Cambria Math" w:eastAsia="宋体"/>
                    <w:color w:val="000000"/>
                    <w:sz w:val="18"/>
                  </w:rPr>
                  <m:t>r</m:t>
                </m:r>
              </m:e>
              <m:sub>
                <m:r>
                  <m:rPr>
                    <m:sty m:val="p"/>
                  </m:rPr>
                  <w:rPr>
                    <w:rFonts w:ascii="Cambria Math" w:hAnsi="Cambria Math" w:eastAsia="宋体"/>
                    <w:color w:val="000000"/>
                    <w:sz w:val="18"/>
                  </w:rPr>
                  <m:t>2</m:t>
                </m:r>
              </m:sub>
            </m:sSub>
            <m:r>
              <m:rPr>
                <m:sty m:val="p"/>
              </m:rPr>
              <w:rPr>
                <w:rFonts w:ascii="Cambria Math" w:hAnsi="Cambria Math" w:eastAsia="宋体"/>
                <w:color w:val="000000"/>
                <w:sz w:val="18"/>
              </w:rPr>
              <m:t>.</m:t>
            </m:r>
          </m:e>
        </m:box>
      </m:oMath>
      <w:r>
        <w:tab/>
      </w:r>
      <w:r>
        <w:t>(7)</w:t>
      </w:r>
    </w:p>
    <w:p w14:paraId="7E48B9B6">
      <w:pPr>
        <w:pStyle w:val="71"/>
        <w:spacing w:before="0" w:after="0" w:line="240" w:lineRule="exact"/>
        <w:ind w:firstLine="360"/>
        <w:jc w:val="both"/>
      </w:pPr>
      <w:r>
        <w:rPr>
          <w:rFonts w:ascii="Times New Roman" w:hAnsi="Times New Roman" w:eastAsia="宋体"/>
          <w:b w:val="0"/>
          <w:i w:val="0"/>
          <w:color w:val="000000"/>
          <w:sz w:val="18"/>
        </w:rPr>
        <w:t xml:space="preserve">式(7)仅限制同一匹配消息及同一 </w:t>
      </w:r>
      <m:oMath>
        <m:box>
          <m:boxPr/>
          <m:e>
            <m:r>
              <m:rPr>
                <m:sty m:val="p"/>
              </m:rPr>
              <w:rPr>
                <w:rFonts w:ascii="Cambria Math" w:hAnsi="Cambria Math" w:eastAsia="宋体"/>
                <w:color w:val="000000"/>
                <w:sz w:val="18"/>
              </w:rPr>
              <m:t>(</m:t>
            </m:r>
            <m:r>
              <m:rPr/>
              <w:rPr>
                <w:rFonts w:ascii="Cambria Math" w:hAnsi="Cambria Math" w:eastAsia="宋体"/>
                <w:color w:val="000000"/>
                <w:sz w:val="18"/>
              </w:rPr>
              <m:t>bid</m:t>
            </m:r>
            <m:r>
              <m:rPr>
                <m:sty m:val="p"/>
              </m:rPr>
              <w:rPr>
                <w:rFonts w:ascii="Cambria Math" w:hAnsi="Cambria Math" w:eastAsia="宋体"/>
                <w:color w:val="000000"/>
                <w:sz w:val="18"/>
              </w:rPr>
              <m:t>,</m:t>
            </m:r>
            <m:r>
              <m:rPr/>
              <w:rPr>
                <w:rFonts w:ascii="Cambria Math" w:hAnsi="Cambria Math" w:eastAsia="宋体"/>
                <w:color w:val="000000"/>
                <w:sz w:val="18"/>
              </w:rPr>
              <m:t>rst</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内的重复接受，不推出不同消息所属参与方必然不同。P3 则在显式的 </w:t>
      </w:r>
      <m:oMath>
        <m:box>
          <m:boxPr/>
          <m:e>
            <m:sSub>
              <m:sSubPr/>
              <m:e>
                <m:r>
                  <m:rPr/>
                  <w:rPr>
                    <w:rFonts w:ascii="Cambria Math" w:hAnsi="Cambria Math" w:eastAsia="宋体"/>
                    <w:color w:val="000000"/>
                    <w:sz w:val="18"/>
                  </w:rPr>
                  <m:t>C</m:t>
                </m:r>
              </m:e>
              <m:sub>
                <m:box>
                  <m:boxPr/>
                  <m:e>
                    <m:box>
                      <m:boxPr/>
                      <m:e>
                        <m:r>
                          <m:rPr>
                            <m:sty m:val="p"/>
                          </m:rPr>
                          <w:rPr>
                            <w:rFonts w:ascii="Cambria Math" w:hAnsi="Cambria Math" w:eastAsia="宋体"/>
                            <w:color w:val="000000"/>
                            <w:sz w:val="18"/>
                          </w:rPr>
                          <m:t>install</m:t>
                        </m:r>
                      </m:e>
                    </m:box>
                  </m:e>
                </m:box>
              </m:sub>
            </m:sSub>
            <m:r>
              <m:rPr>
                <m:nor/>
                <m:sty m:val="p"/>
              </m:rPr>
              <w:rPr>
                <w:rFonts w:ascii="Cambria Math" w:hAnsi="Cambria Math" w:eastAsia="宋体"/>
                <w:color w:val="000000"/>
                <w:sz w:val="18"/>
              </w:rPr>
              <m:t>-v2</m:t>
            </m:r>
          </m:e>
        </m:box>
      </m:oMath>
      <w:r>
        <w:rPr>
          <w:rFonts w:ascii="Times New Roman" w:hAnsi="Times New Roman" w:eastAsia="宋体"/>
          <w:b w:val="0"/>
          <w:i w:val="0"/>
          <w:color w:val="000000"/>
          <w:sz w:val="18"/>
        </w:rPr>
        <w:t xml:space="preserve"> 消费假设下检查同一匹配发送是否引起重复符号安装；具体输出来源和安装唯一性定义留到第4章。参与方级准入另由式(3)刻画，不能由 P2 或精确消息去重直接替代。</w:t>
      </w:r>
    </w:p>
    <w:p w14:paraId="32C528AC">
      <w:pPr>
        <w:sectPr>
          <w:type w:val="continuous"/>
          <w:pgSz w:w="11906" w:h="16838"/>
          <w:pgMar w:top="1134" w:right="850" w:bottom="850" w:left="850" w:header="397" w:footer="397" w:gutter="0"/>
          <w:cols w:space="360" w:num="2"/>
          <w:docGrid w:type="linesAndChars" w:linePitch="322" w:charSpace="460"/>
        </w:sectPr>
      </w:pPr>
    </w:p>
    <w:p w14:paraId="45F3A91C">
      <w:pPr>
        <w:pStyle w:val="77"/>
        <w:keepNext/>
        <w:jc w:val="center"/>
      </w:pPr>
      <w:r>
        <w:rPr>
          <w:rFonts w:ascii="Times New Roman" w:hAnsi="Times New Roman" w:eastAsia="宋体"/>
          <w:b/>
          <w:i w:val="0"/>
          <w:color w:val="000000"/>
          <w:sz w:val="16"/>
        </w:rPr>
        <w:t>表 1　安全性质与验证模型的对应关系</w:t>
      </w:r>
    </w:p>
    <w:tbl>
      <w:tblPr>
        <w:tblStyle w:val="16"/>
        <w:tblW w:w="0" w:type="auto"/>
        <w:jc w:val="center"/>
        <w:tblLayout w:type="fixed"/>
        <w:tblCellMar>
          <w:top w:w="0" w:type="dxa"/>
          <w:left w:w="108" w:type="dxa"/>
          <w:bottom w:w="0" w:type="dxa"/>
          <w:right w:w="108" w:type="dxa"/>
        </w:tblCellMar>
      </w:tblPr>
      <w:tblGrid>
        <w:gridCol w:w="1077"/>
        <w:gridCol w:w="3288"/>
        <w:gridCol w:w="1304"/>
        <w:gridCol w:w="3288"/>
      </w:tblGrid>
      <w:tr w14:paraId="0B78DA51">
        <w:tblPrEx>
          <w:tblCellMar>
            <w:top w:w="0" w:type="dxa"/>
            <w:left w:w="108" w:type="dxa"/>
            <w:bottom w:w="0" w:type="dxa"/>
            <w:right w:w="108" w:type="dxa"/>
          </w:tblCellMar>
        </w:tblPrEx>
        <w:trPr>
          <w:cantSplit/>
          <w:trHeight w:val="0" w:hRule="atLeast"/>
          <w:tblHeader/>
          <w:jc w:val="center"/>
        </w:trPr>
        <w:tc>
          <w:tcPr>
            <w:tcW w:w="1077" w:type="dxa"/>
            <w:tcBorders>
              <w:top w:val="single" w:color="000000" w:sz="6" w:space="0"/>
              <w:left w:val="nil"/>
              <w:bottom w:val="single" w:color="000000" w:sz="6" w:space="0"/>
              <w:right w:val="nil"/>
              <w:insideH w:val="nil"/>
              <w:insideV w:val="nil"/>
            </w:tcBorders>
            <w:vAlign w:val="center"/>
          </w:tcPr>
          <w:p w14:paraId="2DFA78BD">
            <w:pPr>
              <w:spacing w:before="0" w:after="0" w:line="190" w:lineRule="exact"/>
              <w:jc w:val="center"/>
            </w:pPr>
            <w:r>
              <w:rPr>
                <w:rFonts w:ascii="Times New Roman" w:hAnsi="Times New Roman" w:eastAsia="宋体"/>
                <w:b/>
                <w:i w:val="0"/>
                <w:color w:val="000000"/>
                <w:sz w:val="15"/>
              </w:rPr>
              <w:t>性质</w:t>
            </w:r>
          </w:p>
        </w:tc>
        <w:tc>
          <w:tcPr>
            <w:tcW w:w="3288" w:type="dxa"/>
            <w:tcBorders>
              <w:top w:val="single" w:color="000000" w:sz="6" w:space="0"/>
              <w:left w:val="nil"/>
              <w:bottom w:val="single" w:color="000000" w:sz="6" w:space="0"/>
              <w:right w:val="nil"/>
              <w:insideH w:val="nil"/>
              <w:insideV w:val="nil"/>
            </w:tcBorders>
            <w:vAlign w:val="center"/>
          </w:tcPr>
          <w:p w14:paraId="377E4D9E">
            <w:pPr>
              <w:spacing w:before="0" w:after="0" w:line="190" w:lineRule="exact"/>
              <w:jc w:val="center"/>
            </w:pPr>
            <w:r>
              <w:rPr>
                <w:rFonts w:ascii="Times New Roman" w:hAnsi="Times New Roman" w:eastAsia="宋体"/>
                <w:b/>
                <w:i w:val="0"/>
                <w:color w:val="000000"/>
                <w:sz w:val="15"/>
              </w:rPr>
              <w:t>检查目标</w:t>
            </w:r>
          </w:p>
        </w:tc>
        <w:tc>
          <w:tcPr>
            <w:tcW w:w="1304" w:type="dxa"/>
            <w:tcBorders>
              <w:top w:val="single" w:color="000000" w:sz="6" w:space="0"/>
              <w:left w:val="nil"/>
              <w:bottom w:val="single" w:color="000000" w:sz="6" w:space="0"/>
              <w:right w:val="nil"/>
              <w:insideH w:val="nil"/>
              <w:insideV w:val="nil"/>
            </w:tcBorders>
            <w:vAlign w:val="center"/>
          </w:tcPr>
          <w:p w14:paraId="57D9C3CF">
            <w:pPr>
              <w:spacing w:before="0" w:after="0" w:line="190" w:lineRule="exact"/>
              <w:jc w:val="center"/>
            </w:pPr>
            <w:r>
              <w:rPr>
                <w:rFonts w:ascii="Times New Roman" w:hAnsi="Times New Roman" w:eastAsia="宋体"/>
                <w:b/>
                <w:i w:val="0"/>
                <w:color w:val="000000"/>
                <w:sz w:val="15"/>
              </w:rPr>
              <w:t>工具</w:t>
            </w:r>
          </w:p>
        </w:tc>
        <w:tc>
          <w:tcPr>
            <w:tcW w:w="3288" w:type="dxa"/>
            <w:tcBorders>
              <w:top w:val="single" w:color="000000" w:sz="6" w:space="0"/>
              <w:left w:val="nil"/>
              <w:bottom w:val="single" w:color="000000" w:sz="6" w:space="0"/>
              <w:right w:val="nil"/>
              <w:insideH w:val="nil"/>
              <w:insideV w:val="nil"/>
            </w:tcBorders>
            <w:vAlign w:val="center"/>
          </w:tcPr>
          <w:p w14:paraId="2A5407CC">
            <w:pPr>
              <w:spacing w:before="0" w:after="0" w:line="190" w:lineRule="exact"/>
              <w:jc w:val="center"/>
            </w:pPr>
            <w:r>
              <w:rPr>
                <w:rFonts w:ascii="Times New Roman" w:hAnsi="Times New Roman" w:eastAsia="宋体"/>
                <w:b/>
                <w:i w:val="0"/>
                <w:color w:val="000000"/>
                <w:sz w:val="15"/>
              </w:rPr>
              <w:t>适用边界</w:t>
            </w:r>
          </w:p>
        </w:tc>
      </w:tr>
      <w:tr w14:paraId="5C79467F">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C794038">
            <w:pPr>
              <w:spacing w:before="0" w:after="0" w:line="190" w:lineRule="exact"/>
              <w:jc w:val="left"/>
            </w:pPr>
            <w:r>
              <w:rPr>
                <w:rFonts w:ascii="Times New Roman" w:hAnsi="Times New Roman" w:eastAsia="宋体"/>
                <w:b w:val="0"/>
                <w:i w:val="0"/>
                <w:color w:val="000000"/>
                <w:sz w:val="15"/>
              </w:rPr>
              <w:t>P0-S</w:t>
            </w:r>
          </w:p>
        </w:tc>
        <w:tc>
          <w:tcPr>
            <w:tcW w:w="3288" w:type="dxa"/>
            <w:tcBorders>
              <w:top w:val="nil"/>
              <w:left w:val="nil"/>
              <w:bottom w:val="nil"/>
              <w:right w:val="nil"/>
              <w:insideH w:val="nil"/>
              <w:insideV w:val="nil"/>
            </w:tcBorders>
            <w:vAlign w:val="center"/>
          </w:tcPr>
          <w:p w14:paraId="436FBFB4">
            <w:pPr>
              <w:spacing w:before="0" w:after="0" w:line="190" w:lineRule="exact"/>
              <w:jc w:val="left"/>
            </w:pPr>
            <w:r>
              <w:t>会话密钥不可推导</w:t>
            </w:r>
          </w:p>
        </w:tc>
        <w:tc>
          <w:tcPr>
            <w:tcW w:w="1304" w:type="dxa"/>
            <w:tcBorders>
              <w:top w:val="nil"/>
              <w:left w:val="nil"/>
              <w:bottom w:val="nil"/>
              <w:right w:val="nil"/>
              <w:insideH w:val="nil"/>
              <w:insideV w:val="nil"/>
            </w:tcBorders>
            <w:vAlign w:val="center"/>
          </w:tcPr>
          <w:p w14:paraId="6B190996">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D5AE492">
            <w:pPr>
              <w:spacing w:before="0" w:after="0" w:line="190" w:lineRule="exact"/>
              <w:jc w:val="left"/>
            </w:pPr>
            <w:r>
              <w:rPr>
                <w:rFonts w:ascii="Times New Roman" w:hAnsi="Times New Roman" w:eastAsia="宋体"/>
                <w:b w:val="0"/>
                <w:i w:val="0"/>
                <w:color w:val="000000"/>
                <w:sz w:val="15"/>
              </w:rPr>
              <w:t>无泄露符号基线</w:t>
            </w:r>
          </w:p>
        </w:tc>
      </w:tr>
      <w:tr w14:paraId="206BEB68">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1B6CA6D1">
            <w:pPr>
              <w:spacing w:before="0" w:after="0" w:line="190" w:lineRule="exact"/>
              <w:jc w:val="left"/>
            </w:pPr>
            <w:r>
              <w:rPr>
                <w:rFonts w:ascii="Times New Roman" w:hAnsi="Times New Roman" w:eastAsia="宋体"/>
                <w:b w:val="0"/>
                <w:i w:val="0"/>
                <w:color w:val="000000"/>
                <w:sz w:val="15"/>
              </w:rPr>
              <w:t>P0-O</w:t>
            </w:r>
          </w:p>
        </w:tc>
        <w:tc>
          <w:tcPr>
            <w:tcW w:w="3288" w:type="dxa"/>
            <w:tcBorders>
              <w:top w:val="nil"/>
              <w:left w:val="nil"/>
              <w:bottom w:val="nil"/>
              <w:right w:val="nil"/>
              <w:insideH w:val="nil"/>
              <w:insideV w:val="nil"/>
            </w:tcBorders>
            <w:vAlign w:val="center"/>
          </w:tcPr>
          <w:p w14:paraId="4AC91E80">
            <w:pPr>
              <w:spacing w:before="0" w:after="0" w:line="190" w:lineRule="exact"/>
              <w:jc w:val="left"/>
            </w:pPr>
            <w:r>
              <w:t>split-KEM 分量有来源</w:t>
            </w:r>
          </w:p>
        </w:tc>
        <w:tc>
          <w:tcPr>
            <w:tcW w:w="1304" w:type="dxa"/>
            <w:tcBorders>
              <w:top w:val="nil"/>
              <w:left w:val="nil"/>
              <w:bottom w:val="nil"/>
              <w:right w:val="nil"/>
              <w:insideH w:val="nil"/>
              <w:insideV w:val="nil"/>
            </w:tcBorders>
            <w:vAlign w:val="center"/>
          </w:tcPr>
          <w:p w14:paraId="47A2EC0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21EBD8CB">
            <w:pPr>
              <w:spacing w:before="0" w:after="0" w:line="190" w:lineRule="exact"/>
              <w:jc w:val="left"/>
            </w:pPr>
            <w:r>
              <w:rPr>
                <w:rFonts w:ascii="Times New Roman" w:hAnsi="Times New Roman" w:eastAsia="宋体"/>
                <w:b w:val="0"/>
                <w:i w:val="0"/>
                <w:color w:val="000000"/>
                <w:sz w:val="15"/>
              </w:rPr>
              <w:t>分量级对应</w:t>
            </w:r>
          </w:p>
        </w:tc>
      </w:tr>
      <w:tr w14:paraId="64D6342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2209CE84">
            <w:pPr>
              <w:spacing w:before="0" w:after="0" w:line="190" w:lineRule="exact"/>
              <w:jc w:val="left"/>
            </w:pPr>
            <w:r>
              <w:rPr>
                <w:rFonts w:ascii="Times New Roman" w:hAnsi="Times New Roman" w:eastAsia="宋体"/>
                <w:b w:val="0"/>
                <w:i w:val="0"/>
                <w:color w:val="000000"/>
                <w:sz w:val="15"/>
              </w:rPr>
              <w:t>P1</w:t>
            </w:r>
          </w:p>
        </w:tc>
        <w:tc>
          <w:tcPr>
            <w:tcW w:w="3288" w:type="dxa"/>
            <w:tcBorders>
              <w:top w:val="nil"/>
              <w:left w:val="nil"/>
              <w:bottom w:val="nil"/>
              <w:right w:val="nil"/>
              <w:insideH w:val="nil"/>
              <w:insideV w:val="nil"/>
            </w:tcBorders>
            <w:vAlign w:val="center"/>
          </w:tcPr>
          <w:p w14:paraId="2583EFA5">
            <w:pPr>
              <w:spacing w:before="0" w:after="0" w:line="190" w:lineRule="exact"/>
              <w:jc w:val="left"/>
            </w:pPr>
            <w:r>
              <w:t>接收完成存在匹配发送</w:t>
            </w:r>
          </w:p>
        </w:tc>
        <w:tc>
          <w:tcPr>
            <w:tcW w:w="1304" w:type="dxa"/>
            <w:tcBorders>
              <w:top w:val="nil"/>
              <w:left w:val="nil"/>
              <w:bottom w:val="nil"/>
              <w:right w:val="nil"/>
              <w:insideH w:val="nil"/>
              <w:insideV w:val="nil"/>
            </w:tcBorders>
            <w:vAlign w:val="center"/>
          </w:tcPr>
          <w:p w14:paraId="2F893F17">
            <w:pPr>
              <w:spacing w:before="0" w:after="0" w:line="190" w:lineRule="exact"/>
              <w:jc w:val="left"/>
            </w:pPr>
            <w:r>
              <w:rPr>
                <w:rFonts w:ascii="Times New Roman" w:hAnsi="Times New Roman" w:eastAsia="宋体"/>
                <w:b w:val="0"/>
                <w:i w:val="0"/>
                <w:color w:val="000000"/>
                <w:sz w:val="15"/>
              </w:rPr>
              <w:t>ProVerif</w:t>
            </w:r>
          </w:p>
        </w:tc>
        <w:tc>
          <w:tcPr>
            <w:tcW w:w="3288" w:type="dxa"/>
            <w:tcBorders>
              <w:top w:val="nil"/>
              <w:left w:val="nil"/>
              <w:bottom w:val="nil"/>
              <w:right w:val="nil"/>
              <w:insideH w:val="nil"/>
              <w:insideV w:val="nil"/>
            </w:tcBorders>
            <w:vAlign w:val="center"/>
          </w:tcPr>
          <w:p w14:paraId="1AD9D018">
            <w:pPr>
              <w:spacing w:before="0" w:after="0" w:line="190" w:lineRule="exact"/>
              <w:jc w:val="left"/>
            </w:pPr>
            <w:r>
              <w:rPr>
                <w:rFonts w:ascii="Times New Roman" w:hAnsi="Times New Roman" w:eastAsia="宋体"/>
                <w:b w:val="0"/>
                <w:i w:val="0"/>
                <w:color w:val="000000"/>
                <w:sz w:val="15"/>
              </w:rPr>
              <w:t>完整参数、非单射</w:t>
            </w:r>
          </w:p>
        </w:tc>
      </w:tr>
      <w:tr w14:paraId="59235984">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314A3F2A">
            <w:pPr>
              <w:spacing w:before="0" w:after="0" w:line="190" w:lineRule="exact"/>
              <w:jc w:val="left"/>
            </w:pPr>
            <w:r>
              <w:rPr>
                <w:rFonts w:ascii="Times New Roman" w:hAnsi="Times New Roman" w:eastAsia="宋体"/>
                <w:b w:val="0"/>
                <w:i w:val="0"/>
                <w:color w:val="000000"/>
                <w:sz w:val="15"/>
              </w:rPr>
              <w:t>P2</w:t>
            </w:r>
          </w:p>
        </w:tc>
        <w:tc>
          <w:tcPr>
            <w:tcW w:w="3288" w:type="dxa"/>
            <w:tcBorders>
              <w:top w:val="nil"/>
              <w:left w:val="nil"/>
              <w:bottom w:val="nil"/>
              <w:right w:val="nil"/>
              <w:insideH w:val="nil"/>
              <w:insideV w:val="nil"/>
            </w:tcBorders>
            <w:vAlign w:val="center"/>
          </w:tcPr>
          <w:p w14:paraId="74C4DA24">
            <w:pPr>
              <w:spacing w:before="0" w:after="0" w:line="190" w:lineRule="exact"/>
              <w:jc w:val="left"/>
            </w:pPr>
            <w:r>
              <w:t>同批相同消息至多接受一次</w:t>
            </w:r>
          </w:p>
        </w:tc>
        <w:tc>
          <w:tcPr>
            <w:tcW w:w="1304" w:type="dxa"/>
            <w:tcBorders>
              <w:top w:val="nil"/>
              <w:left w:val="nil"/>
              <w:bottom w:val="nil"/>
              <w:right w:val="nil"/>
              <w:insideH w:val="nil"/>
              <w:insideV w:val="nil"/>
            </w:tcBorders>
            <w:vAlign w:val="center"/>
          </w:tcPr>
          <w:p w14:paraId="495D74A3">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nil"/>
              <w:right w:val="nil"/>
              <w:insideH w:val="nil"/>
              <w:insideV w:val="nil"/>
            </w:tcBorders>
            <w:vAlign w:val="center"/>
          </w:tcPr>
          <w:p w14:paraId="68D4A91B">
            <w:pPr>
              <w:spacing w:before="0" w:after="0" w:line="190" w:lineRule="exact"/>
              <w:jc w:val="left"/>
            </w:pPr>
            <w:r>
              <w:rPr>
                <w:rFonts w:ascii="Times New Roman" w:hAnsi="Times New Roman" w:eastAsia="宋体"/>
                <w:b w:val="0"/>
                <w:i w:val="0"/>
                <w:color w:val="000000"/>
                <w:sz w:val="15"/>
              </w:rPr>
              <w:t>固定两槽、同状态</w:t>
            </w:r>
          </w:p>
        </w:tc>
      </w:tr>
      <w:tr w14:paraId="1BB6B87E">
        <w:tblPrEx>
          <w:tblCellMar>
            <w:top w:w="0" w:type="dxa"/>
            <w:left w:w="108" w:type="dxa"/>
            <w:bottom w:w="0" w:type="dxa"/>
            <w:right w:w="108" w:type="dxa"/>
          </w:tblCellMar>
        </w:tblPrEx>
        <w:trPr>
          <w:cantSplit/>
          <w:trHeight w:val="0" w:hRule="atLeast"/>
          <w:jc w:val="center"/>
        </w:trPr>
        <w:tc>
          <w:tcPr>
            <w:tcW w:w="1077" w:type="dxa"/>
            <w:tcBorders>
              <w:top w:val="nil"/>
              <w:left w:val="nil"/>
              <w:bottom w:val="nil"/>
              <w:right w:val="nil"/>
              <w:insideH w:val="nil"/>
              <w:insideV w:val="nil"/>
            </w:tcBorders>
            <w:vAlign w:val="center"/>
          </w:tcPr>
          <w:p w14:paraId="04824E7A">
            <w:pPr>
              <w:spacing w:before="0" w:after="0" w:line="190" w:lineRule="exact"/>
              <w:jc w:val="left"/>
            </w:pPr>
            <w:r>
              <w:rPr>
                <w:rFonts w:ascii="Times New Roman" w:hAnsi="Times New Roman" w:eastAsia="宋体"/>
                <w:b w:val="0"/>
                <w:i w:val="0"/>
                <w:color w:val="000000"/>
                <w:sz w:val="15"/>
              </w:rPr>
              <w:t>P3</w:t>
            </w:r>
          </w:p>
        </w:tc>
        <w:tc>
          <w:tcPr>
            <w:tcW w:w="3288" w:type="dxa"/>
            <w:tcBorders>
              <w:top w:val="nil"/>
              <w:left w:val="nil"/>
              <w:bottom w:val="nil"/>
              <w:right w:val="nil"/>
              <w:insideH w:val="nil"/>
              <w:insideV w:val="nil"/>
            </w:tcBorders>
            <w:vAlign w:val="center"/>
          </w:tcPr>
          <w:p w14:paraId="7E932487">
            <w:pPr>
              <w:spacing w:before="0" w:after="0" w:line="190" w:lineRule="exact"/>
              <w:jc w:val="left"/>
            </w:pPr>
            <w:r>
              <w:t>同源输出的安装唯一性</w:t>
            </w:r>
          </w:p>
        </w:tc>
        <w:tc>
          <w:tcPr>
            <w:tcW w:w="1304" w:type="dxa"/>
            <w:tcBorders>
              <w:top w:val="nil"/>
              <w:left w:val="nil"/>
              <w:bottom w:val="nil"/>
              <w:right w:val="nil"/>
              <w:insideH w:val="nil"/>
              <w:insideV w:val="nil"/>
            </w:tcBorders>
            <w:vAlign w:val="center"/>
          </w:tcPr>
          <w:p w14:paraId="3A3CFD24">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nil"/>
              <w:right w:val="nil"/>
              <w:insideH w:val="nil"/>
              <w:insideV w:val="nil"/>
            </w:tcBorders>
            <w:vAlign w:val="center"/>
          </w:tcPr>
          <w:p w14:paraId="27A5B83D">
            <w:pPr>
              <w:spacing w:before="0" w:after="0" w:line="190" w:lineRule="exact"/>
              <w:jc w:val="left"/>
            </w:pPr>
            <w:r>
              <w:rPr>
                <w:rFonts w:ascii="Times New Roman" w:hAnsi="Times New Roman" w:eastAsia="宋体"/>
                <w:b w:val="0"/>
                <w:i w:val="0"/>
                <w:color w:val="000000"/>
                <w:sz w:val="15"/>
              </w:rPr>
              <w:t>条件化消费模型</w:t>
            </w:r>
          </w:p>
        </w:tc>
      </w:tr>
      <w:tr w14:paraId="0EBCEECA">
        <w:tblPrEx>
          <w:tblCellMar>
            <w:top w:w="0" w:type="dxa"/>
            <w:left w:w="108" w:type="dxa"/>
            <w:bottom w:w="0" w:type="dxa"/>
            <w:right w:w="108" w:type="dxa"/>
          </w:tblCellMar>
        </w:tblPrEx>
        <w:trPr>
          <w:cantSplit/>
          <w:trHeight w:val="0" w:hRule="atLeast"/>
          <w:jc w:val="center"/>
        </w:trPr>
        <w:tc>
          <w:tcPr>
            <w:tcW w:w="1077" w:type="dxa"/>
            <w:tcBorders>
              <w:top w:val="nil"/>
              <w:left w:val="nil"/>
              <w:bottom w:val="single" w:color="000000" w:sz="6" w:space="0"/>
              <w:right w:val="nil"/>
              <w:insideH w:val="nil"/>
              <w:insideV w:val="nil"/>
            </w:tcBorders>
            <w:vAlign w:val="center"/>
          </w:tcPr>
          <w:p w14:paraId="0B4602FD">
            <w:pPr>
              <w:spacing w:before="0" w:after="0" w:line="190" w:lineRule="exact"/>
              <w:jc w:val="left"/>
            </w:pPr>
            <w:r>
              <w:rPr>
                <w:rFonts w:ascii="Times New Roman" w:hAnsi="Times New Roman" w:eastAsia="宋体"/>
                <w:b w:val="0"/>
                <w:i w:val="0"/>
                <w:color w:val="000000"/>
                <w:sz w:val="15"/>
              </w:rPr>
              <w:t>参与方互异</w:t>
            </w:r>
          </w:p>
        </w:tc>
        <w:tc>
          <w:tcPr>
            <w:tcW w:w="3288" w:type="dxa"/>
            <w:tcBorders>
              <w:top w:val="nil"/>
              <w:left w:val="nil"/>
              <w:bottom w:val="single" w:color="000000" w:sz="6" w:space="0"/>
              <w:right w:val="nil"/>
              <w:insideH w:val="nil"/>
              <w:insideV w:val="nil"/>
            </w:tcBorders>
            <w:vAlign w:val="center"/>
          </w:tcPr>
          <w:p w14:paraId="7608703B">
            <w:pPr>
              <w:spacing w:before="0" w:after="0" w:line="190" w:lineRule="exact"/>
              <w:jc w:val="left"/>
            </w:pPr>
            <w:r>
              <w:rPr>
                <w:rFonts w:ascii="Times New Roman" w:hAnsi="Times New Roman" w:eastAsia="宋体"/>
                <w:b w:val="0"/>
                <w:i w:val="0"/>
                <w:color w:val="000000"/>
                <w:sz w:val="15"/>
              </w:rPr>
              <w:t>同批不同槽位关联不同参与方</w:t>
            </w:r>
          </w:p>
        </w:tc>
        <w:tc>
          <w:tcPr>
            <w:tcW w:w="1304" w:type="dxa"/>
            <w:tcBorders>
              <w:top w:val="nil"/>
              <w:left w:val="nil"/>
              <w:bottom w:val="single" w:color="000000" w:sz="6" w:space="0"/>
              <w:right w:val="nil"/>
              <w:insideH w:val="nil"/>
              <w:insideV w:val="nil"/>
            </w:tcBorders>
            <w:vAlign w:val="center"/>
          </w:tcPr>
          <w:p w14:paraId="1BF2AE51">
            <w:pPr>
              <w:spacing w:before="0" w:after="0" w:line="190" w:lineRule="exact"/>
              <w:jc w:val="left"/>
            </w:pPr>
            <w:r>
              <w:rPr>
                <w:rFonts w:ascii="Times New Roman" w:hAnsi="Times New Roman" w:eastAsia="宋体"/>
                <w:b w:val="0"/>
                <w:i w:val="0"/>
                <w:color w:val="000000"/>
                <w:sz w:val="15"/>
              </w:rPr>
              <w:t>Tamarin</w:t>
            </w:r>
          </w:p>
        </w:tc>
        <w:tc>
          <w:tcPr>
            <w:tcW w:w="3288" w:type="dxa"/>
            <w:tcBorders>
              <w:top w:val="nil"/>
              <w:left w:val="nil"/>
              <w:bottom w:val="single" w:color="000000" w:sz="6" w:space="0"/>
              <w:right w:val="nil"/>
              <w:insideH w:val="nil"/>
              <w:insideV w:val="nil"/>
            </w:tcBorders>
            <w:vAlign w:val="center"/>
          </w:tcPr>
          <w:p w14:paraId="1BFC947B">
            <w:pPr>
              <w:spacing w:before="0" w:after="0" w:line="190" w:lineRule="exact"/>
              <w:jc w:val="left"/>
            </w:pPr>
            <w:r>
              <w:rPr>
                <w:rFonts w:ascii="Times New Roman" w:hAnsi="Times New Roman" w:eastAsia="宋体"/>
                <w:b w:val="0"/>
                <w:i w:val="0"/>
                <w:color w:val="000000"/>
                <w:sz w:val="15"/>
              </w:rPr>
              <w:t>独立准入原型</w:t>
            </w:r>
          </w:p>
        </w:tc>
      </w:tr>
    </w:tbl>
    <w:p w14:paraId="0C9EF60E">
      <w:pPr>
        <w:sectPr>
          <w:type w:val="continuous"/>
          <w:pgSz w:w="11906" w:h="16838"/>
          <w:pgMar w:top="1134" w:right="850" w:bottom="850" w:left="850" w:header="397" w:footer="397" w:gutter="0"/>
          <w:cols w:space="360" w:num="1"/>
          <w:docGrid w:type="linesAndChars" w:linePitch="322" w:charSpace="460"/>
        </w:sectPr>
      </w:pPr>
    </w:p>
    <w:p w14:paraId="647A1F78">
      <w:pPr>
        <w:pStyle w:val="71"/>
        <w:spacing w:before="0" w:after="0" w:line="240" w:lineRule="exact"/>
        <w:ind w:firstLine="360"/>
        <w:jc w:val="both"/>
      </w:pPr>
      <w:r>
        <w:rPr>
          <w:rFonts w:ascii="Times New Roman" w:hAnsi="Times New Roman" w:eastAsia="宋体"/>
          <w:b w:val="0"/>
          <w:i w:val="0"/>
          <w:color w:val="000000"/>
          <w:sz w:val="18"/>
        </w:rPr>
        <w:t>表1概括两类工具的分工。ProVerif 负责单次核心过程的机密性及对应关系；Tamarin 负责有界状态化批次中的重复接受、条件化影响和准入比较。存在性见证与全称安全性质分别报告；后续各章仅在对应模型的范围内解释证明和反例，不将不同理论的事件拼接为未经验证的联合执行。</w:t>
      </w:r>
    </w:p>
    <w:p w14:paraId="5B34CAB1">
      <w:pPr>
        <w:pStyle w:val="65"/>
        <w:keepNext/>
        <w:spacing w:before="100" w:after="20"/>
      </w:pPr>
      <w:r>
        <w:rPr>
          <w:rFonts w:ascii="Times New Roman" w:hAnsi="Times New Roman" w:eastAsia="宋体"/>
          <w:b/>
          <w:i w:val="0"/>
          <w:color w:val="000000"/>
          <w:sz w:val="21"/>
        </w:rPr>
        <w:t>K-Waay 消息篡改攻击与 HMAC 确认加固</w:t>
      </w:r>
    </w:p>
    <w:p w14:paraId="3BC56F0C">
      <w:pPr>
        <w:pStyle w:val="66"/>
        <w:keepNext/>
        <w:spacing w:before="60" w:after="20"/>
      </w:pPr>
      <w:r>
        <w:rPr>
          <w:rFonts w:ascii="Times New Roman" w:hAnsi="Times New Roman" w:eastAsia="宋体"/>
          <w:b/>
          <w:i w:val="0"/>
          <w:color w:val="000000"/>
          <w:sz w:val="18"/>
        </w:rPr>
        <w:t>消息篡改攻击的发现</w:t>
      </w:r>
    </w:p>
    <w:p w14:paraId="7BD0B313">
      <w:pPr>
        <w:pStyle w:val="71"/>
        <w:spacing w:before="0" w:after="0" w:line="240" w:lineRule="exact"/>
        <w:ind w:firstLine="360"/>
        <w:jc w:val="left"/>
      </w:pPr>
      <w:r>
        <w:rPr>
          <w:rFonts w:ascii="Times New Roman" w:hAnsi="Times New Roman" w:eastAsia="宋体"/>
          <w:b w:val="0"/>
          <w:i w:val="0"/>
          <w:color w:val="000000"/>
          <w:sz w:val="18"/>
        </w:rPr>
        <w:t>针对 K-Waay 核心密钥交换过程中发送方与接收方的会话一致性问题，本文利用 ProVerif 对原始协议的消息处理和密钥派生过程进行形式化分析，</w:t>
      </w:r>
      <w:r>
        <w:rPr>
          <w:rFonts w:ascii="Times New Roman" w:hAnsi="Times New Roman" w:eastAsia="宋体"/>
          <w:b/>
          <w:i w:val="0"/>
          <w:color w:val="000000"/>
          <w:sz w:val="18"/>
        </w:rPr>
        <w:t>发现了一条能够诱导接收方接受篡改消息并产生会话密钥失配的攻击路径</w:t>
      </w:r>
      <w:r>
        <w:rPr>
          <w:rFonts w:ascii="Times New Roman" w:hAnsi="Times New Roman" w:eastAsia="宋体"/>
          <w:b w:val="0"/>
          <w:i w:val="0"/>
          <w:color w:val="000000"/>
          <w:sz w:val="18"/>
        </w:rPr>
        <w:t>。</w:t>
      </w:r>
    </w:p>
    <w:p w14:paraId="07D800AE">
      <w:pPr>
        <w:pStyle w:val="71"/>
        <w:spacing w:before="0" w:after="0" w:line="240" w:lineRule="exact"/>
        <w:ind w:firstLine="360"/>
        <w:jc w:val="left"/>
      </w:pPr>
      <w:r>
        <w:rPr>
          <w:rFonts w:ascii="Times New Roman" w:hAnsi="Times New Roman" w:eastAsia="宋体"/>
          <w:b w:val="0"/>
          <w:i w:val="0"/>
          <w:color w:val="000000"/>
          <w:sz w:val="18"/>
        </w:rPr>
        <w:t>在该攻击中，攻击者无需获取发送方或接收方的长期秘密密钥，也无需破解 KEM 或 split-KEM 算法，而是利用公开密钥重新构造协议消息中的部分密文分量。接收方收到篡改后的消息后，仍能够完成预密钥验证、密文解封装和会话密钥派生，并在原始接收流程中触发接收完成事件。然而，由于接收方所处理的完整消息已经发生变化，其导出的会话标识及会话密钥与原发送方不一致，造成双方会话密钥失配。</w:t>
      </w:r>
    </w:p>
    <w:p w14:paraId="6A53F16B">
      <w:pPr>
        <w:pStyle w:val="71"/>
        <w:spacing w:before="0" w:after="0" w:line="240" w:lineRule="exact"/>
        <w:ind w:firstLine="360"/>
        <w:jc w:val="left"/>
      </w:pPr>
      <w:r>
        <w:rPr>
          <w:rFonts w:ascii="Times New Roman" w:hAnsi="Times New Roman" w:eastAsia="宋体"/>
          <w:b w:val="0"/>
          <w:i w:val="0"/>
          <w:color w:val="000000"/>
          <w:sz w:val="18"/>
        </w:rPr>
        <w:t>本文首先验证了原始核心模型中的会话密钥机密性、split-KEM 分量来源及完整参数对应关系。其中，前两类安全性质成立，而接收方与发送方的完整参数对应关系不成立。该反例表明，</w:t>
      </w:r>
      <w:r>
        <w:rPr>
          <w:rFonts w:ascii="Times New Roman" w:hAnsi="Times New Roman" w:eastAsia="宋体"/>
          <w:b/>
          <w:i w:val="0"/>
          <w:color w:val="000000"/>
          <w:sz w:val="18"/>
        </w:rPr>
        <w:t>即使攻击者无法获得会话密钥，仍然能够破坏发送方与接收方之间的会话参数一致性，并使接收方在错误的会话参数下完成接收。</w:t>
      </w:r>
    </w:p>
    <w:p w14:paraId="4CA6A634">
      <w:pPr>
        <w:pStyle w:val="71"/>
        <w:spacing w:before="0" w:after="0" w:line="240" w:lineRule="exact"/>
        <w:ind w:firstLine="360"/>
        <w:jc w:val="left"/>
      </w:pPr>
      <w:r>
        <w:rPr>
          <w:rFonts w:ascii="Times New Roman" w:hAnsi="Times New Roman" w:eastAsia="宋体"/>
          <w:b w:val="0"/>
          <w:i w:val="0"/>
          <w:color w:val="000000"/>
          <w:sz w:val="18"/>
        </w:rPr>
        <w:t>这种攻击与传统的会话密钥泄露攻击不同。攻击者的目标不是计算双方协商的密钥，而是通过修改传输消息，使接收方接受一个未与发送方完成过程匹配的会话，从而破坏密钥交换所需的双方一致性。</w:t>
      </w:r>
    </w:p>
    <w:p w14:paraId="669B2F97">
      <w:pPr>
        <w:pStyle w:val="66"/>
        <w:keepNext/>
        <w:spacing w:before="60" w:after="20"/>
      </w:pPr>
      <w:r>
        <w:rPr>
          <w:rFonts w:ascii="Times New Roman" w:hAnsi="Times New Roman" w:eastAsia="宋体"/>
          <w:b/>
          <w:i w:val="0"/>
          <w:color w:val="000000"/>
          <w:sz w:val="18"/>
        </w:rPr>
        <w:t>攻击过程与形成原因</w:t>
      </w:r>
    </w:p>
    <w:p w14:paraId="20AAA486">
      <w:pPr>
        <w:pStyle w:val="71"/>
        <w:spacing w:before="0" w:after="0" w:line="240" w:lineRule="exact"/>
        <w:ind w:firstLine="360"/>
        <w:jc w:val="left"/>
      </w:pPr>
      <w:r>
        <w:rPr>
          <w:rFonts w:ascii="Times New Roman" w:hAnsi="Times New Roman" w:eastAsia="宋体"/>
          <w:b w:val="0"/>
          <w:i w:val="0"/>
          <w:color w:val="000000"/>
          <w:sz w:val="18"/>
        </w:rPr>
        <w:t xml:space="preserve">设合法发送方为 </w:t>
      </w:r>
      <m:oMath>
        <m:box>
          <m:boxPr/>
          <m:e>
            <m:r>
              <m:rPr/>
              <w:rPr>
                <w:rFonts w:ascii="Cambria Math" w:hAnsi="Cambria Math" w:eastAsia="宋体"/>
                <w:color w:val="000000"/>
                <w:sz w:val="18"/>
              </w:rPr>
              <m:t>A</m:t>
            </m:r>
          </m:e>
        </m:box>
      </m:oMath>
      <w:r>
        <w:rPr>
          <w:rFonts w:ascii="Times New Roman" w:hAnsi="Times New Roman" w:eastAsia="宋体"/>
          <w:b w:val="0"/>
          <w:i w:val="0"/>
          <w:color w:val="000000"/>
          <w:sz w:val="18"/>
        </w:rPr>
        <w:t xml:space="preserve">，接收方为 </w:t>
      </w:r>
      <m:oMath>
        <m:box>
          <m:boxPr/>
          <m:e>
            <m:r>
              <m:rPr/>
              <w:rPr>
                <w:rFonts w:ascii="Cambria Math" w:hAnsi="Cambria Math" w:eastAsia="宋体"/>
                <w:color w:val="000000"/>
                <w:sz w:val="18"/>
              </w:rPr>
              <m:t>B</m:t>
            </m:r>
          </m:e>
        </m:box>
      </m:oMath>
      <w:r>
        <w:rPr>
          <w:rFonts w:ascii="Times New Roman" w:hAnsi="Times New Roman" w:eastAsia="宋体"/>
          <w:b w:val="0"/>
          <w:i w:val="0"/>
          <w:color w:val="000000"/>
          <w:sz w:val="18"/>
        </w:rPr>
        <w:t xml:space="preserve">。根据第1章介绍的协议过程，发送方首先执行三组密钥封装，产生共享秘密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l</m:t>
                </m:r>
              </m:sub>
            </m:sSub>
          </m:e>
        </m:box>
      </m:oMath>
      <w:r>
        <w:rPr>
          <w:rFonts w:ascii="Times New Roman" w:hAnsi="Times New Roman" w:eastAsia="宋体"/>
          <w:b w:val="0"/>
          <w:i w:val="0"/>
          <w:color w:val="000000"/>
          <w:sz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k</m:t>
                </m:r>
              </m:sub>
            </m:sSub>
          </m:e>
        </m:box>
      </m:oMath>
      <w:r>
        <w:rPr>
          <w:rFonts w:ascii="Times New Roman" w:hAnsi="Times New Roman" w:eastAsia="宋体"/>
          <w:b w:val="0"/>
          <w:i w:val="0"/>
          <w:color w:val="000000"/>
          <w:sz w:val="18"/>
        </w:rPr>
        <w:t>、</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b w:val="0"/>
          <w:i w:val="0"/>
          <w:color w:val="000000"/>
          <w:sz w:val="18"/>
        </w:rPr>
        <w:t xml:space="preserve"> 及相应的密文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e>
        </m:box>
      </m:oMath>
      <w:r>
        <w:rPr>
          <w:rFonts w:ascii="Times New Roman" w:hAnsi="Times New Roman" w:eastAsia="宋体"/>
          <w:b w:val="0"/>
          <w:i w:val="0"/>
          <w:color w:val="000000"/>
          <w:sz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e>
        </m:box>
      </m:oMath>
      <w:r>
        <w:rPr>
          <w:rFonts w:ascii="Times New Roman" w:hAnsi="Times New Roman" w:eastAsia="宋体"/>
          <w:b w:val="0"/>
          <w:i w:val="0"/>
          <w:color w:val="000000"/>
          <w:sz w:val="18"/>
        </w:rPr>
        <w:t>、</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b w:val="0"/>
          <w:i w:val="0"/>
          <w:color w:val="000000"/>
          <w:sz w:val="18"/>
        </w:rPr>
        <w:t>。原始发送消息为：</w:t>
      </w:r>
    </w:p>
    <w:p w14:paraId="08EB3F22">
      <w:pPr>
        <w:pStyle w:val="74"/>
        <w:keepLines/>
        <w:tabs>
          <w:tab w:val="right" w:pos="4592"/>
        </w:tabs>
        <w:spacing w:before="40" w:after="40"/>
        <w:jc w:val="center"/>
      </w:pP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tab/>
      </w:r>
      <w:r>
        <w:t>(8)</w:t>
      </w:r>
    </w:p>
    <w:p w14:paraId="7B879328">
      <w:pPr>
        <w:pStyle w:val="71"/>
        <w:spacing w:before="0" w:after="0" w:line="240" w:lineRule="exact"/>
        <w:ind w:firstLine="360"/>
        <w:jc w:val="left"/>
      </w:pPr>
      <w:r>
        <w:rPr>
          <w:rFonts w:ascii="Times New Roman" w:hAnsi="Times New Roman" w:eastAsia="宋体"/>
          <w:b w:val="0"/>
          <w:i w:val="0"/>
          <w:color w:val="000000"/>
          <w:sz w:val="18"/>
        </w:rPr>
        <w:t xml:space="preserve">发送方根据完整消息和身份、预密钥等信息计算会话标识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b w:val="0"/>
          <w:i w:val="0"/>
          <w:color w:val="000000"/>
          <w:sz w:val="18"/>
        </w:rPr>
        <w:t>，并派生会话密钥：</w:t>
      </w:r>
    </w:p>
    <w:p w14:paraId="379102B8">
      <w:pPr>
        <w:pStyle w:val="74"/>
        <w:keepLines/>
        <w:tabs>
          <w:tab w:val="right" w:pos="4592"/>
        </w:tabs>
        <w:spacing w:before="40" w:after="40"/>
        <w:jc w:val="center"/>
      </w:pP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l</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k</m:t>
                </m:r>
              </m:sub>
            </m:sSub>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tab/>
      </w:r>
      <w:r>
        <w:t>(9)</w:t>
      </w:r>
    </w:p>
    <w:p w14:paraId="0F45A179">
      <w:pPr>
        <w:pStyle w:val="71"/>
        <w:spacing w:before="0" w:after="0" w:line="240" w:lineRule="exact"/>
        <w:ind w:firstLine="360"/>
        <w:jc w:val="left"/>
      </w:pPr>
      <w:r>
        <w:rPr>
          <w:rFonts w:ascii="Times New Roman" w:hAnsi="Times New Roman" w:eastAsia="宋体"/>
          <w:b w:val="0"/>
          <w:i w:val="0"/>
          <w:color w:val="000000"/>
          <w:sz w:val="18"/>
        </w:rPr>
        <w:t xml:space="preserve">攻击者在公开网络中截获消息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 后，利用以下过程构造攻击消息。</w:t>
      </w:r>
    </w:p>
    <w:p w14:paraId="03E6A47D">
      <w:pPr>
        <w:pStyle w:val="71"/>
        <w:spacing w:before="0" w:after="0" w:line="240" w:lineRule="exact"/>
        <w:ind w:firstLine="360"/>
        <w:jc w:val="left"/>
      </w:pPr>
      <w:r>
        <w:rPr>
          <w:rFonts w:ascii="Times New Roman" w:hAnsi="Times New Roman" w:eastAsia="宋体"/>
          <w:b/>
          <w:i w:val="0"/>
          <w:color w:val="000000"/>
          <w:sz w:val="18"/>
        </w:rPr>
        <w:t>（1）截获并分解合法消息。</w:t>
      </w:r>
      <w:r>
        <w:rPr>
          <w:rFonts w:ascii="Times New Roman" w:hAnsi="Times New Roman" w:eastAsia="宋体"/>
          <w:b w:val="0"/>
          <w:i w:val="0"/>
          <w:color w:val="000000"/>
          <w:sz w:val="18"/>
        </w:rPr>
        <w:t xml:space="preserve"> 攻击者取得发送方公开传输的密文元组，保留其中的 split-KEM 密文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b w:val="0"/>
          <w:i w:val="0"/>
          <w:color w:val="000000"/>
          <w:sz w:val="18"/>
        </w:rPr>
        <w:t>。该分量由合法发送方利用其 split-KEM 秘密材料产生，接收方能够使用相应秘密材料对其进行解封装。</w:t>
      </w:r>
    </w:p>
    <w:p w14:paraId="18F98333">
      <w:pPr>
        <w:pStyle w:val="71"/>
        <w:spacing w:before="0" w:after="0" w:line="240" w:lineRule="exact"/>
        <w:ind w:firstLine="360"/>
        <w:jc w:val="left"/>
      </w:pPr>
      <w:r>
        <w:rPr>
          <w:rFonts w:ascii="Times New Roman" w:hAnsi="Times New Roman" w:eastAsia="宋体"/>
          <w:b/>
          <w:i w:val="0"/>
          <w:color w:val="000000"/>
          <w:sz w:val="18"/>
        </w:rPr>
        <w:t>（2）重新构造普通 KEM 密文。</w:t>
      </w:r>
      <w:r>
        <w:rPr>
          <w:rFonts w:ascii="Times New Roman" w:hAnsi="Times New Roman" w:eastAsia="宋体"/>
          <w:b w:val="0"/>
          <w:i w:val="0"/>
          <w:color w:val="000000"/>
          <w:sz w:val="18"/>
        </w:rPr>
        <w:t xml:space="preserve"> 由于接收方长期 KEM 公钥和临时 KEM 公钥均为公开材料，攻击者可以分别执行封装操作，生成新的密文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，以及对应的共享秘密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。这一过程不需要接收方秘密密钥。</w:t>
      </w:r>
    </w:p>
    <w:p w14:paraId="35E82BA8">
      <w:pPr>
        <w:pStyle w:val="71"/>
        <w:spacing w:before="0" w:after="0" w:line="240" w:lineRule="exact"/>
        <w:ind w:firstLine="360"/>
        <w:jc w:val="left"/>
      </w:pPr>
      <w:r>
        <w:rPr>
          <w:rFonts w:ascii="Times New Roman" w:hAnsi="Times New Roman" w:eastAsia="宋体"/>
          <w:b/>
          <w:i w:val="0"/>
          <w:color w:val="000000"/>
          <w:sz w:val="18"/>
        </w:rPr>
        <w:t>（3）构造并投递篡改消息。</w:t>
      </w:r>
      <w:r>
        <w:rPr>
          <w:rFonts w:ascii="Times New Roman" w:hAnsi="Times New Roman" w:eastAsia="宋体"/>
          <w:b w:val="0"/>
          <w:i w:val="0"/>
          <w:color w:val="000000"/>
          <w:sz w:val="18"/>
        </w:rPr>
        <w:t xml:space="preserve"> 攻击者将重新生成的两个普通 KEM 密文与保留的合法 split-KEM 密文组合，得到：</w:t>
      </w:r>
    </w:p>
    <w:p w14:paraId="6351CD51">
      <w:pPr>
        <w:pStyle w:val="74"/>
        <w:keepLines/>
        <w:tabs>
          <w:tab w:val="right" w:pos="4592"/>
        </w:tabs>
        <w:spacing w:before="40" w:after="40"/>
        <w:jc w:val="center"/>
      </w:pP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r>
              <m:rPr>
                <m:sty m:val="p"/>
              </m:rPr>
              <w:rPr>
                <w:rFonts w:ascii="Cambria Math" w:hAnsi="Cambria Math" w:eastAsia="宋体"/>
                <w:color w:val="000000"/>
                <w:sz w:val="18"/>
              </w:rPr>
              <m:t>)</m:t>
            </m:r>
          </m:e>
        </m:box>
      </m:oMath>
      <w:r>
        <w:tab/>
      </w:r>
      <w:r>
        <w:t>(10)</w:t>
      </w:r>
    </w:p>
    <w:p w14:paraId="262FF1F3">
      <w:pPr>
        <w:pStyle w:val="71"/>
        <w:spacing w:before="0" w:after="0" w:line="240" w:lineRule="exact"/>
        <w:ind w:firstLine="360"/>
        <w:jc w:val="left"/>
      </w:pPr>
      <w:r>
        <w:rPr>
          <w:rFonts w:ascii="Times New Roman" w:hAnsi="Times New Roman" w:eastAsia="宋体"/>
          <w:b w:val="0"/>
          <w:i w:val="0"/>
          <w:color w:val="000000"/>
          <w:sz w:val="18"/>
        </w:rPr>
        <w:t xml:space="preserve">然后将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发送给接收方 </w:t>
      </w:r>
      <m:oMath>
        <m:box>
          <m:boxPr/>
          <m:e>
            <m:r>
              <m:rPr/>
              <w:rPr>
                <w:rFonts w:ascii="Cambria Math" w:hAnsi="Cambria Math" w:eastAsia="宋体"/>
                <w:color w:val="000000"/>
                <w:sz w:val="18"/>
              </w:rPr>
              <m:t>B</m:t>
            </m:r>
          </m:e>
        </m:box>
      </m:oMath>
      <w:r>
        <w:rPr>
          <w:rFonts w:ascii="Times New Roman" w:hAnsi="Times New Roman" w:eastAsia="宋体"/>
          <w:b w:val="0"/>
          <w:i w:val="0"/>
          <w:color w:val="000000"/>
          <w:sz w:val="18"/>
        </w:rPr>
        <w:t>，替代原始消息。</w:t>
      </w:r>
    </w:p>
    <w:p w14:paraId="3DF5E35C">
      <w:pPr>
        <w:pStyle w:val="71"/>
        <w:spacing w:before="0" w:after="0" w:line="240" w:lineRule="exact"/>
        <w:ind w:firstLine="360"/>
        <w:jc w:val="left"/>
      </w:pPr>
      <w:r>
        <w:rPr>
          <w:rFonts w:ascii="Times New Roman" w:hAnsi="Times New Roman" w:eastAsia="宋体"/>
          <w:b/>
          <w:i w:val="0"/>
          <w:color w:val="000000"/>
          <w:sz w:val="18"/>
        </w:rPr>
        <w:t>（4）接收方处理篡改消息。</w:t>
      </w:r>
      <w:r>
        <w:rPr>
          <w:rFonts w:ascii="Times New Roman" w:hAnsi="Times New Roman" w:eastAsia="宋体"/>
          <w:b w:val="0"/>
          <w:i w:val="0"/>
          <w:color w:val="000000"/>
          <w:sz w:val="18"/>
        </w:rPr>
        <w:t xml:space="preserve"> 接收方首先验证发送方的预密钥签名，然后使用本地长期 KEM、临时 KEM 及 split-KEM 秘密材料处理三个密文分量。由于三个密文分量在各自对应的解封装规则下均有效，接收方能够成功得到：</w:t>
      </w:r>
    </w:p>
    <w:p w14:paraId="134B4817">
      <w:pPr>
        <w:pStyle w:val="74"/>
        <w:keepLines/>
        <w:tabs>
          <w:tab w:val="right" w:pos="4592"/>
        </w:tabs>
        <w:spacing w:before="40" w:after="40"/>
        <w:jc w:val="center"/>
      </w:pPr>
      <m:oMathPara>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m:oMathPara>
    </w:p>
    <w:p w14:paraId="73F52722">
      <w:pPr>
        <w:pStyle w:val="71"/>
        <w:spacing w:before="0" w:after="0" w:line="240" w:lineRule="exact"/>
        <w:ind w:firstLine="360"/>
        <w:jc w:val="left"/>
      </w:pPr>
      <w:r>
        <w:rPr>
          <w:rFonts w:ascii="Times New Roman" w:hAnsi="Times New Roman" w:eastAsia="宋体"/>
          <w:b w:val="0"/>
          <w:i w:val="0"/>
          <w:color w:val="000000"/>
          <w:sz w:val="18"/>
        </w:rPr>
        <w:t>进而计算新的会话标识和密钥：</w:t>
      </w:r>
    </w:p>
    <w:p w14:paraId="66A952D3">
      <w:pPr>
        <w:pStyle w:val="74"/>
        <w:keepLines/>
        <w:tabs>
          <w:tab w:val="right" w:pos="4592"/>
        </w:tabs>
        <w:spacing w:before="40" w:after="40"/>
        <w:jc w:val="center"/>
      </w:pPr>
      <m:oMathPara>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pk</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m:oMathPara>
      <w:r>
        <w:br w:type="textWrapping"/>
      </w:r>
      <m:oMath>
        <m:box>
          <m:boxPr/>
          <m:e>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prekey</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tab/>
      </w:r>
      <w:r>
        <w:t>(11)</w:t>
      </w:r>
    </w:p>
    <w:p w14:paraId="202A1080">
      <w:pPr>
        <w:pStyle w:val="74"/>
        <w:keepLines/>
        <w:tabs>
          <w:tab w:val="right" w:pos="4592"/>
        </w:tabs>
        <w:spacing w:before="40" w:after="40"/>
        <w:jc w:val="center"/>
      </w:pP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KDF</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s</m:t>
                </m:r>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tab/>
      </w:r>
      <w:r>
        <w:t>(12)</w:t>
      </w:r>
    </w:p>
    <w:p w14:paraId="5D82EB52">
      <w:pPr>
        <w:pStyle w:val="71"/>
        <w:spacing w:before="0" w:after="0" w:line="240" w:lineRule="exact"/>
        <w:ind w:firstLine="360"/>
        <w:jc w:val="left"/>
      </w:pPr>
      <w:r>
        <w:rPr>
          <w:rFonts w:ascii="Times New Roman" w:hAnsi="Times New Roman" w:eastAsia="宋体"/>
          <w:b/>
          <w:i w:val="0"/>
          <w:color w:val="000000"/>
          <w:sz w:val="18"/>
        </w:rPr>
        <w:t>（5）接收方完成失配会话。</w:t>
      </w:r>
      <w:r>
        <w:rPr>
          <w:rFonts w:ascii="Times New Roman" w:hAnsi="Times New Roman" w:eastAsia="宋体"/>
          <w:b w:val="0"/>
          <w:i w:val="0"/>
          <w:color w:val="000000"/>
          <w:sz w:val="18"/>
        </w:rPr>
        <w:t xml:space="preserve"> 在原始接收流程中，接收方成功解封装并完成密钥派生后，即记录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。此时，原发送方记录的是其根据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 生成的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b w:val="0"/>
          <w:i w:val="0"/>
          <w:color w:val="000000"/>
          <w:sz w:val="18"/>
        </w:rPr>
        <w:t xml:space="preserve"> 和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，而接收方使用的是篡改消息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对应的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w:t>
      </w:r>
    </w:p>
    <w:p w14:paraId="5F21CBF2">
      <w:pPr>
        <w:pStyle w:val="71"/>
        <w:spacing w:before="0" w:after="0" w:line="240" w:lineRule="exact"/>
        <w:ind w:firstLine="360"/>
        <w:jc w:val="left"/>
      </w:pPr>
      <w:r>
        <w:rPr>
          <w:rFonts w:ascii="Times New Roman" w:hAnsi="Times New Roman" w:eastAsia="宋体"/>
          <w:b w:val="0"/>
          <w:i w:val="0"/>
          <w:color w:val="000000"/>
          <w:sz w:val="18"/>
        </w:rPr>
        <w:t>在本文采用的符号构造中，会话标识绑定完整密文消息，因此上述攻击执行满足：</w:t>
      </w:r>
    </w:p>
    <w:p w14:paraId="1E36E28B">
      <w:pPr>
        <w:pStyle w:val="74"/>
        <w:keepLines/>
        <w:tabs>
          <w:tab w:val="right" w:pos="4592"/>
        </w:tabs>
        <w:spacing w:before="40" w:after="40"/>
        <w:jc w:val="center"/>
      </w:pP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tab/>
      </w:r>
      <w:r>
        <w:t>(13)</w:t>
      </w:r>
    </w:p>
    <w:p w14:paraId="1BA93906">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tab/>
      </w:r>
      <w:r>
        <w:t>(14)</w:t>
      </w:r>
    </w:p>
    <w:p w14:paraId="65C95529">
      <w:pPr>
        <w:pStyle w:val="74"/>
        <w:keepLines/>
        <w:tabs>
          <w:tab w:val="right" w:pos="4592"/>
        </w:tabs>
        <w:spacing w:before="40" w:after="40"/>
        <w:jc w:val="center"/>
      </w:pP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tab/>
      </w:r>
      <w:r>
        <w:t>(15)</w:t>
      </w:r>
    </w:p>
    <w:p w14:paraId="50834448">
      <w:pPr>
        <w:pStyle w:val="71"/>
        <w:spacing w:before="0" w:after="0" w:line="240" w:lineRule="exact"/>
        <w:ind w:firstLine="360"/>
        <w:jc w:val="left"/>
      </w:pPr>
      <w:r>
        <w:rPr>
          <w:rFonts w:ascii="Times New Roman" w:hAnsi="Times New Roman" w:eastAsia="宋体"/>
          <w:b/>
          <w:i w:val="0"/>
          <w:color w:val="000000"/>
          <w:sz w:val="18"/>
        </w:rPr>
        <w:t xml:space="preserve">攻击最终使发送方 </w:t>
      </w:r>
      <m:oMath>
        <m:box>
          <m:boxPr/>
          <m:e>
            <m:r>
              <m:rPr/>
              <w:rPr>
                <w:rFonts w:ascii="Cambria Math" w:hAnsi="Cambria Math" w:eastAsia="宋体"/>
                <w:color w:val="000000"/>
                <w:sz w:val="18"/>
              </w:rPr>
              <m:t>A</m:t>
            </m:r>
          </m:e>
        </m:box>
      </m:oMath>
      <w:r>
        <w:rPr>
          <w:rFonts w:ascii="Times New Roman" w:hAnsi="Times New Roman" w:eastAsia="宋体"/>
          <w:b/>
          <w:i w:val="0"/>
          <w:color w:val="000000"/>
          <w:sz w:val="18"/>
        </w:rPr>
        <w:t xml:space="preserve"> 与接收方 </w:t>
      </w:r>
      <m:oMath>
        <m:box>
          <m:boxPr/>
          <m:e>
            <m:r>
              <m:rPr/>
              <w:rPr>
                <w:rFonts w:ascii="Cambria Math" w:hAnsi="Cambria Math" w:eastAsia="宋体"/>
                <w:color w:val="000000"/>
                <w:sz w:val="18"/>
              </w:rPr>
              <m:t>B</m:t>
            </m:r>
          </m:e>
        </m:box>
      </m:oMath>
      <w:r>
        <w:rPr>
          <w:rFonts w:ascii="Times New Roman" w:hAnsi="Times New Roman" w:eastAsia="宋体"/>
          <w:b/>
          <w:i w:val="0"/>
          <w:color w:val="000000"/>
          <w:sz w:val="18"/>
        </w:rPr>
        <w:t xml:space="preserve"> 得到不同的会话密钥，而 </w:t>
      </w:r>
      <m:oMath>
        <m:box>
          <m:boxPr/>
          <m:e>
            <m:r>
              <m:rPr/>
              <w:rPr>
                <w:rFonts w:ascii="Cambria Math" w:hAnsi="Cambria Math" w:eastAsia="宋体"/>
                <w:color w:val="000000"/>
                <w:sz w:val="18"/>
              </w:rPr>
              <m:t>B</m:t>
            </m:r>
          </m:e>
        </m:box>
      </m:oMath>
      <w:r>
        <w:rPr>
          <w:rFonts w:ascii="Times New Roman" w:hAnsi="Times New Roman" w:eastAsia="宋体"/>
          <w:b/>
          <w:i w:val="0"/>
          <w:color w:val="000000"/>
          <w:sz w:val="18"/>
        </w:rPr>
        <w:t xml:space="preserve"> 仍执行了接收完成操作。</w:t>
      </w:r>
    </w:p>
    <w:p w14:paraId="5CE5A2B7">
      <w:pPr>
        <w:pStyle w:val="71"/>
        <w:spacing w:before="0" w:after="0" w:line="240" w:lineRule="exact"/>
        <w:ind w:firstLine="360"/>
        <w:jc w:val="left"/>
      </w:pPr>
      <w:r>
        <w:rPr>
          <w:rFonts w:ascii="Times New Roman" w:hAnsi="Times New Roman" w:eastAsia="宋体"/>
          <w:b w:val="0"/>
          <w:i w:val="0"/>
          <w:color w:val="000000"/>
          <w:sz w:val="18"/>
        </w:rPr>
        <w:t>该攻击成功的根本原因在于：</w:t>
      </w:r>
      <w:r>
        <w:rPr>
          <w:rFonts w:ascii="Times New Roman" w:hAnsi="Times New Roman" w:eastAsia="宋体"/>
          <w:b/>
          <w:i w:val="0"/>
          <w:color w:val="000000"/>
          <w:sz w:val="18"/>
        </w:rPr>
        <w:t>K-Waay 原始核心接收流程缺少对完整消息及其派生会话参数的显式确认。</w:t>
      </w:r>
    </w:p>
    <w:p w14:paraId="7C30CE66">
      <w:pPr>
        <w:pStyle w:val="71"/>
        <w:spacing w:before="0" w:after="0" w:line="240" w:lineRule="exact"/>
        <w:ind w:firstLine="360"/>
        <w:jc w:val="left"/>
      </w:pPr>
      <w:r>
        <w:rPr>
          <w:rFonts w:ascii="Times New Roman" w:hAnsi="Times New Roman" w:eastAsia="宋体"/>
          <w:b w:val="0"/>
          <w:i w:val="0"/>
          <w:color w:val="000000"/>
          <w:sz w:val="18"/>
        </w:rPr>
        <w:t>协议中的预密钥签名主要认证参与方预先发布的公钥材料，并不直接确认随后传输的完整密文元组。split-KEM 分量虽然提供了与合法发送方相关的密码学来源约束，但它只覆盖相应分量，不能阻止攻击者重新生成其他普通 KEM 密文。</w:t>
      </w:r>
    </w:p>
    <w:p w14:paraId="12C061F4">
      <w:pPr>
        <w:pStyle w:val="71"/>
        <w:spacing w:before="0" w:after="0" w:line="240" w:lineRule="exact"/>
        <w:ind w:firstLine="360"/>
        <w:jc w:val="left"/>
      </w:pPr>
      <w:r>
        <w:rPr>
          <w:rFonts w:ascii="Times New Roman" w:hAnsi="Times New Roman" w:eastAsia="宋体"/>
          <w:b w:val="0"/>
          <w:i w:val="0"/>
          <w:color w:val="000000"/>
          <w:sz w:val="18"/>
        </w:rPr>
        <w:t>因此，接收方能够验证部分密码分量的合法性，却未必能够确认当前派生的完整会话参数与发送方实际完成的会话一致。</w:t>
      </w:r>
    </w:p>
    <w:p w14:paraId="64C15A7B">
      <w:pPr>
        <w:pStyle w:val="71"/>
        <w:spacing w:before="0" w:after="0" w:line="240" w:lineRule="exact"/>
        <w:ind w:firstLine="360"/>
        <w:jc w:val="left"/>
      </w:pPr>
      <w:r>
        <w:rPr>
          <w:rFonts w:ascii="Times New Roman" w:hAnsi="Times New Roman" w:eastAsia="宋体"/>
          <w:b w:val="0"/>
          <w:i w:val="0"/>
          <w:color w:val="000000"/>
          <w:sz w:val="18"/>
        </w:rPr>
        <w:t xml:space="preserve">需要注意的是，攻击者虽然自行生成了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l</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k</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，但无法通过公开的 </w:t>
      </w:r>
      <m:oMath>
        <m:box>
          <m:boxPr/>
          <m:e>
            <m:sSub>
              <m:sSub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s</m:t>
                    </m:r>
                  </m:e>
                </m:box>
              </m:sub>
            </m:sSub>
          </m:e>
        </m:box>
      </m:oMath>
      <w:r>
        <w:rPr>
          <w:rFonts w:ascii="Times New Roman" w:hAnsi="Times New Roman" w:eastAsia="宋体"/>
          <w:b w:val="0"/>
          <w:i w:val="0"/>
          <w:color w:val="000000"/>
          <w:sz w:val="18"/>
        </w:rPr>
        <w:t xml:space="preserve"> 推导诚实 split-KEM 对应的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s</m:t>
                </m:r>
              </m:sub>
            </m:sSub>
          </m:e>
        </m:box>
      </m:oMath>
      <w:r>
        <w:rPr>
          <w:rFonts w:ascii="Times New Roman" w:hAnsi="Times New Roman" w:eastAsia="宋体"/>
          <w:b w:val="0"/>
          <w:i w:val="0"/>
          <w:color w:val="000000"/>
          <w:sz w:val="18"/>
        </w:rPr>
        <w:t xml:space="preserve">，因而仍无法计算接收方派生的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。这与 ProVerif 中接收方会话密钥机密性成立的结果一致。</w:t>
      </w:r>
    </w:p>
    <w:p w14:paraId="680C41D9">
      <w:pPr>
        <w:pStyle w:val="71"/>
        <w:spacing w:before="0" w:after="0" w:line="240" w:lineRule="exact"/>
        <w:ind w:firstLine="360"/>
        <w:jc w:val="left"/>
      </w:pPr>
      <w:r>
        <w:rPr>
          <w:rFonts w:ascii="Times New Roman" w:hAnsi="Times New Roman" w:eastAsia="宋体"/>
          <w:b w:val="0"/>
          <w:i w:val="0"/>
          <w:color w:val="000000"/>
          <w:sz w:val="18"/>
        </w:rPr>
        <w:t>综上，该攻击揭示了一个重要的安全问题：</w:t>
      </w:r>
      <w:r>
        <w:rPr>
          <w:rFonts w:ascii="Times New Roman" w:hAnsi="Times New Roman" w:eastAsia="宋体"/>
          <w:b/>
          <w:i w:val="0"/>
          <w:color w:val="000000"/>
          <w:sz w:val="18"/>
        </w:rPr>
        <w:t>接收方密钥不泄露，并不能阻止攻击者通过篡改协议消息破坏双方的会话密钥一致性。</w:t>
      </w:r>
      <w:bookmarkStart w:id="0" w:name="Fig2_Ciphertext_HMAC_Reserved"/>
      <w:bookmarkEnd w:id="0"/>
    </w:p>
    <w:p w14:paraId="26C269FA">
      <w:pPr>
        <w:pStyle w:val="66"/>
        <w:keepNext/>
        <w:spacing w:before="60" w:after="20"/>
      </w:pPr>
      <w:r>
        <w:rPr>
          <w:rFonts w:ascii="Times New Roman" w:hAnsi="Times New Roman" w:eastAsia="宋体"/>
          <w:b/>
          <w:i w:val="0"/>
          <w:color w:val="000000"/>
          <w:sz w:val="18"/>
        </w:rPr>
        <w:t>基于 HMAC 的接收确认加固</w:t>
      </w:r>
    </w:p>
    <w:p w14:paraId="61E2643C">
      <w:pPr>
        <w:pStyle w:val="71"/>
        <w:spacing w:before="0" w:after="0" w:line="240" w:lineRule="exact"/>
        <w:ind w:firstLine="360"/>
        <w:jc w:val="left"/>
      </w:pPr>
      <w:r>
        <w:rPr>
          <w:rFonts w:ascii="Times New Roman" w:hAnsi="Times New Roman" w:eastAsia="宋体"/>
          <w:b w:val="0"/>
          <w:i w:val="0"/>
          <w:color w:val="000000"/>
          <w:sz w:val="18"/>
        </w:rPr>
        <w:t>针对上述消息篡改攻击，本文提出在 K-Waay 核心密钥交换过程中引入基于 HMAC 的显式密钥确认机制，在保留原有 KEM、split-KEM 封装及密钥派生结构的基础上，增加接收方正式接受前的完整会话参数校验。</w:t>
      </w:r>
    </w:p>
    <w:p w14:paraId="4AF81CBD">
      <w:pPr>
        <w:pStyle w:val="71"/>
        <w:spacing w:before="0" w:after="0" w:line="240" w:lineRule="exact"/>
        <w:ind w:firstLine="360"/>
        <w:jc w:val="left"/>
      </w:pPr>
      <w:r>
        <w:rPr>
          <w:rFonts w:ascii="Times New Roman" w:hAnsi="Times New Roman" w:eastAsia="宋体"/>
          <w:b w:val="0"/>
          <w:i w:val="0"/>
          <w:color w:val="000000"/>
          <w:sz w:val="18"/>
        </w:rPr>
        <w:t>该机制的设计目标是：</w:t>
      </w:r>
      <w:r>
        <w:rPr>
          <w:rFonts w:ascii="Times New Roman" w:hAnsi="Times New Roman" w:eastAsia="宋体"/>
          <w:b/>
          <w:i w:val="0"/>
          <w:color w:val="000000"/>
          <w:sz w:val="18"/>
        </w:rPr>
        <w:t>只有当接收方导出的会话参数与发送方生成确认标签时使用的参数一致，接收方才能完成当前密钥交换。</w:t>
      </w:r>
    </w:p>
    <w:p w14:paraId="04CA85F2">
      <w:pPr>
        <w:pStyle w:val="68"/>
        <w:keepNext/>
        <w:spacing w:before="60" w:after="20"/>
      </w:pPr>
      <w:r>
        <w:rPr>
          <w:rFonts w:ascii="Times New Roman" w:hAnsi="Times New Roman" w:eastAsia="宋体"/>
          <w:b/>
          <w:i w:val="0"/>
          <w:color w:val="000000"/>
          <w:sz w:val="18"/>
        </w:rPr>
        <w:t>发送方确认标签生成</w:t>
      </w:r>
    </w:p>
    <w:p w14:paraId="33C3AB6A">
      <w:pPr>
        <w:pStyle w:val="71"/>
        <w:spacing w:before="0" w:after="0" w:line="240" w:lineRule="exact"/>
        <w:ind w:firstLine="360"/>
        <w:jc w:val="left"/>
      </w:pPr>
      <w:r>
        <w:rPr>
          <w:rFonts w:ascii="Times New Roman" w:hAnsi="Times New Roman" w:eastAsia="宋体"/>
          <w:b w:val="0"/>
          <w:i w:val="0"/>
          <w:color w:val="000000"/>
          <w:sz w:val="18"/>
        </w:rPr>
        <w:t xml:space="preserve">发送方按照原协议生成三组共享秘密、密文消息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b w:val="0"/>
          <w:i w:val="0"/>
          <w:color w:val="000000"/>
          <w:sz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 后，进一步从会话密钥导出确认密钥，并计算 HMAC 标签：</w:t>
      </w:r>
    </w:p>
    <w:p w14:paraId="7F301640">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tab/>
      </w:r>
      <w:r>
        <w:t>(16)</w:t>
      </w:r>
    </w:p>
    <w:p w14:paraId="1FBB93D4">
      <w:pPr>
        <w:pStyle w:val="71"/>
        <w:spacing w:before="0" w:after="0" w:line="240" w:lineRule="exact"/>
        <w:ind w:firstLine="360"/>
        <w:jc w:val="left"/>
      </w:pPr>
      <w:r>
        <w:rPr>
          <w:rFonts w:ascii="Times New Roman" w:hAnsi="Times New Roman" w:eastAsia="宋体"/>
          <w:b w:val="0"/>
          <w:i w:val="0"/>
          <w:color w:val="000000"/>
          <w:sz w:val="18"/>
        </w:rPr>
        <w:t>其中，</w:t>
      </w:r>
      <m:oMath>
        <m:box>
          <m:boxPr/>
          <m:e>
            <m:box>
              <m:boxPr/>
              <m:e>
                <m:r>
                  <m:rPr>
                    <m:scr m:val="sans-serif"/>
                  </m:rPr>
                  <w:rPr>
                    <w:rFonts w:ascii="Cambria Math" w:hAnsi="Cambria Math" w:eastAsia="宋体"/>
                    <w:color w:val="000000"/>
                    <w:sz w:val="18"/>
                  </w:rPr>
                  <m:t>confirm_key</m:t>
                </m:r>
              </m:e>
            </m:box>
          </m:e>
        </m:box>
      </m:oMath>
      <w:r>
        <w:rPr>
          <w:rFonts w:ascii="Times New Roman" w:hAnsi="Times New Roman" w:eastAsia="宋体"/>
          <w:b w:val="0"/>
          <w:i w:val="0"/>
          <w:color w:val="000000"/>
          <w:sz w:val="18"/>
        </w:rPr>
        <w:t xml:space="preserve"> 表示用于密钥确认的派生函数，HMAC 的输入为当前会话标识。</w:t>
      </w:r>
    </w:p>
    <w:p w14:paraId="224CAECF">
      <w:pPr>
        <w:pStyle w:val="71"/>
        <w:spacing w:before="0" w:after="0" w:line="240" w:lineRule="exact"/>
        <w:ind w:firstLine="360"/>
        <w:jc w:val="left"/>
      </w:pPr>
      <w:r>
        <w:rPr>
          <w:rFonts w:ascii="Times New Roman" w:hAnsi="Times New Roman" w:eastAsia="宋体"/>
          <w:b w:val="0"/>
          <w:i w:val="0"/>
          <w:color w:val="000000"/>
          <w:sz w:val="18"/>
        </w:rPr>
        <w:t xml:space="preserve">由于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e>
        </m:box>
      </m:oMath>
      <w:r>
        <w:rPr>
          <w:rFonts w:ascii="Times New Roman" w:hAnsi="Times New Roman" w:eastAsia="宋体"/>
          <w:b w:val="0"/>
          <w:i w:val="0"/>
          <w:color w:val="000000"/>
          <w:sz w:val="18"/>
        </w:rPr>
        <w:t xml:space="preserve"> 已包含参与方身份、公钥、预密钥材料以及完整密文消息，该标签同时关联了会话密钥和完整会话转录本。</w:t>
      </w:r>
    </w:p>
    <w:p w14:paraId="793AD20F">
      <w:pPr>
        <w:pStyle w:val="71"/>
        <w:spacing w:before="0" w:after="0" w:line="240" w:lineRule="exact"/>
        <w:ind w:firstLine="360"/>
        <w:jc w:val="left"/>
      </w:pPr>
      <w:r>
        <w:rPr>
          <w:rFonts w:ascii="Times New Roman" w:hAnsi="Times New Roman" w:eastAsia="宋体"/>
          <w:b w:val="0"/>
          <w:i w:val="0"/>
          <w:color w:val="000000"/>
          <w:sz w:val="18"/>
        </w:rPr>
        <w:t>发送方最终传输的消息由原始密文元组扩展为：</w:t>
      </w:r>
    </w:p>
    <w:p w14:paraId="3116268D">
      <w:pPr>
        <w:pStyle w:val="74"/>
        <w:keepLines/>
        <w:tabs>
          <w:tab w:val="right" w:pos="4592"/>
        </w:tabs>
        <w:spacing w:before="40" w:after="40"/>
        <w:jc w:val="center"/>
      </w:pP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r>
                  <m:rPr/>
                  <w:rPr>
                    <w:rFonts w:ascii="Cambria Math" w:hAnsi="Cambria Math" w:eastAsia="宋体"/>
                    <w:color w:val="000000"/>
                    <w:sz w:val="18"/>
                  </w:rPr>
                  <m:t>m</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tab/>
      </w:r>
      <w:r>
        <w:t>(17)</w:t>
      </w:r>
    </w:p>
    <w:p w14:paraId="0A2C159B">
      <w:pPr>
        <w:pStyle w:val="71"/>
        <w:spacing w:before="0" w:after="0" w:line="240" w:lineRule="exact"/>
        <w:ind w:firstLine="360"/>
        <w:jc w:val="left"/>
      </w:pPr>
      <w:r>
        <w:rPr>
          <w:rFonts w:ascii="Times New Roman" w:hAnsi="Times New Roman" w:eastAsia="宋体"/>
          <w:b w:val="0"/>
          <w:i w:val="0"/>
          <w:color w:val="000000"/>
          <w:sz w:val="18"/>
        </w:rPr>
        <w:t>这一修改不改变原协议的三组 KEM/split-KEM 封装方式，而是在原有密钥派生过程之后增加确认信息。</w:t>
      </w:r>
    </w:p>
    <w:p w14:paraId="6CCE6C6D">
      <w:pPr>
        <w:pStyle w:val="68"/>
        <w:keepNext/>
        <w:spacing w:before="60" w:after="20"/>
      </w:pPr>
      <w:r>
        <w:rPr>
          <w:rFonts w:ascii="Times New Roman" w:hAnsi="Times New Roman" w:eastAsia="宋体"/>
          <w:b/>
          <w:i w:val="0"/>
          <w:color w:val="000000"/>
          <w:sz w:val="18"/>
        </w:rPr>
        <w:t>接收方确认检查</w:t>
      </w:r>
    </w:p>
    <w:p w14:paraId="5EC0E8AC">
      <w:pPr>
        <w:pStyle w:val="71"/>
        <w:spacing w:before="0" w:after="0" w:line="240" w:lineRule="exact"/>
        <w:ind w:firstLine="360"/>
        <w:jc w:val="left"/>
      </w:pPr>
      <w:r>
        <w:rPr>
          <w:rFonts w:ascii="Times New Roman" w:hAnsi="Times New Roman" w:eastAsia="宋体"/>
          <w:b w:val="0"/>
          <w:i w:val="0"/>
          <w:color w:val="000000"/>
          <w:sz w:val="18"/>
        </w:rPr>
        <w:t xml:space="preserve">接收方收到 </w:t>
      </w:r>
      <m:oMath>
        <m:box>
          <m:boxPr/>
          <m:e>
            <m:sSub>
              <m:sSubPr/>
              <m:e>
                <m:r>
                  <m:rPr/>
                  <w:rPr>
                    <w:rFonts w:ascii="Cambria Math" w:hAnsi="Cambria Math" w:eastAsia="宋体"/>
                    <w:color w:val="000000"/>
                    <w:sz w:val="18"/>
                  </w:rPr>
                  <m:t>M</m:t>
                </m:r>
              </m:e>
              <m:sub>
                <m:r>
                  <m:rPr/>
                  <w:rPr>
                    <w:rFonts w:ascii="Cambria Math" w:hAnsi="Cambria Math" w:eastAsia="宋体"/>
                    <w:color w:val="000000"/>
                    <w:sz w:val="18"/>
                  </w:rPr>
                  <m:t>A</m:t>
                </m:r>
              </m:sub>
            </m:sSub>
          </m:e>
        </m:box>
      </m:oMath>
      <w:r>
        <w:rPr>
          <w:rFonts w:ascii="Times New Roman" w:hAnsi="Times New Roman" w:eastAsia="宋体"/>
          <w:b w:val="0"/>
          <w:i w:val="0"/>
          <w:color w:val="000000"/>
          <w:sz w:val="18"/>
        </w:rPr>
        <w:t xml:space="preserve"> 后，首先提取原始消息 </w:t>
      </w:r>
      <m:oMath>
        <m:box>
          <m:boxPr/>
          <m:e>
            <m:r>
              <m:rPr/>
              <w:rPr>
                <w:rFonts w:ascii="Cambria Math" w:hAnsi="Cambria Math" w:eastAsia="宋体"/>
                <w:color w:val="000000"/>
                <w:sz w:val="18"/>
              </w:rPr>
              <m:t>m</m:t>
            </m:r>
          </m:e>
        </m:box>
      </m:oMath>
      <w:r>
        <w:rPr>
          <w:rFonts w:ascii="Times New Roman" w:hAnsi="Times New Roman" w:eastAsia="宋体"/>
          <w:b w:val="0"/>
          <w:i w:val="0"/>
          <w:color w:val="000000"/>
          <w:sz w:val="18"/>
        </w:rPr>
        <w:t xml:space="preserve"> 和确认标签 </w:t>
      </w:r>
      <m:oMath>
        <m:box>
          <m:boxPr/>
          <m:e>
            <m:box>
              <m:boxPr/>
              <m:e>
                <m:r>
                  <m:rPr/>
                  <w:rPr>
                    <w:rFonts w:ascii="Cambria Math" w:hAnsi="Cambria Math" w:eastAsia="宋体"/>
                    <w:color w:val="000000"/>
                    <w:sz w:val="18"/>
                  </w:rPr>
                  <m:t>tag</m:t>
                </m:r>
              </m:e>
            </m:box>
          </m:e>
        </m:box>
      </m:oMath>
      <w:r>
        <w:rPr>
          <w:rFonts w:ascii="Times New Roman" w:hAnsi="Times New Roman" w:eastAsia="宋体"/>
          <w:b w:val="0"/>
          <w:i w:val="0"/>
          <w:color w:val="000000"/>
          <w:sz w:val="18"/>
        </w:rPr>
        <w:t xml:space="preserve">，执行原有预密钥签名验证、密文解封装与密钥派生操作，得到本地会话标识 </w:t>
      </w:r>
      <m:oMath>
        <m:box>
          <m:boxPr/>
          <m:e>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e>
        </m:box>
      </m:oMath>
      <w:r>
        <w:rPr>
          <w:rFonts w:ascii="Times New Roman" w:hAnsi="Times New Roman" w:eastAsia="宋体"/>
          <w:b w:val="0"/>
          <w:i w:val="0"/>
          <w:color w:val="000000"/>
          <w:sz w:val="18"/>
        </w:rPr>
        <w:t xml:space="preserve"> 和会话密钥 </w:t>
      </w:r>
      <m:oMath>
        <m:box>
          <m:boxPr/>
          <m:e>
            <m:sSub>
              <m:sSubPr/>
              <m:e>
                <m:r>
                  <m:rPr/>
                  <w:rPr>
                    <w:rFonts w:ascii="Cambria Math" w:hAnsi="Cambria Math" w:eastAsia="宋体"/>
                    <w:color w:val="000000"/>
                    <w:sz w:val="18"/>
                  </w:rPr>
                  <m:t>k</m:t>
                </m:r>
              </m:e>
              <m:sub>
                <m:r>
                  <m:rPr/>
                  <w:rPr>
                    <w:rFonts w:ascii="Cambria Math" w:hAnsi="Cambria Math" w:eastAsia="宋体"/>
                    <w:color w:val="000000"/>
                    <w:sz w:val="18"/>
                  </w:rPr>
                  <m:t>B</m:t>
                </m:r>
              </m:sub>
            </m:sSub>
          </m:e>
        </m:box>
      </m:oMath>
      <w:r>
        <w:rPr>
          <w:rFonts w:ascii="Times New Roman" w:hAnsi="Times New Roman" w:eastAsia="宋体"/>
          <w:b w:val="0"/>
          <w:i w:val="0"/>
          <w:color w:val="000000"/>
          <w:sz w:val="18"/>
        </w:rPr>
        <w:t>。</w:t>
      </w:r>
    </w:p>
    <w:p w14:paraId="61CC4069">
      <w:pPr>
        <w:pStyle w:val="71"/>
        <w:spacing w:before="0" w:after="0" w:line="240" w:lineRule="exact"/>
        <w:ind w:firstLine="360"/>
        <w:jc w:val="left"/>
      </w:pPr>
      <w:r>
        <w:rPr>
          <w:rFonts w:ascii="Times New Roman" w:hAnsi="Times New Roman" w:eastAsia="宋体"/>
          <w:b w:val="0"/>
          <w:i w:val="0"/>
          <w:color w:val="000000"/>
          <w:sz w:val="18"/>
        </w:rPr>
        <w:t>随后，接收方根据本地派生结果计算：</w:t>
      </w:r>
    </w:p>
    <w:p w14:paraId="3EBC7496">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B</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e>
        </m:box>
      </m:oMath>
      <w:r>
        <w:tab/>
      </w:r>
      <w:r>
        <w:t>(18)</w:t>
      </w:r>
    </w:p>
    <w:p w14:paraId="59298790">
      <w:pPr>
        <w:pStyle w:val="71"/>
        <w:spacing w:before="0" w:after="0" w:line="240" w:lineRule="exact"/>
        <w:ind w:firstLine="360"/>
        <w:jc w:val="left"/>
      </w:pPr>
      <w:r>
        <w:rPr>
          <w:rFonts w:ascii="Times New Roman" w:hAnsi="Times New Roman" w:eastAsia="宋体"/>
          <w:b w:val="0"/>
          <w:i w:val="0"/>
          <w:color w:val="000000"/>
          <w:sz w:val="18"/>
        </w:rPr>
        <w:t>并验证：</w:t>
      </w:r>
    </w:p>
    <w:p w14:paraId="159B1873">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tag</m:t>
                </m:r>
              </m:e>
            </m:box>
          </m:e>
        </m:box>
      </m:oMath>
      <w:r>
        <w:tab/>
      </w:r>
      <w:r>
        <w:t>(19)</w:t>
      </w:r>
    </w:p>
    <w:p w14:paraId="5199330A">
      <w:pPr>
        <w:pStyle w:val="71"/>
        <w:spacing w:before="0" w:after="0" w:line="240" w:lineRule="exact"/>
        <w:ind w:firstLine="360"/>
        <w:jc w:val="left"/>
      </w:pPr>
      <w:r>
        <w:rPr>
          <w:rFonts w:ascii="Times New Roman" w:hAnsi="Times New Roman" w:eastAsia="宋体"/>
          <w:b w:val="0"/>
          <w:i w:val="0"/>
          <w:color w:val="000000"/>
          <w:sz w:val="18"/>
        </w:rPr>
        <w:t>只有确认标签匹配，接收方才触发会话密钥接受和接收完成事件；若校验失败，则不能进入该模型中的正式接收完成路径。</w:t>
      </w:r>
    </w:p>
    <w:p w14:paraId="45BF98D3">
      <w:pPr>
        <w:pStyle w:val="71"/>
        <w:spacing w:before="0" w:after="0" w:line="240" w:lineRule="exact"/>
        <w:ind w:firstLine="360"/>
        <w:jc w:val="left"/>
      </w:pPr>
      <w:r>
        <w:rPr>
          <w:rFonts w:ascii="Times New Roman" w:hAnsi="Times New Roman" w:eastAsia="宋体"/>
          <w:b w:val="0"/>
          <w:i w:val="0"/>
          <w:color w:val="000000"/>
          <w:sz w:val="18"/>
        </w:rPr>
        <w:t>这一机制使发送方与接收方的会话参数一致性成为接收完成的必要条件，而不再仅依赖各密文分量是否能够成功解封装。</w:t>
      </w:r>
    </w:p>
    <w:p w14:paraId="35CEA697">
      <w:pPr>
        <w:pStyle w:val="68"/>
        <w:keepNext/>
        <w:spacing w:before="60" w:after="20"/>
      </w:pPr>
      <w:r>
        <w:rPr>
          <w:rFonts w:ascii="Times New Roman" w:hAnsi="Times New Roman" w:eastAsia="宋体"/>
          <w:b/>
          <w:i w:val="0"/>
          <w:color w:val="000000"/>
          <w:sz w:val="18"/>
        </w:rPr>
        <w:t>对消息篡改攻击的阻断</w:t>
      </w:r>
    </w:p>
    <w:p w14:paraId="25A4F757">
      <w:pPr>
        <w:pStyle w:val="71"/>
        <w:spacing w:before="0" w:after="0" w:line="240" w:lineRule="exact"/>
        <w:ind w:firstLine="360"/>
        <w:jc w:val="left"/>
      </w:pPr>
      <w:r>
        <w:rPr>
          <w:rFonts w:ascii="Times New Roman" w:hAnsi="Times New Roman" w:eastAsia="宋体"/>
          <w:b w:val="0"/>
          <w:i w:val="0"/>
          <w:color w:val="000000"/>
          <w:sz w:val="18"/>
        </w:rPr>
        <w:t xml:space="preserve">考虑第3.2节中的攻击。攻击者重新构造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l</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box>
                  <m:boxPr/>
                  <m:e>
                    <m:r>
                      <m:rPr/>
                      <w:rPr>
                        <w:rFonts w:ascii="Cambria Math" w:hAnsi="Cambria Math" w:eastAsia="宋体"/>
                        <w:color w:val="000000"/>
                        <w:sz w:val="18"/>
                      </w:rPr>
                      <m:t>ct</m:t>
                    </m:r>
                  </m:e>
                </m:box>
              </m:e>
              <m:sub>
                <m:box>
                  <m:boxPr/>
                  <m:e>
                    <m:r>
                      <m:rPr/>
                      <w:rPr>
                        <w:rFonts w:ascii="Cambria Math" w:hAnsi="Cambria Math" w:eastAsia="宋体"/>
                        <w:color w:val="000000"/>
                        <w:sz w:val="18"/>
                      </w:rPr>
                      <m:t>k</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后，接收方处理的消息变为 </w:t>
      </w:r>
      <m:oMath>
        <m:box>
          <m:boxPr/>
          <m:e>
            <m:sSubSup>
              <m:sSubSupPr/>
              <m:e>
                <m:r>
                  <m:rPr/>
                  <w:rPr>
                    <w:rFonts w:ascii="Cambria Math" w:hAnsi="Cambria Math" w:eastAsia="宋体"/>
                    <w:color w:val="000000"/>
                    <w:sz w:val="18"/>
                  </w:rPr>
                  <m:t>m</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，由此派生的 </w:t>
      </w:r>
      <m:oMath>
        <m:box>
          <m:boxPr/>
          <m:e>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和 </w:t>
      </w:r>
      <m:oMath>
        <m:box>
          <m:boxPr/>
          <m:e>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e>
        </m:box>
      </m:oMath>
      <w:r>
        <w:rPr>
          <w:rFonts w:ascii="Times New Roman" w:hAnsi="Times New Roman" w:eastAsia="宋体"/>
          <w:b w:val="0"/>
          <w:i w:val="0"/>
          <w:color w:val="000000"/>
          <w:sz w:val="18"/>
        </w:rPr>
        <w:t xml:space="preserve"> 均与原发送方使用的参数不同。</w:t>
      </w:r>
    </w:p>
    <w:p w14:paraId="241E2526">
      <w:pPr>
        <w:pStyle w:val="71"/>
        <w:spacing w:before="0" w:after="0" w:line="240" w:lineRule="exact"/>
        <w:ind w:firstLine="360"/>
        <w:jc w:val="left"/>
      </w:pPr>
      <w:r>
        <w:rPr>
          <w:rFonts w:ascii="Times New Roman" w:hAnsi="Times New Roman" w:eastAsia="宋体"/>
          <w:b w:val="0"/>
          <w:i w:val="0"/>
          <w:color w:val="000000"/>
          <w:sz w:val="18"/>
        </w:rPr>
        <w:t>因此，原发送方生成的确认标签：</w:t>
      </w:r>
    </w:p>
    <w:p w14:paraId="4EB30FCE">
      <w:pPr>
        <w:pStyle w:val="74"/>
        <w:keepLines/>
        <w:tabs>
          <w:tab w:val="right" w:pos="4592"/>
        </w:tabs>
        <w:spacing w:before="40" w:after="40"/>
        <w:jc w:val="center"/>
      </w:pPr>
      <m:oMath>
        <m:box>
          <m:boxPr/>
          <m:e>
            <m:sSub>
              <m:sSub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
              <m:sSubPr/>
              <m:e>
                <m:r>
                  <m:rPr/>
                  <w:rPr>
                    <w:rFonts w:ascii="Cambria Math" w:hAnsi="Cambria Math" w:eastAsia="宋体"/>
                    <w:color w:val="000000"/>
                    <w:sz w:val="18"/>
                  </w:rPr>
                  <m:t>k</m:t>
                </m:r>
              </m:e>
              <m:sub>
                <m:r>
                  <m:rPr/>
                  <w:rPr>
                    <w:rFonts w:ascii="Cambria Math" w:hAnsi="Cambria Math" w:eastAsia="宋体"/>
                    <w:color w:val="000000"/>
                    <w:sz w:val="18"/>
                  </w:rPr>
                  <m:t>A</m:t>
                </m:r>
              </m:sub>
            </m:sSub>
            <m:r>
              <m:rPr>
                <m:sty m:val="p"/>
              </m:rPr>
              <w:rPr>
                <w:rFonts w:ascii="Cambria Math" w:hAnsi="Cambria Math" w:eastAsia="宋体"/>
                <w:color w:val="000000"/>
                <w:sz w:val="18"/>
              </w:rPr>
              <m:t>),</m:t>
            </m:r>
            <m:sSub>
              <m:sSub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A</m:t>
                    </m:r>
                  </m:e>
                </m:box>
              </m:sub>
            </m:sSub>
            <m:r>
              <m:rPr>
                <m:sty m:val="p"/>
              </m:rPr>
              <w:rPr>
                <w:rFonts w:ascii="Cambria Math" w:hAnsi="Cambria Math" w:eastAsia="宋体"/>
                <w:color w:val="000000"/>
                <w:sz w:val="18"/>
              </w:rPr>
              <m:t>)</m:t>
            </m:r>
          </m:e>
        </m:box>
      </m:oMath>
      <w:r>
        <w:tab/>
      </w:r>
      <w:r>
        <w:t>(20)</w:t>
      </w:r>
    </w:p>
    <w:p w14:paraId="08018EF3">
      <w:pPr>
        <w:pStyle w:val="71"/>
        <w:spacing w:before="0" w:after="0" w:line="240" w:lineRule="exact"/>
        <w:ind w:firstLine="360"/>
        <w:jc w:val="left"/>
      </w:pPr>
      <w:r>
        <w:rPr>
          <w:rFonts w:ascii="Times New Roman" w:hAnsi="Times New Roman" w:eastAsia="宋体"/>
          <w:b w:val="0"/>
          <w:i w:val="0"/>
          <w:color w:val="000000"/>
          <w:sz w:val="18"/>
        </w:rPr>
        <w:t>不能作为篡改消息对应参数的有效确认标签。接收方根据自身参数计算的标签为：</w:t>
      </w:r>
    </w:p>
    <w:p w14:paraId="7411DC7D">
      <w:pPr>
        <w:pStyle w:val="74"/>
        <w:keepLines/>
        <w:tabs>
          <w:tab w:val="right" w:pos="4592"/>
        </w:tabs>
        <w:spacing w:before="40" w:after="40"/>
        <w:jc w:val="center"/>
      </w:pPr>
      <m:oMath>
        <m:box>
          <m:boxPr/>
          <m:e>
            <m:sSubSup>
              <m:sSubSupPr/>
              <m:e>
                <m:box>
                  <m:boxPr/>
                  <m:e>
                    <m:r>
                      <m:rPr/>
                      <w:rPr>
                        <w:rFonts w:ascii="Cambria Math" w:hAnsi="Cambria Math" w:eastAsia="宋体"/>
                        <w:color w:val="000000"/>
                        <w:sz w:val="18"/>
                      </w:rPr>
                      <m:t>tag</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sSubSup>
              <m:sSubSupPr/>
              <m:e>
                <m:r>
                  <m:rPr/>
                  <w:rPr>
                    <w:rFonts w:ascii="Cambria Math" w:hAnsi="Cambria Math" w:eastAsia="宋体"/>
                    <w:color w:val="000000"/>
                    <w:sz w:val="18"/>
                  </w:rPr>
                  <m:t>k</m:t>
                </m:r>
              </m:e>
              <m:sub>
                <m:r>
                  <m:rPr/>
                  <w:rPr>
                    <w:rFonts w:ascii="Cambria Math" w:hAnsi="Cambria Math" w:eastAsia="宋体"/>
                    <w:color w:val="000000"/>
                    <w:sz w:val="18"/>
                  </w:rPr>
                  <m:t>B</m:t>
                </m:r>
              </m:sub>
              <m:sup>
                <m:r>
                  <m:rPr/>
                  <w:rPr>
                    <w:rFonts w:ascii="Cambria Math" w:hAnsi="Cambria Math" w:eastAsia="宋体"/>
                    <w:color w:val="000000"/>
                    <w:sz w:val="18"/>
                  </w:rPr>
                  <m:t>′</m:t>
                </m:r>
              </m:sup>
            </m:sSubSup>
            <m:r>
              <m:rPr>
                <m:sty m:val="p"/>
              </m:rPr>
              <w:rPr>
                <w:rFonts w:ascii="Cambria Math" w:hAnsi="Cambria Math" w:eastAsia="宋体"/>
                <w:color w:val="000000"/>
                <w:sz w:val="18"/>
              </w:rPr>
              <m:t>),</m:t>
            </m:r>
            <m:sSubSup>
              <m:sSubSupPr/>
              <m:e>
                <m:box>
                  <m:boxPr/>
                  <m:e>
                    <m:r>
                      <m:rPr/>
                      <w:rPr>
                        <w:rFonts w:ascii="Cambria Math" w:hAnsi="Cambria Math" w:eastAsia="宋体"/>
                        <w:color w:val="000000"/>
                        <w:sz w:val="18"/>
                      </w:rPr>
                      <m:t>sid</m:t>
                    </m:r>
                  </m:e>
                </m:box>
              </m:e>
              <m:sub>
                <m:box>
                  <m:boxPr/>
                  <m:e>
                    <m:r>
                      <m:rPr/>
                      <w:rPr>
                        <w:rFonts w:ascii="Cambria Math" w:hAnsi="Cambria Math" w:eastAsia="宋体"/>
                        <w:color w:val="000000"/>
                        <w:sz w:val="18"/>
                      </w:rPr>
                      <m:t>B</m:t>
                    </m:r>
                  </m:e>
                </m:box>
              </m:sub>
              <m:sup>
                <m:r>
                  <m:rPr/>
                  <w:rPr>
                    <w:rFonts w:ascii="Cambria Math" w:hAnsi="Cambria Math" w:eastAsia="宋体"/>
                    <w:color w:val="000000"/>
                    <w:sz w:val="18"/>
                  </w:rPr>
                  <m:t>′</m:t>
                </m:r>
              </m:sup>
            </m:sSubSup>
            <m:r>
              <m:rPr>
                <m:sty m:val="p"/>
              </m:rPr>
              <w:rPr>
                <w:rFonts w:ascii="Cambria Math" w:hAnsi="Cambria Math" w:eastAsia="宋体"/>
                <w:color w:val="000000"/>
                <w:sz w:val="18"/>
              </w:rPr>
              <m:t>)</m:t>
            </m:r>
          </m:e>
        </m:box>
      </m:oMath>
      <w:r>
        <w:tab/>
      </w:r>
      <w:r>
        <w:t>(21)</w:t>
      </w:r>
    </w:p>
    <w:p w14:paraId="540169A6">
      <w:pPr>
        <w:pStyle w:val="71"/>
        <w:spacing w:before="0" w:after="0" w:line="240" w:lineRule="exact"/>
        <w:ind w:firstLine="360"/>
        <w:jc w:val="left"/>
      </w:pPr>
      <w:r>
        <w:rPr>
          <w:rFonts w:ascii="Times New Roman" w:hAnsi="Times New Roman" w:eastAsia="宋体"/>
          <w:b w:val="0"/>
          <w:i w:val="0"/>
          <w:color w:val="000000"/>
          <w:sz w:val="18"/>
        </w:rPr>
        <w:t>在无密钥泄露的符号模型中，攻击者无法为这组新的会话参数构造通过检查的确认标签。</w:t>
      </w:r>
    </w:p>
    <w:p w14:paraId="4B089062">
      <w:pPr>
        <w:pStyle w:val="71"/>
        <w:spacing w:before="0" w:after="0" w:line="240" w:lineRule="exact"/>
        <w:ind w:firstLine="360"/>
        <w:jc w:val="left"/>
      </w:pPr>
      <w:r>
        <w:rPr>
          <w:rFonts w:ascii="Times New Roman" w:hAnsi="Times New Roman" w:eastAsia="宋体"/>
          <w:b w:val="0"/>
          <w:i w:val="0"/>
          <w:color w:val="000000"/>
          <w:sz w:val="18"/>
        </w:rPr>
        <w:t>因此，原本能够触发接收完成事件的消息重组路径，在加入 HMAC 确认后被阻断。</w:t>
      </w:r>
    </w:p>
    <w:p w14:paraId="2BB24DD6">
      <w:pPr>
        <w:pStyle w:val="71"/>
        <w:spacing w:before="0" w:after="0" w:line="240" w:lineRule="exact"/>
        <w:ind w:firstLine="360"/>
        <w:jc w:val="left"/>
      </w:pPr>
      <w:r>
        <w:rPr>
          <w:rFonts w:ascii="Times New Roman" w:hAnsi="Times New Roman" w:eastAsia="宋体"/>
          <w:b/>
          <w:i w:val="0"/>
          <w:color w:val="000000"/>
          <w:sz w:val="18"/>
        </w:rPr>
        <w:t>HMAC 加固使攻击者即使能够构造可成功解封装的密文，也无法再利用该密文诱导接收方完成一个缺少匹配发送会话的执行。</w:t>
      </w:r>
    </w:p>
    <w:p w14:paraId="7FF2F6B1">
      <w:pPr>
        <w:pStyle w:val="71"/>
        <w:spacing w:before="0" w:after="0" w:line="240" w:lineRule="exact"/>
        <w:ind w:firstLine="360"/>
        <w:jc w:val="left"/>
      </w:pPr>
      <w:r>
        <w:rPr>
          <w:rFonts w:ascii="Times New Roman" w:hAnsi="Times New Roman" w:eastAsia="宋体"/>
          <w:b w:val="0"/>
          <w:i w:val="0"/>
          <w:color w:val="000000"/>
          <w:sz w:val="18"/>
        </w:rPr>
        <w:t>需要区分的是，确认标签校验并未检查消息在同一批次中是否已经使用。因此，该机制解决的是当前核心模型中的完整参数确认问题，而不是批次重放防护问题。</w:t>
      </w:r>
    </w:p>
    <w:p w14:paraId="48B4AD1A">
      <w:pPr>
        <w:pStyle w:val="66"/>
        <w:keepNext/>
        <w:spacing w:before="60" w:after="20"/>
      </w:pPr>
      <w:r>
        <w:rPr>
          <w:rFonts w:ascii="Times New Roman" w:hAnsi="Times New Roman" w:eastAsia="宋体"/>
          <w:b/>
          <w:i w:val="0"/>
          <w:color w:val="000000"/>
          <w:sz w:val="18"/>
        </w:rPr>
        <w:t>HMAC 加固的形式化验证</w:t>
      </w:r>
    </w:p>
    <w:p w14:paraId="1C916F0B">
      <w:pPr>
        <w:pStyle w:val="71"/>
        <w:spacing w:before="0" w:after="0" w:line="240" w:lineRule="exact"/>
        <w:ind w:firstLine="360"/>
        <w:jc w:val="left"/>
      </w:pPr>
      <w:r>
        <w:rPr>
          <w:rFonts w:ascii="Times New Roman" w:hAnsi="Times New Roman" w:eastAsia="宋体"/>
          <w:b w:val="0"/>
          <w:i w:val="0"/>
          <w:color w:val="000000"/>
          <w:sz w:val="18"/>
        </w:rPr>
        <w:t>为验证所提出机制的有效性，本文分别对原始 K-Waay 核心模型及加入 HMAC 确认的变体进行 ProVerif 分析。</w:t>
      </w:r>
    </w:p>
    <w:p w14:paraId="0163B9AC">
      <w:pPr>
        <w:pStyle w:val="71"/>
        <w:spacing w:before="0" w:after="0" w:line="240" w:lineRule="exact"/>
        <w:ind w:firstLine="360"/>
        <w:jc w:val="left"/>
      </w:pPr>
      <w:r>
        <w:rPr>
          <w:rFonts w:ascii="Times New Roman" w:hAnsi="Times New Roman" w:eastAsia="宋体"/>
          <w:b w:val="0"/>
          <w:i w:val="0"/>
          <w:color w:val="000000"/>
          <w:sz w:val="18"/>
        </w:rPr>
        <w:t>两个模型均保留原有的三组密钥封装、预密钥签名检查及会话密钥派生过程。加固变体在发送方增加确认标签生成，在接收方增加标签匹配检查，并使接收完成事件受确认结果约束；同时将发送完成事件安排在确认消息公开之前。</w:t>
      </w:r>
    </w:p>
    <w:p w14:paraId="6B0EC584">
      <w:pPr>
        <w:pStyle w:val="71"/>
        <w:spacing w:before="0" w:after="0" w:line="240" w:lineRule="exact"/>
        <w:ind w:firstLine="360"/>
        <w:jc w:val="left"/>
      </w:pPr>
      <w:r>
        <w:rPr>
          <w:rFonts w:ascii="Times New Roman" w:hAnsi="Times New Roman" w:eastAsia="宋体"/>
          <w:b w:val="0"/>
          <w:i w:val="0"/>
          <w:color w:val="000000"/>
          <w:sz w:val="18"/>
        </w:rPr>
        <w:t>对比验证主要考察会话密钥机密性、split-KEM 分量来源性质、完整参数对应关系以及正常执行可达性。</w:t>
      </w:r>
    </w:p>
    <w:p w14:paraId="5D6CAC1B">
      <w:pPr>
        <w:pStyle w:val="77"/>
        <w:keepNext/>
        <w:jc w:val="center"/>
      </w:pPr>
      <w:r>
        <w:rPr>
          <w:rFonts w:ascii="Times New Roman" w:hAnsi="Times New Roman" w:eastAsia="宋体"/>
          <w:b/>
          <w:i w:val="0"/>
          <w:color w:val="000000"/>
          <w:sz w:val="16"/>
        </w:rPr>
        <w:t>表2 原始核心模型与 HMAC 加固模型的验证结果</w:t>
      </w:r>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129E770A">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安全性质</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原始模型</w:t>
            </w:r>
          </w:p>
        </w:tc>
        <w:tc>
          <w:tcPr>
            <w:tcW w:w="124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HMAC 加固模型</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发送方会话密钥机密性</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t>成立</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成立</w:t>
            </w:r>
          </w:p>
        </w:tc>
      </w:tr>
      <w:tr w14:paraId="2B74FDD8">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642E019A">
            <w:pPr>
              <w:spacing w:before="0" w:after="0" w:line="190" w:lineRule="exact"/>
              <w:jc w:val="left"/>
            </w:pPr>
            <w:r>
              <w:rPr>
                <w:rFonts w:ascii="Times New Roman" w:hAnsi="Times New Roman" w:eastAsia="宋体"/>
                <w:b w:val="0"/>
                <w:i w:val="0"/>
                <w:color w:val="000000"/>
                <w:sz w:val="15"/>
              </w:rPr>
              <w:t>接收方会话密钥机密性</w:t>
            </w:r>
          </w:p>
        </w:tc>
        <w:tc>
          <w:tcPr>
            <w:tcW w:w="850" w:type="dxa"/>
            <w:tcBorders>
              <w:top w:val="nil"/>
              <w:left w:val="nil"/>
              <w:bottom w:val="nil"/>
              <w:right w:val="nil"/>
              <w:insideH w:val="nil"/>
              <w:insideV w:val="nil"/>
            </w:tcBorders>
            <w:vAlign w:val="center"/>
          </w:tcPr>
          <w:p w14:paraId="66ED595F">
            <w:pPr>
              <w:spacing w:before="0" w:after="0" w:line="190" w:lineRule="exact"/>
              <w:jc w:val="left"/>
            </w:pPr>
            <w:r>
              <w:t>成立</w:t>
            </w:r>
          </w:p>
        </w:tc>
        <w:tc>
          <w:tcPr>
            <w:tcW w:w="1248" w:type="dxa"/>
            <w:tcBorders>
              <w:top w:val="nil"/>
              <w:left w:val="nil"/>
              <w:bottom w:val="nil"/>
              <w:right w:val="nil"/>
              <w:insideH w:val="nil"/>
              <w:insideV w:val="nil"/>
            </w:tcBorders>
            <w:vAlign w:val="center"/>
          </w:tcPr>
          <w:p w14:paraId="37C0EA1A">
            <w:pPr>
              <w:spacing w:before="0" w:after="0" w:line="190" w:lineRule="exact"/>
              <w:jc w:val="left"/>
            </w:pPr>
            <w:r>
              <w:rPr>
                <w:rFonts w:ascii="Times New Roman" w:hAnsi="Times New Roman" w:eastAsia="宋体"/>
                <w:b w:val="0"/>
                <w:i w:val="0"/>
                <w:color w:val="000000"/>
                <w:sz w:val="15"/>
              </w:rPr>
              <w:t>成立</w:t>
            </w:r>
          </w:p>
        </w:tc>
      </w:tr>
      <w:tr w14:paraId="22B53EEA">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C918585">
            <w:pPr>
              <w:spacing w:before="0" w:after="0" w:line="190" w:lineRule="exact"/>
              <w:jc w:val="left"/>
            </w:pPr>
            <w:r>
              <w:rPr>
                <w:rFonts w:ascii="Times New Roman" w:hAnsi="Times New Roman" w:eastAsia="宋体"/>
                <w:b w:val="0"/>
                <w:i w:val="0"/>
                <w:color w:val="000000"/>
                <w:sz w:val="15"/>
              </w:rPr>
              <w:t>split-KEM 分量来源性质</w:t>
            </w:r>
          </w:p>
        </w:tc>
        <w:tc>
          <w:tcPr>
            <w:tcW w:w="850" w:type="dxa"/>
            <w:tcBorders>
              <w:top w:val="nil"/>
              <w:left w:val="nil"/>
              <w:bottom w:val="nil"/>
              <w:right w:val="nil"/>
              <w:insideH w:val="nil"/>
              <w:insideV w:val="nil"/>
            </w:tcBorders>
            <w:vAlign w:val="center"/>
          </w:tcPr>
          <w:p w14:paraId="3594FC5C">
            <w:pPr>
              <w:spacing w:before="0" w:after="0" w:line="190" w:lineRule="exact"/>
              <w:jc w:val="left"/>
            </w:pPr>
            <w:r>
              <w:t>成立</w:t>
            </w:r>
          </w:p>
        </w:tc>
        <w:tc>
          <w:tcPr>
            <w:tcW w:w="1248" w:type="dxa"/>
            <w:tcBorders>
              <w:top w:val="nil"/>
              <w:left w:val="nil"/>
              <w:bottom w:val="nil"/>
              <w:right w:val="nil"/>
              <w:insideH w:val="nil"/>
              <w:insideV w:val="nil"/>
            </w:tcBorders>
            <w:vAlign w:val="center"/>
          </w:tcPr>
          <w:p w14:paraId="3A5F8556">
            <w:pPr>
              <w:spacing w:before="0" w:after="0" w:line="190" w:lineRule="exact"/>
              <w:jc w:val="left"/>
            </w:pPr>
            <w:r>
              <w:rPr>
                <w:rFonts w:ascii="Times New Roman" w:hAnsi="Times New Roman" w:eastAsia="宋体"/>
                <w:b w:val="0"/>
                <w:i w:val="0"/>
                <w:color w:val="000000"/>
                <w:sz w:val="15"/>
              </w:rPr>
              <w:t>成立</w:t>
            </w:r>
          </w:p>
        </w:tc>
      </w:tr>
      <w:tr w14:paraId="66876430">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4E480FDE">
            <w:pPr>
              <w:spacing w:before="0" w:after="0" w:line="190" w:lineRule="exact"/>
              <w:jc w:val="left"/>
            </w:pPr>
            <w:r>
              <w:rPr>
                <w:rFonts w:ascii="Times New Roman" w:hAnsi="Times New Roman" w:eastAsia="宋体"/>
                <w:b w:val="0"/>
                <w:i w:val="0"/>
                <w:color w:val="000000"/>
                <w:sz w:val="15"/>
              </w:rPr>
              <w:t>完整参数对应关系 P1</w:t>
            </w:r>
          </w:p>
        </w:tc>
        <w:tc>
          <w:tcPr>
            <w:tcW w:w="850" w:type="dxa"/>
            <w:tcBorders>
              <w:top w:val="nil"/>
              <w:left w:val="nil"/>
              <w:bottom w:val="nil"/>
              <w:right w:val="nil"/>
              <w:insideH w:val="nil"/>
              <w:insideV w:val="nil"/>
            </w:tcBorders>
            <w:vAlign w:val="center"/>
          </w:tcPr>
          <w:p w14:paraId="41180DDA">
            <w:pPr>
              <w:spacing w:before="0" w:after="0" w:line="190" w:lineRule="exact"/>
              <w:jc w:val="left"/>
            </w:pPr>
            <w:r>
              <w:rPr>
                <w:b/>
              </w:rPr>
              <w:t>不成立</w:t>
            </w:r>
          </w:p>
        </w:tc>
        <w:tc>
          <w:tcPr>
            <w:tcW w:w="1248" w:type="dxa"/>
            <w:tcBorders>
              <w:top w:val="nil"/>
              <w:left w:val="nil"/>
              <w:bottom w:val="nil"/>
              <w:right w:val="nil"/>
              <w:insideH w:val="nil"/>
              <w:insideV w:val="nil"/>
            </w:tcBorders>
            <w:vAlign w:val="center"/>
          </w:tcPr>
          <w:p w14:paraId="55DED50C">
            <w:pPr>
              <w:spacing w:before="0" w:after="0" w:line="190" w:lineRule="exact"/>
              <w:jc w:val="left"/>
            </w:pPr>
            <w:r>
              <w:rPr>
                <w:rFonts w:ascii="Times New Roman" w:hAnsi="Times New Roman" w:eastAsia="宋体"/>
                <w:b/>
                <w:i w:val="0"/>
                <w:color w:val="000000"/>
                <w:sz w:val="15"/>
              </w:rPr>
              <w:t>成立</w:t>
            </w:r>
          </w:p>
        </w:tc>
      </w:tr>
      <w:tr w14:paraId="232F0373">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1B870D48">
            <w:pPr>
              <w:spacing w:before="0" w:after="0" w:line="190" w:lineRule="exact"/>
              <w:jc w:val="left"/>
            </w:pPr>
            <w:r>
              <w:rPr>
                <w:rFonts w:ascii="Times New Roman" w:hAnsi="Times New Roman" w:eastAsia="宋体"/>
                <w:b w:val="0"/>
                <w:i w:val="0"/>
                <w:color w:val="000000"/>
                <w:sz w:val="15"/>
              </w:rPr>
              <w:t>正常执行可达性</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pPr>
            <w:r>
              <w:rPr>
                <w:rFonts w:ascii="Times New Roman" w:hAnsi="Times New Roman" w:eastAsia="宋体"/>
                <w:b w:val="0"/>
                <w:i w:val="0"/>
                <w:color w:val="000000"/>
                <w:sz w:val="15"/>
              </w:rPr>
              <w:t>可达</w:t>
            </w:r>
          </w:p>
        </w:tc>
        <w:tc>
          <w:tcPr>
            <w:tcW w:w="1248" w:type="dxa"/>
            <w:tcBorders>
              <w:top w:val="nil"/>
              <w:left w:val="nil"/>
              <w:bottom w:val="single" w:color="000000" w:sz="6" w:space="0"/>
              <w:right w:val="nil"/>
              <w:insideH w:val="nil"/>
              <w:insideV w:val="nil"/>
            </w:tcBorders>
            <w:vAlign w:val="center"/>
          </w:tcPr>
          <w:p w14:paraId="10A637F0">
            <w:pPr>
              <w:spacing w:before="0" w:after="0" w:line="190" w:lineRule="exact"/>
              <w:jc w:val="left"/>
            </w:pPr>
            <w:r>
              <w:rPr>
                <w:rFonts w:ascii="Times New Roman" w:hAnsi="Times New Roman" w:eastAsia="宋体"/>
                <w:b w:val="0"/>
                <w:i w:val="0"/>
                <w:color w:val="000000"/>
                <w:sz w:val="15"/>
              </w:rPr>
              <w:t>可达</w:t>
            </w:r>
          </w:p>
        </w:tc>
      </w:tr>
    </w:tbl>
    <w:p w14:paraId="27A1122B">
      <w:pPr>
        <w:pStyle w:val="71"/>
        <w:spacing w:before="0" w:after="0" w:line="240" w:lineRule="exact"/>
        <w:ind w:firstLine="360"/>
        <w:jc w:val="left"/>
      </w:pPr>
      <w:r>
        <w:rPr>
          <w:rFonts w:ascii="Times New Roman" w:hAnsi="Times New Roman" w:eastAsia="宋体"/>
          <w:b w:val="0"/>
          <w:i w:val="0"/>
          <w:color w:val="000000"/>
          <w:sz w:val="18"/>
        </w:rPr>
        <w:t>注：结果对应无密钥泄露的符号配置；split-KEM 分量来源性质由独立的分量检查配置验证。</w:t>
      </w:r>
    </w:p>
    <w:p w14:paraId="2FD4DBB8">
      <w:pPr>
        <w:pStyle w:val="71"/>
        <w:spacing w:before="0" w:after="0" w:line="240" w:lineRule="exact"/>
        <w:ind w:firstLine="360"/>
        <w:jc w:val="left"/>
      </w:pPr>
      <w:r>
        <w:rPr>
          <w:rFonts w:ascii="Times New Roman" w:hAnsi="Times New Roman" w:eastAsia="宋体"/>
          <w:b w:val="0"/>
          <w:i w:val="0"/>
          <w:color w:val="000000"/>
          <w:sz w:val="18"/>
        </w:rPr>
        <w:t xml:space="preserve">原始模型中，ProVerif 找到了 </w:t>
      </w:r>
      <m:oMath>
        <m:box>
          <m:boxPr/>
          <m:e>
            <m:box>
              <m:boxPr/>
              <m:e>
                <m:r>
                  <m:rPr>
                    <m:scr m:val="sans-serif"/>
                  </m:rPr>
                  <w:rPr>
                    <w:rFonts w:ascii="Cambria Math" w:hAnsi="Cambria Math" w:eastAsia="宋体"/>
                    <w:color w:val="000000"/>
                    <w:sz w:val="18"/>
                  </w:rPr>
                  <m:t>RecvDone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缺少匹配 </w:t>
      </w:r>
      <m:oMath>
        <m:box>
          <m:boxPr/>
          <m:e>
            <m:box>
              <m:boxPr/>
              <m:e>
                <m:r>
                  <m:rPr>
                    <m:scr m:val="sans-serif"/>
                  </m:rPr>
                  <w:rPr>
                    <w:rFonts w:ascii="Cambria Math" w:hAnsi="Cambria Math" w:eastAsia="宋体"/>
                    <w:color w:val="000000"/>
                    <w:sz w:val="18"/>
                  </w:rPr>
                  <m:t>SendDone</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的反例，对应第3.2节所述的消息篡改及会话密钥失配攻击。</w:t>
      </w:r>
    </w:p>
    <w:p w14:paraId="6492BA75">
      <w:pPr>
        <w:pStyle w:val="71"/>
        <w:spacing w:before="0" w:after="0" w:line="240" w:lineRule="exact"/>
        <w:ind w:firstLine="360"/>
        <w:jc w:val="left"/>
      </w:pPr>
      <w:r>
        <w:rPr>
          <w:rFonts w:ascii="Times New Roman" w:hAnsi="Times New Roman" w:eastAsia="宋体"/>
          <w:b w:val="0"/>
          <w:i w:val="0"/>
          <w:color w:val="000000"/>
          <w:sz w:val="18"/>
        </w:rPr>
        <w:t>加入 HMAC 确认后，完整参数对应关系查询由 false 变为 true，表明所发现的接收方错误接受路径已在加固模型中得到阻断。同时，发送方和接收方会话密钥机密性、split-KEM 分量来源性质继续成立，正常密钥交换过程仍然可达。</w:t>
      </w:r>
    </w:p>
    <w:p w14:paraId="7DD74026">
      <w:pPr>
        <w:pStyle w:val="71"/>
        <w:spacing w:before="0" w:after="0" w:line="240" w:lineRule="exact"/>
        <w:ind w:firstLine="360"/>
        <w:jc w:val="left"/>
      </w:pPr>
      <w:r>
        <w:rPr>
          <w:rFonts w:ascii="Times New Roman" w:hAnsi="Times New Roman" w:eastAsia="宋体"/>
          <w:b/>
          <w:i w:val="0"/>
          <w:color w:val="000000"/>
          <w:sz w:val="18"/>
        </w:rPr>
        <w:t>上述结果验证了本文 HMAC 确认方案的有效性：它在无密钥泄露的符号模型中消除了所发现的完整会话参数失配接受路径，并保持了原有核心密钥交换的正常执行能力。</w:t>
      </w:r>
    </w:p>
    <w:p w14:paraId="745BE5AA">
      <w:pPr>
        <w:pStyle w:val="71"/>
        <w:spacing w:before="0" w:after="0" w:line="240" w:lineRule="exact"/>
        <w:ind w:firstLine="360"/>
        <w:jc w:val="left"/>
      </w:pPr>
      <w:r>
        <w:rPr>
          <w:rFonts w:ascii="Times New Roman" w:hAnsi="Times New Roman" w:eastAsia="宋体"/>
          <w:b w:val="0"/>
          <w:i w:val="0"/>
          <w:color w:val="000000"/>
          <w:sz w:val="18"/>
        </w:rPr>
        <w:t>本文还对发送方签名秘密密钥泄露情形进行了独立验证；该配置下完整参数对应关系再次被反例否定，说明上述加固结论适用于所验证的无泄露条件，而不能直接推广至所有密钥泄露场景。</w:t>
      </w:r>
    </w:p>
    <w:p w14:paraId="1CCA2548">
      <w:pPr>
        <w:pStyle w:val="71"/>
        <w:spacing w:before="0" w:after="0" w:line="240" w:lineRule="exact"/>
        <w:ind w:firstLine="360"/>
        <w:jc w:val="left"/>
      </w:pPr>
      <w:r>
        <w:rPr>
          <w:rFonts w:ascii="Times New Roman" w:hAnsi="Times New Roman" w:eastAsia="宋体"/>
          <w:b w:val="0"/>
          <w:i w:val="0"/>
          <w:color w:val="000000"/>
          <w:sz w:val="18"/>
        </w:rPr>
        <w:t>本章的研究表明，K-Waay 核心密钥交换中的密码分量合法性与双方会话密钥一致性是两个不同的安全目标。本文通过攻击建模发现了消息篡改导致的会话失配路径，并提出 HMAC 确认机制加以阻断，完成了从攻击发现到加固验证的研究过程。</w:t>
      </w:r>
    </w:p>
    <w:p w14:paraId="1C054DF7">
      <w:pPr>
        <w:pStyle w:val="71"/>
        <w:spacing w:before="0" w:after="0" w:line="240" w:lineRule="exact"/>
        <w:ind w:firstLine="360"/>
        <w:jc w:val="left"/>
      </w:pPr>
      <w:r>
        <w:rPr>
          <w:rFonts w:ascii="Times New Roman" w:hAnsi="Times New Roman" w:eastAsia="宋体"/>
          <w:b w:val="0"/>
          <w:i w:val="0"/>
          <w:color w:val="000000"/>
          <w:sz w:val="18"/>
        </w:rPr>
        <w:t>然而，HMAC 确认只能保证所验证范围内接受消息与发送会话之间的参数对应关系，不能限制同一条合法确认消息被重复处理的次数。对于 K-Waay 的 BatchReceive 接口，当批次输入约束未被维持时，合法确认消息仍可能在多个槽位中被重复接受。</w:t>
      </w:r>
    </w:p>
    <w:p w14:paraId="642116C9">
      <w:pPr>
        <w:pStyle w:val="65"/>
        <w:keepNext/>
        <w:spacing w:before="100" w:after="20"/>
      </w:pPr>
      <w:r>
        <w:rPr>
          <w:rFonts w:ascii="Times New Roman" w:hAnsi="Times New Roman" w:eastAsia="宋体"/>
          <w:b/>
          <w:i w:val="0"/>
          <w:color w:val="000000"/>
          <w:sz w:val="21"/>
        </w:rPr>
        <w:t>K-Waay 批内重放攻击与安全影响分析</w:t>
      </w:r>
    </w:p>
    <w:p w14:paraId="6D18E7A4">
      <w:pPr>
        <w:pStyle w:val="66"/>
        <w:keepNext/>
        <w:spacing w:before="60" w:after="20"/>
      </w:pPr>
      <w:r>
        <w:rPr>
          <w:rFonts w:ascii="Times New Roman" w:hAnsi="Times New Roman" w:eastAsia="宋体"/>
          <w:b/>
          <w:i w:val="0"/>
          <w:color w:val="000000"/>
          <w:sz w:val="18"/>
        </w:rPr>
        <w:t>批内重放攻击场景</w:t>
      </w:r>
    </w:p>
    <w:p w14:paraId="52651161">
      <w:pPr>
        <w:pStyle w:val="71"/>
        <w:spacing w:before="0" w:after="0" w:line="240" w:lineRule="exact"/>
        <w:ind w:firstLine="360"/>
        <w:jc w:val="left"/>
      </w:pPr>
      <w:r>
        <w:rPr>
          <w:rFonts w:ascii="Times New Roman" w:hAnsi="Times New Roman" w:eastAsia="宋体"/>
          <w:b w:val="0"/>
          <w:i w:val="0"/>
          <w:color w:val="000000"/>
          <w:sz w:val="18"/>
        </w:rPr>
        <w:t>第3章通过 HMAC 密钥确认机制阻断了消息篡改导致的会话密钥失配攻击，但有效的消息确认并不意味着消息只能被接收一次。攻击者仍可能重复投递合法确认消息，使接收方在不同槽位中多次接受同一发送会话。</w:t>
      </w:r>
    </w:p>
    <w:p w14:paraId="0BD34DBE">
      <w:pPr>
        <w:pStyle w:val="71"/>
        <w:spacing w:before="0" w:after="0" w:line="240" w:lineRule="exact"/>
        <w:ind w:firstLine="360"/>
        <w:jc w:val="left"/>
      </w:pPr>
      <w:r>
        <w:rPr>
          <w:rFonts w:ascii="Times New Roman" w:hAnsi="Times New Roman" w:eastAsia="宋体"/>
          <w:b w:val="0"/>
          <w:i w:val="0"/>
          <w:color w:val="000000"/>
          <w:sz w:val="18"/>
        </w:rPr>
        <w:t>针对这一问题，本文使用 Tamarin 建立 K-Waay BatchReceive 的固定两槽模型，研究批次输入约束未被维持时的接收行为。原协议要求同一批次中的输入来自不同参与方，而本文考察该条件未得到保证的情形，允许同一发送方的相同消息进入共享接收状态的两个槽位。分析发现，即使消息通过 HMAC 确认，仍可产生一个合法发送对应两次成功接收的攻击路径。</w:t>
      </w:r>
    </w:p>
    <w:p w14:paraId="35285D77">
      <w:pPr>
        <w:pStyle w:val="66"/>
        <w:keepNext/>
        <w:spacing w:before="60" w:after="20"/>
      </w:pPr>
      <w:r>
        <w:rPr>
          <w:rFonts w:ascii="Times New Roman" w:hAnsi="Times New Roman" w:eastAsia="宋体"/>
          <w:b/>
          <w:i w:val="0"/>
          <w:color w:val="000000"/>
          <w:sz w:val="18"/>
        </w:rPr>
        <w:t>HMAC 确认后的批内重放攻击</w:t>
      </w:r>
    </w:p>
    <w:p w14:paraId="5296C2C1">
      <w:pPr>
        <w:pStyle w:val="68"/>
        <w:keepNext/>
        <w:spacing w:before="60" w:after="20"/>
      </w:pPr>
      <w:r>
        <w:rPr>
          <w:rFonts w:ascii="Times New Roman" w:hAnsi="Times New Roman" w:eastAsia="宋体"/>
          <w:b/>
          <w:i w:val="0"/>
          <w:color w:val="000000"/>
          <w:sz w:val="18"/>
        </w:rPr>
        <w:t>攻击过程</w:t>
      </w:r>
    </w:p>
    <w:p w14:paraId="61EF2037">
      <w:pPr>
        <w:pStyle w:val="71"/>
        <w:spacing w:before="0" w:after="0" w:line="240" w:lineRule="exact"/>
        <w:ind w:firstLine="360"/>
        <w:jc w:val="left"/>
      </w:pPr>
      <w:r>
        <w:rPr>
          <w:rFonts w:ascii="Times New Roman" w:hAnsi="Times New Roman" w:eastAsia="宋体"/>
          <w:b w:val="0"/>
          <w:i w:val="0"/>
          <w:color w:val="000000"/>
          <w:sz w:val="18"/>
        </w:rPr>
        <w:t xml:space="preserve">设发送方 </w:t>
      </w:r>
      <m:oMath>
        <m:box>
          <m:boxPr/>
          <m:e>
            <m:r>
              <m:rPr/>
              <w:rPr>
                <w:rFonts w:ascii="Cambria Math" w:hAnsi="Cambria Math" w:eastAsia="宋体"/>
                <w:color w:val="000000"/>
                <w:sz w:val="18"/>
              </w:rPr>
              <m:t>A</m:t>
            </m:r>
          </m:e>
        </m:box>
      </m:oMath>
      <w:r>
        <w:rPr>
          <w:rFonts w:ascii="Times New Roman" w:hAnsi="Times New Roman" w:eastAsia="宋体"/>
          <w:b w:val="0"/>
          <w:i w:val="0"/>
          <w:color w:val="000000"/>
          <w:sz w:val="18"/>
        </w:rPr>
        <w:t xml:space="preserve"> 按照第3章的加固协议生成合法消息 </w:t>
      </w:r>
      <m:oMath>
        <m:box>
          <m:boxPr/>
          <m:e>
            <m:r>
              <m:rPr/>
              <w:rPr>
                <w:rFonts w:ascii="Cambria Math" w:hAnsi="Cambria Math" w:eastAsia="宋体"/>
                <w:color w:val="000000"/>
                <w:sz w:val="18"/>
              </w:rPr>
              <m:t>m</m:t>
            </m:r>
          </m:e>
        </m:box>
      </m:oMath>
      <w:r>
        <w:rPr>
          <w:rFonts w:ascii="Times New Roman" w:hAnsi="Times New Roman" w:eastAsia="宋体"/>
          <w:b w:val="0"/>
          <w:i w:val="0"/>
          <w:color w:val="000000"/>
          <w:sz w:val="18"/>
        </w:rPr>
        <w:t xml:space="preserve">、会话标识 </w:t>
      </w:r>
      <m:oMath>
        <m:box>
          <m:boxPr/>
          <m:e>
            <m:box>
              <m:boxPr/>
              <m:e>
                <m:r>
                  <m:rPr/>
                  <w:rPr>
                    <w:rFonts w:ascii="Cambria Math" w:hAnsi="Cambria Math" w:eastAsia="宋体"/>
                    <w:color w:val="000000"/>
                    <w:sz w:val="18"/>
                  </w:rPr>
                  <m:t>sid</m:t>
                </m:r>
              </m:e>
            </m:box>
          </m:e>
        </m:box>
      </m:oMath>
      <w:r>
        <w:rPr>
          <w:rFonts w:ascii="Times New Roman" w:hAnsi="Times New Roman" w:eastAsia="宋体"/>
          <w:b w:val="0"/>
          <w:i w:val="0"/>
          <w:color w:val="000000"/>
          <w:sz w:val="18"/>
        </w:rPr>
        <w:t xml:space="preserve">、会话密钥 </w:t>
      </w:r>
      <m:oMath>
        <m:box>
          <m:boxPr/>
          <m:e>
            <m:r>
              <m:rPr/>
              <w:rPr>
                <w:rFonts w:ascii="Cambria Math" w:hAnsi="Cambria Math" w:eastAsia="宋体"/>
                <w:color w:val="000000"/>
                <w:sz w:val="18"/>
              </w:rPr>
              <m:t>k</m:t>
            </m:r>
          </m:e>
        </m:box>
      </m:oMath>
      <w:r>
        <w:rPr>
          <w:rFonts w:ascii="Times New Roman" w:hAnsi="Times New Roman" w:eastAsia="宋体"/>
          <w:b w:val="0"/>
          <w:i w:val="0"/>
          <w:color w:val="000000"/>
          <w:sz w:val="18"/>
        </w:rPr>
        <w:t xml:space="preserve"> 以及确认标签：</w:t>
      </w:r>
    </w:p>
    <w:p w14:paraId="11ED4807">
      <w:pPr>
        <w:pStyle w:val="74"/>
        <w:keepLines/>
        <w:tabs>
          <w:tab w:val="right" w:pos="4592"/>
        </w:tabs>
        <w:spacing w:before="40" w:after="40"/>
        <w:jc w:val="center"/>
      </w:pPr>
      <m:oMath>
        <m:box>
          <m:boxPr/>
          <m:e>
            <m:box>
              <m:boxPr/>
              <m:e>
                <m:r>
                  <m:rPr/>
                  <w:rPr>
                    <w:rFonts w:ascii="Cambria Math" w:hAnsi="Cambria Math" w:eastAsia="宋体"/>
                    <w:color w:val="000000"/>
                    <w:sz w:val="18"/>
                  </w:rPr>
                  <m:t>tag</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HMAC</m:t>
                </m:r>
              </m:e>
            </m:box>
            <m:r>
              <m:rPr>
                <m:sty m:val="p"/>
              </m:rPr>
              <w:rPr>
                <w:rFonts w:ascii="Cambria Math" w:hAnsi="Cambria Math" w:eastAsia="宋体"/>
                <w:color w:val="000000"/>
                <w:sz w:val="18"/>
              </w:rPr>
              <m:t>(</m:t>
            </m:r>
            <m:box>
              <m:boxPr/>
              <m:e>
                <m:r>
                  <m:rPr>
                    <m:scr m:val="sans-serif"/>
                  </m:rPr>
                  <w:rPr>
                    <w:rFonts w:ascii="Cambria Math" w:hAnsi="Cambria Math" w:eastAsia="宋体"/>
                    <w:color w:val="000000"/>
                    <w:sz w:val="18"/>
                  </w:rPr>
                  <m:t>confirm_key</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e>
        </m:box>
      </m:oMath>
      <w:r>
        <w:tab/>
      </w:r>
      <w:r>
        <w:t>(22)</w:t>
      </w:r>
    </w:p>
    <w:p w14:paraId="6FCC3CA4">
      <w:pPr>
        <w:pStyle w:val="71"/>
        <w:spacing w:before="0" w:after="0" w:line="240" w:lineRule="exact"/>
        <w:ind w:firstLine="360"/>
        <w:jc w:val="left"/>
      </w:pPr>
      <w:r>
        <w:rPr>
          <w:rFonts w:ascii="Times New Roman" w:hAnsi="Times New Roman" w:eastAsia="宋体"/>
          <w:b w:val="0"/>
          <w:i w:val="0"/>
          <w:color w:val="000000"/>
          <w:sz w:val="18"/>
        </w:rPr>
        <w:t xml:space="preserve">发送方公开确认消息 </w:t>
      </w:r>
      <m:oMath>
        <m:box>
          <m:boxPr/>
          <m:e>
            <m:r>
              <m:rPr/>
              <w:rPr>
                <w:rFonts w:ascii="Cambria Math" w:hAnsi="Cambria Math" w:eastAsia="宋体"/>
                <w:color w:val="000000"/>
                <w:sz w:val="18"/>
              </w:rPr>
              <m:t>M</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，并产生一次 </w:t>
      </w:r>
      <m:oMath>
        <m:box>
          <m:boxPr/>
          <m:e>
            <m:box>
              <m:boxPr/>
              <m:e>
                <m:r>
                  <m:rPr>
                    <m:scr m:val="sans-serif"/>
                  </m:rPr>
                  <w:rPr>
                    <w:rFonts w:ascii="Cambria Math" w:hAnsi="Cambria Math" w:eastAsia="宋体"/>
                    <w:color w:val="000000"/>
                    <w:sz w:val="18"/>
                  </w:rPr>
                  <m:t>ConfirmedSend</m:t>
                </m:r>
              </m:e>
            </m:box>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rPr>
          <w:rFonts w:ascii="Times New Roman" w:hAnsi="Times New Roman" w:eastAsia="宋体"/>
          <w:b w:val="0"/>
          <w:i w:val="0"/>
          <w:color w:val="000000"/>
          <w:sz w:val="18"/>
        </w:rPr>
        <w:t xml:space="preserve"> 事件。</w:t>
      </w:r>
    </w:p>
    <w:p w14:paraId="64E94410">
      <w:pPr>
        <w:pStyle w:val="71"/>
        <w:spacing w:before="0" w:after="0" w:line="240" w:lineRule="exact"/>
        <w:ind w:firstLine="360"/>
        <w:jc w:val="left"/>
      </w:pPr>
      <w:r>
        <w:rPr>
          <w:rFonts w:ascii="Times New Roman" w:hAnsi="Times New Roman" w:eastAsia="宋体"/>
          <w:b w:val="0"/>
          <w:i w:val="0"/>
          <w:color w:val="000000"/>
          <w:sz w:val="18"/>
        </w:rPr>
        <w:t xml:space="preserve">攻击者截获 </w:t>
      </w:r>
      <m:oMath>
        <m:box>
          <m:boxPr/>
          <m:e>
            <m:r>
              <m:rPr/>
              <w:rPr>
                <w:rFonts w:ascii="Cambria Math" w:hAnsi="Cambria Math" w:eastAsia="宋体"/>
                <w:color w:val="000000"/>
                <w:sz w:val="18"/>
              </w:rPr>
              <m:t>M</m:t>
            </m:r>
          </m:e>
        </m:box>
      </m:oMath>
      <w:r>
        <w:rPr>
          <w:rFonts w:ascii="Times New Roman" w:hAnsi="Times New Roman" w:eastAsia="宋体"/>
          <w:b w:val="0"/>
          <w:i w:val="0"/>
          <w:color w:val="000000"/>
          <w:sz w:val="18"/>
        </w:rPr>
        <w:t xml:space="preserve"> 后，无须修改密文或伪造 HMAC，而是将同一确认消息分别投递到接收方 </w:t>
      </w:r>
      <m:oMath>
        <m:box>
          <m:boxPr/>
          <m:e>
            <m:r>
              <m:rPr/>
              <w:rPr>
                <w:rFonts w:ascii="Cambria Math" w:hAnsi="Cambria Math" w:eastAsia="宋体"/>
                <w:color w:val="000000"/>
                <w:sz w:val="18"/>
              </w:rPr>
              <m:t>B</m:t>
            </m:r>
          </m:e>
        </m:box>
      </m:oMath>
      <w:r>
        <w:rPr>
          <w:rFonts w:ascii="Times New Roman" w:hAnsi="Times New Roman" w:eastAsia="宋体"/>
          <w:b w:val="0"/>
          <w:i w:val="0"/>
          <w:color w:val="000000"/>
          <w:sz w:val="18"/>
        </w:rPr>
        <w:t xml:space="preserve"> 创建的批次 </w:t>
      </w:r>
      <m:oMath>
        <m:box>
          <m:boxPr/>
          <m:e>
            <m:box>
              <m:boxPr/>
              <m:e>
                <m:r>
                  <m:rPr/>
                  <w:rPr>
                    <w:rFonts w:ascii="Cambria Math" w:hAnsi="Cambria Math" w:eastAsia="宋体"/>
                    <w:color w:val="000000"/>
                    <w:sz w:val="18"/>
                  </w:rPr>
                  <m:t>bid</m:t>
                </m:r>
              </m:e>
            </m:box>
          </m:e>
        </m:box>
      </m:oMath>
      <w:r>
        <w:rPr>
          <w:rFonts w:ascii="Times New Roman" w:hAnsi="Times New Roman" w:eastAsia="宋体"/>
          <w:b w:val="0"/>
          <w:i w:val="0"/>
          <w:color w:val="000000"/>
          <w:sz w:val="18"/>
        </w:rPr>
        <w:t xml:space="preserve"> 中两个不同槽位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e>
        </m:box>
      </m:oMath>
      <w:r>
        <w:rPr>
          <w:rFonts w:ascii="Times New Roman" w:hAnsi="Times New Roman" w:eastAsia="宋体"/>
          <w:b w:val="0"/>
          <w:i w:val="0"/>
          <w:color w:val="000000"/>
          <w:sz w:val="18"/>
        </w:rPr>
        <w:t xml:space="preserve"> 和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b w:val="0"/>
          <w:i w:val="0"/>
          <w:color w:val="000000"/>
          <w:sz w:val="18"/>
        </w:rPr>
        <w:t xml:space="preserve">。两个槽位共享接收状态 </w:t>
      </w:r>
      <m:oMath>
        <m:box>
          <m:boxPr/>
          <m:e>
            <m:box>
              <m:boxPr/>
              <m:e>
                <m:r>
                  <m:rPr/>
                  <w:rPr>
                    <w:rFonts w:ascii="Cambria Math" w:hAnsi="Cambria Math" w:eastAsia="宋体"/>
                    <w:color w:val="000000"/>
                    <w:sz w:val="18"/>
                  </w:rPr>
                  <m:t>rst</m:t>
                </m:r>
              </m:e>
            </m:box>
          </m:e>
        </m:box>
      </m:oMath>
      <w:r>
        <w:rPr>
          <w:rFonts w:ascii="Times New Roman" w:hAnsi="Times New Roman" w:eastAsia="宋体"/>
          <w:b w:val="0"/>
          <w:i w:val="0"/>
          <w:color w:val="000000"/>
          <w:sz w:val="18"/>
        </w:rPr>
        <w:t xml:space="preserve">，且满足 </w:t>
      </w:r>
      <m:oMath>
        <m:box>
          <m:boxPr/>
          <m:e>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e>
        </m:box>
      </m:oMath>
      <w:r>
        <w:rPr>
          <w:rFonts w:ascii="Times New Roman" w:hAnsi="Times New Roman" w:eastAsia="宋体"/>
          <w:b w:val="0"/>
          <w:i w:val="0"/>
          <w:color w:val="000000"/>
          <w:sz w:val="18"/>
        </w:rPr>
        <w:t>。</w:t>
      </w:r>
    </w:p>
    <w:p w14:paraId="3F719D60">
      <w:pPr>
        <w:pStyle w:val="71"/>
        <w:spacing w:before="0" w:after="0" w:line="240" w:lineRule="exact"/>
        <w:ind w:firstLine="360"/>
        <w:jc w:val="left"/>
      </w:pPr>
      <w:r>
        <w:rPr>
          <w:rFonts w:ascii="Times New Roman" w:hAnsi="Times New Roman" w:eastAsia="宋体"/>
          <w:b w:val="0"/>
          <w:i w:val="0"/>
          <w:color w:val="000000"/>
          <w:sz w:val="18"/>
        </w:rPr>
        <w:t>批次封闭后，接收方依次处理两个槽位。由于两次处理使用完全相同的合法确认消息，其对应的会话参数及 HMAC 标签均能够通过验证，从而分别触发：</w:t>
      </w:r>
    </w:p>
    <w:p w14:paraId="6570FCA6">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ConfirmedReceiverAccept</m:t>
                  </m:r>
                </m:e>
              </m:box>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tab/>
      </w:r>
      <w:r>
        <w:t>(23)</w:t>
      </w:r>
    </w:p>
    <w:p w14:paraId="195495E1">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ConfirmedReceiverAccept</m:t>
                  </m:r>
                </m:e>
              </m:box>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box>
              <m:boxPr/>
              <m:e>
                <m:r>
                  <m:rPr/>
                  <w:rPr>
                    <w:rFonts w:ascii="Cambria Math" w:hAnsi="Cambria Math" w:eastAsia="宋体"/>
                    <w:color w:val="000000"/>
                    <w:sz w:val="18"/>
                  </w:rPr>
                  <m:t>tag</m:t>
                </m:r>
              </m:e>
            </m:box>
            <m:r>
              <m:rPr>
                <m:sty m:val="p"/>
              </m:rPr>
              <w:rPr>
                <w:rFonts w:ascii="Cambria Math" w:hAnsi="Cambria Math" w:eastAsia="宋体"/>
                <w:color w:val="000000"/>
                <w:sz w:val="18"/>
              </w:rPr>
              <m:t>)</m:t>
            </m:r>
          </m:e>
        </m:box>
      </m:oMath>
      <w:r>
        <w:tab/>
      </w:r>
      <w:r>
        <w:t>(24)</w:t>
      </w:r>
    </w:p>
    <w:p w14:paraId="13B6E27D">
      <w:pPr>
        <w:pStyle w:val="71"/>
        <w:spacing w:before="0" w:after="0" w:line="240" w:lineRule="exact"/>
        <w:ind w:firstLine="360"/>
        <w:jc w:val="left"/>
      </w:pPr>
      <w:r>
        <w:rPr>
          <w:rFonts w:ascii="Times New Roman" w:hAnsi="Times New Roman" w:eastAsia="宋体"/>
          <w:b w:val="0"/>
          <w:i w:val="0"/>
          <w:color w:val="000000"/>
          <w:sz w:val="18"/>
        </w:rPr>
        <w:t xml:space="preserve">最终，接收方正常完成该批次，产生 </w:t>
      </w:r>
      <m:oMath>
        <m:box>
          <m:boxPr/>
          <m:e>
            <m:box>
              <m:boxPr/>
              <m:e>
                <m:r>
                  <m:rPr>
                    <m:scr m:val="sans-serif"/>
                  </m:rPr>
                  <w:rPr>
                    <w:rFonts w:ascii="Cambria Math" w:hAnsi="Cambria Math" w:eastAsia="宋体"/>
                    <w:color w:val="000000"/>
                    <w:sz w:val="18"/>
                  </w:rPr>
                  <m:t>BatchComplete</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e>
        </m:box>
      </m:oMath>
      <w:r>
        <w:rPr>
          <w:rFonts w:ascii="Times New Roman" w:hAnsi="Times New Roman" w:eastAsia="宋体"/>
          <w:b w:val="0"/>
          <w:i w:val="0"/>
          <w:color w:val="000000"/>
          <w:sz w:val="18"/>
        </w:rPr>
        <w:t>。</w:t>
      </w:r>
    </w:p>
    <w:p w14:paraId="6855E310">
      <w:pPr>
        <w:pStyle w:val="71"/>
        <w:spacing w:before="0" w:after="0" w:line="240" w:lineRule="exact"/>
        <w:ind w:firstLine="360"/>
        <w:jc w:val="left"/>
      </w:pPr>
      <w:r>
        <w:rPr>
          <w:rFonts w:ascii="Times New Roman" w:hAnsi="Times New Roman" w:eastAsia="宋体"/>
          <w:b w:val="0"/>
          <w:i w:val="0"/>
          <w:color w:val="000000"/>
          <w:sz w:val="18"/>
        </w:rPr>
        <w:t>因此，攻击者仅通过重复投递一条合法消息，即可形成：</w:t>
      </w:r>
    </w:p>
    <w:p w14:paraId="212D425C">
      <w:pPr>
        <w:pStyle w:val="71"/>
        <w:spacing w:before="0" w:after="0" w:line="240" w:lineRule="exact"/>
        <w:ind w:firstLine="360"/>
        <w:jc w:val="left"/>
      </w:pPr>
      <w:r>
        <w:rPr>
          <w:rFonts w:ascii="Times New Roman" w:hAnsi="Times New Roman" w:eastAsia="宋体"/>
          <w:b/>
          <w:i w:val="0"/>
          <w:color w:val="000000"/>
          <w:sz w:val="18"/>
        </w:rPr>
        <w:t>一次合法发送 → 两次确认成功 → 两次接收完成 → 批次正常结束。</w:t>
      </w:r>
    </w:p>
    <w:p w14:paraId="33864C00">
      <w:pPr>
        <w:pStyle w:val="71"/>
        <w:spacing w:before="0" w:after="0" w:line="240" w:lineRule="exact"/>
        <w:ind w:firstLine="360"/>
        <w:jc w:val="left"/>
      </w:pPr>
      <w:r>
        <w:rPr>
          <w:rFonts w:ascii="Times New Roman" w:hAnsi="Times New Roman" w:eastAsia="宋体"/>
          <w:b w:val="0"/>
          <w:i w:val="0"/>
          <w:color w:val="000000"/>
          <w:sz w:val="18"/>
        </w:rPr>
        <w:t>该攻击不需要泄露会话密钥，也不涉及 HMAC 伪造，而是利用了批次处理过程中缺少消息级重复接受约束的问题。</w:t>
      </w:r>
    </w:p>
    <w:p w14:paraId="3E8054F1">
      <w:pPr>
        <w:pStyle w:val="68"/>
        <w:keepNext/>
        <w:spacing w:before="60" w:after="20"/>
      </w:pPr>
      <w:r>
        <w:rPr>
          <w:rFonts w:ascii="Times New Roman" w:hAnsi="Times New Roman" w:eastAsia="宋体"/>
          <w:b/>
          <w:i w:val="0"/>
          <w:color w:val="000000"/>
          <w:sz w:val="18"/>
        </w:rPr>
        <w:t>攻击原因及验证</w:t>
      </w:r>
    </w:p>
    <w:p w14:paraId="2C00BBF4">
      <w:pPr>
        <w:pStyle w:val="71"/>
        <w:spacing w:before="0" w:after="0" w:line="240" w:lineRule="exact"/>
        <w:ind w:firstLine="360"/>
        <w:jc w:val="left"/>
      </w:pPr>
      <w:r>
        <w:rPr>
          <w:rFonts w:ascii="Times New Roman" w:hAnsi="Times New Roman" w:eastAsia="宋体"/>
          <w:b w:val="0"/>
          <w:i w:val="0"/>
          <w:color w:val="000000"/>
          <w:sz w:val="18"/>
        </w:rPr>
        <w:t>HMAC 标签绑定了会话标识及派生密钥，能够识别与发送会话参数不一致的消息，却不能判断同一有效消息是否已在当前批次中被处理。因此，当两个槽位使用相同的合法确认消息时，各自的密码学验证均能够成功。</w:t>
      </w:r>
    </w:p>
    <w:p w14:paraId="536F6C3F">
      <w:pPr>
        <w:pStyle w:val="71"/>
        <w:spacing w:before="0" w:after="0" w:line="240" w:lineRule="exact"/>
        <w:ind w:firstLine="360"/>
        <w:jc w:val="left"/>
      </w:pPr>
      <w:r>
        <w:rPr>
          <w:rFonts w:ascii="Times New Roman" w:hAnsi="Times New Roman" w:eastAsia="宋体"/>
          <w:b w:val="0"/>
          <w:i w:val="0"/>
          <w:color w:val="000000"/>
          <w:sz w:val="18"/>
        </w:rPr>
        <w:t>本文针对该问题构造 Tamarin 攻击存在性引理 one_confirmed_send_two_accepts_exists。验证结果表明，在不发生发送方和接收方状态泄露的情况下，一个合法确认发送对应两个不同接收事件的攻击路径可达，证明过程为17步。</w:t>
      </w:r>
    </w:p>
    <w:p w14:paraId="01B853E7">
      <w:pPr>
        <w:pStyle w:val="71"/>
        <w:spacing w:before="0" w:after="0" w:line="240" w:lineRule="exact"/>
        <w:ind w:firstLine="360"/>
        <w:jc w:val="left"/>
      </w:pPr>
      <w:r>
        <w:rPr>
          <w:rFonts w:ascii="Times New Roman" w:hAnsi="Times New Roman" w:eastAsia="宋体"/>
          <w:b w:val="0"/>
          <w:i w:val="0"/>
          <w:color w:val="000000"/>
          <w:sz w:val="18"/>
        </w:rPr>
        <w:t>进一步验证发现，confirmed_message_accepted_at_most_once 和 injective_confirmed_receiver_accept 两项安全性质均被15步反例否定，而合法接收的发送来源对应关系仍然成立。</w:t>
      </w:r>
    </w:p>
    <w:p w14:paraId="02E3FC5F">
      <w:pPr>
        <w:pStyle w:val="71"/>
        <w:spacing w:before="0" w:after="0" w:line="240" w:lineRule="exact"/>
        <w:ind w:firstLine="360"/>
        <w:jc w:val="left"/>
      </w:pPr>
      <w:r>
        <w:rPr>
          <w:rFonts w:ascii="Times New Roman" w:hAnsi="Times New Roman" w:eastAsia="宋体"/>
          <w:b/>
          <w:i w:val="0"/>
          <w:color w:val="000000"/>
          <w:sz w:val="18"/>
        </w:rPr>
        <w:t>该结果表明，HMAC 修复了消息篡改引起的完整参数对应关系问题，却不能阻止同一有效消息在一个批次中被重复接受。</w:t>
      </w:r>
      <w:r>
        <w:rPr>
          <w:rFonts w:ascii="Times New Roman" w:hAnsi="Times New Roman" w:eastAsia="宋体"/>
          <w:b w:val="0"/>
          <w:i w:val="0"/>
          <w:color w:val="000000"/>
          <w:sz w:val="18"/>
        </w:rPr>
        <w:t xml:space="preserve"> 因此，单条消息的密码学确认并不能替代批次级重复输入检查。</w:t>
      </w:r>
    </w:p>
    <w:p w14:paraId="5CE838E4">
      <w:pPr>
        <w:pStyle w:val="66"/>
        <w:keepNext/>
        <w:spacing w:before="60" w:after="20"/>
      </w:pPr>
      <w:r>
        <w:rPr>
          <w:rFonts w:ascii="Times New Roman" w:hAnsi="Times New Roman" w:eastAsia="宋体"/>
          <w:b/>
          <w:i w:val="0"/>
          <w:color w:val="000000"/>
          <w:sz w:val="18"/>
        </w:rPr>
        <w:t>重复接受的安全影响</w:t>
      </w:r>
    </w:p>
    <w:p w14:paraId="79A984FD">
      <w:pPr>
        <w:pStyle w:val="71"/>
        <w:spacing w:before="0" w:after="0" w:line="240" w:lineRule="exact"/>
        <w:ind w:firstLine="360"/>
        <w:jc w:val="left"/>
      </w:pPr>
      <w:r>
        <w:rPr>
          <w:rFonts w:ascii="Times New Roman" w:hAnsi="Times New Roman" w:eastAsia="宋体"/>
          <w:b w:val="0"/>
          <w:i w:val="0"/>
          <w:color w:val="000000"/>
          <w:sz w:val="18"/>
        </w:rPr>
        <w:t>为进一步分析批内重复接受对后续会话处理的影响，本文建立独立的上层消费模型 C_install-v2，研究多个成功接收输出被分别安装时可能产生的安全后果。</w:t>
      </w:r>
    </w:p>
    <w:p w14:paraId="70881B23">
      <w:pPr>
        <w:pStyle w:val="68"/>
        <w:keepNext/>
        <w:spacing w:before="60" w:after="20"/>
      </w:pPr>
      <w:r>
        <w:rPr>
          <w:rFonts w:ascii="Times New Roman" w:hAnsi="Times New Roman" w:eastAsia="宋体"/>
          <w:b/>
          <w:i w:val="0"/>
          <w:color w:val="000000"/>
          <w:sz w:val="18"/>
        </w:rPr>
        <w:t>上层消费模型</w:t>
      </w:r>
    </w:p>
    <w:p w14:paraId="08C42151">
      <w:pPr>
        <w:pStyle w:val="71"/>
        <w:spacing w:before="0" w:after="0" w:line="240" w:lineRule="exact"/>
        <w:ind w:firstLine="360"/>
        <w:jc w:val="left"/>
      </w:pPr>
      <w:r>
        <w:rPr>
          <w:rFonts w:ascii="Times New Roman" w:hAnsi="Times New Roman" w:eastAsia="宋体"/>
          <w:b w:val="0"/>
          <w:i w:val="0"/>
          <w:color w:val="000000"/>
          <w:sz w:val="18"/>
        </w:rPr>
        <w:t xml:space="preserve">在该模型中，每个成功的 </w:t>
      </w:r>
      <m:oMath>
        <m:box>
          <m:boxPr/>
          <m:e>
            <m:box>
              <m:boxPr/>
              <m:e>
                <m:r>
                  <m:rPr>
                    <m:scr m:val="sans-serif"/>
                  </m:rPr>
                  <w:rPr>
                    <w:rFonts w:ascii="Cambria Math" w:hAnsi="Cambria Math" w:eastAsia="宋体"/>
                    <w:color w:val="000000"/>
                    <w:sz w:val="18"/>
                  </w:rPr>
                  <m:t>ReceiverAccept</m:t>
                </m:r>
              </m:e>
            </m:box>
          </m:e>
        </m:box>
      </m:oMath>
      <w:r>
        <w:rPr>
          <w:rFonts w:ascii="Times New Roman" w:hAnsi="Times New Roman" w:eastAsia="宋体"/>
          <w:b w:val="0"/>
          <w:i w:val="0"/>
          <w:color w:val="000000"/>
          <w:sz w:val="18"/>
        </w:rPr>
        <w:t xml:space="preserve"> 均产生一个具有独立标识 </w:t>
      </w:r>
      <m:oMath>
        <m:box>
          <m:boxPr/>
          <m:e>
            <m:box>
              <m:boxPr/>
              <m:e>
                <m:r>
                  <m:rPr/>
                  <w:rPr>
                    <w:rFonts w:ascii="Cambria Math" w:hAnsi="Cambria Math" w:eastAsia="宋体"/>
                    <w:color w:val="000000"/>
                    <w:sz w:val="18"/>
                  </w:rPr>
                  <m:t>aid</m:t>
                </m:r>
              </m:e>
            </m:box>
          </m:e>
        </m:box>
      </m:oMath>
      <w:r>
        <w:rPr>
          <w:rFonts w:ascii="Times New Roman" w:hAnsi="Times New Roman" w:eastAsia="宋体"/>
          <w:b w:val="0"/>
          <w:i w:val="0"/>
          <w:color w:val="000000"/>
          <w:sz w:val="18"/>
        </w:rPr>
        <w:t xml:space="preserve"> 的接收输出。批次成功完成后，消费组件逐项处理这些输出，并为每次安装分配新的本地句柄 </w:t>
      </w:r>
      <m:oMath>
        <m:box>
          <m:boxPr/>
          <m:e>
            <m:r>
              <m:rPr/>
              <w:rPr>
                <w:rFonts w:ascii="Cambria Math" w:hAnsi="Cambria Math" w:eastAsia="宋体"/>
                <w:color w:val="000000"/>
                <w:sz w:val="18"/>
              </w:rPr>
              <m:t>h</m:t>
            </m:r>
          </m:e>
        </m:box>
      </m:oMath>
      <w:r>
        <w:rPr>
          <w:rFonts w:ascii="Times New Roman" w:hAnsi="Times New Roman" w:eastAsia="宋体"/>
          <w:b w:val="0"/>
          <w:i w:val="0"/>
          <w:color w:val="000000"/>
          <w:sz w:val="18"/>
        </w:rPr>
        <w:t>，产生：</w:t>
      </w:r>
    </w:p>
    <w:p w14:paraId="1E29B3E9">
      <w:pPr>
        <w:pStyle w:val="74"/>
        <w:keepLines/>
        <w:tabs>
          <w:tab w:val="right" w:pos="4592"/>
        </w:tabs>
        <w:spacing w:before="40" w:after="40"/>
        <w:jc w:val="center"/>
      </w:pP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h</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(25)</w:t>
      </w:r>
    </w:p>
    <w:p w14:paraId="41844970">
      <w:pPr>
        <w:pStyle w:val="71"/>
        <w:spacing w:before="0" w:after="0" w:line="240" w:lineRule="exact"/>
        <w:ind w:firstLine="360"/>
        <w:jc w:val="left"/>
      </w:pPr>
      <w:r>
        <w:rPr>
          <w:rFonts w:ascii="Times New Roman" w:hAnsi="Times New Roman" w:eastAsia="宋体"/>
          <w:b w:val="0"/>
          <w:i w:val="0"/>
          <w:color w:val="000000"/>
          <w:sz w:val="18"/>
        </w:rPr>
        <w:t>C_install-v2 保证安装事件具有对应的接收输出来源，并约束安装发生在批次完成之后；但消费组件不依据消息、会话标识或会话密钥合并不同的成功输出。</w:t>
      </w:r>
    </w:p>
    <w:p w14:paraId="17557AA0">
      <w:pPr>
        <w:pStyle w:val="71"/>
        <w:spacing w:before="0" w:after="0" w:line="240" w:lineRule="exact"/>
        <w:ind w:firstLine="360"/>
        <w:jc w:val="left"/>
      </w:pPr>
      <w:r>
        <w:rPr>
          <w:rFonts w:ascii="Times New Roman" w:hAnsi="Times New Roman" w:eastAsia="宋体"/>
          <w:b w:val="0"/>
          <w:i w:val="0"/>
          <w:color w:val="000000"/>
          <w:sz w:val="18"/>
        </w:rPr>
        <w:t>因此，当同一消息被两个槽位接受时，模型允许得到具有相同会话参数但不同输出标识的两个结果。</w:t>
      </w:r>
    </w:p>
    <w:p w14:paraId="68EF7F7E">
      <w:pPr>
        <w:pStyle w:val="68"/>
        <w:keepNext/>
        <w:spacing w:before="60" w:after="20"/>
      </w:pPr>
      <w:r>
        <w:rPr>
          <w:rFonts w:ascii="Times New Roman" w:hAnsi="Times New Roman" w:eastAsia="宋体"/>
          <w:b/>
          <w:i w:val="0"/>
          <w:color w:val="000000"/>
          <w:sz w:val="18"/>
        </w:rPr>
        <w:t>条件化重复安装攻击</w:t>
      </w:r>
    </w:p>
    <w:p w14:paraId="04AAD11E">
      <w:pPr>
        <w:pStyle w:val="71"/>
        <w:spacing w:before="0" w:after="0" w:line="240" w:lineRule="exact"/>
        <w:ind w:firstLine="360"/>
        <w:jc w:val="left"/>
      </w:pPr>
      <w:r>
        <w:rPr>
          <w:rFonts w:ascii="Times New Roman" w:hAnsi="Times New Roman" w:eastAsia="宋体"/>
          <w:b w:val="0"/>
          <w:i w:val="0"/>
          <w:color w:val="000000"/>
          <w:sz w:val="18"/>
        </w:rPr>
        <w:t>攻击者将同一合法消息重复投递至批次中的两个槽位后，接收方分别产生两个接收事件及对应输出：</w:t>
      </w:r>
    </w:p>
    <w:p w14:paraId="32A7B105">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AcceptOutputCreated</m:t>
                  </m:r>
                </m:e>
              </m:box>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(26)</w:t>
      </w:r>
    </w:p>
    <w:p w14:paraId="258CA1E0">
      <w:pPr>
        <w:pStyle w:val="74"/>
        <w:keepLines/>
        <w:tabs>
          <w:tab w:val="right" w:pos="4592"/>
        </w:tabs>
        <w:spacing w:before="40" w:after="40"/>
        <w:jc w:val="center"/>
      </w:pPr>
      <m:oMathPara>
        <m:oMath>
          <m:box>
            <m:boxPr/>
            <m:e>
              <m:box>
                <m:boxPr/>
                <m:e>
                  <m:r>
                    <m:rPr>
                      <m:scr m:val="sans-serif"/>
                    </m:rPr>
                    <w:rPr>
                      <w:rFonts w:ascii="Cambria Math" w:hAnsi="Cambria Math" w:eastAsia="宋体"/>
                      <w:color w:val="000000"/>
                      <w:sz w:val="18"/>
                    </w:rPr>
                    <m:t>AcceptOutputCreated</m:t>
                  </m:r>
                </m:e>
              </m:box>
            </m:e>
          </m:box>
        </m:oMath>
      </m:oMathPara>
      <w:r>
        <w:br w:type="textWrapping"/>
      </w:r>
      <m:oMath>
        <m:box>
          <m:boxPr/>
          <m:e>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bid</m:t>
                </m:r>
              </m:e>
            </m:box>
            <m:r>
              <m:rPr>
                <m:sty m:val="p"/>
              </m:rPr>
              <w:rPr>
                <w:rFonts w:ascii="Cambria Math" w:hAnsi="Cambria Math" w:eastAsia="宋体"/>
                <w:color w:val="000000"/>
                <w:sz w:val="18"/>
              </w:rPr>
              <m:t>,</m:t>
            </m:r>
            <m:r>
              <m:rPr/>
              <w:rPr>
                <w:rFonts w:ascii="Cambria Math" w:hAnsi="Cambria Math" w:eastAsia="宋体"/>
                <w:color w:val="000000"/>
                <w:sz w:val="18"/>
              </w:rPr>
              <m:t>id</m:t>
            </m:r>
            <m:sSub>
              <m:sSubPr/>
              <m:e>
                <m:r>
                  <m:rPr/>
                  <w:rPr>
                    <w:rFonts w:ascii="Cambria Math" w:hAnsi="Cambria Math" w:eastAsia="宋体"/>
                    <w:color w:val="000000"/>
                    <w:sz w:val="18"/>
                  </w:rPr>
                  <m:t>x</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box>
              <m:boxPr/>
              <m:e>
                <m:r>
                  <m:rPr/>
                  <w:rPr>
                    <w:rFonts w:ascii="Cambria Math" w:hAnsi="Cambria Math" w:eastAsia="宋体"/>
                    <w:color w:val="000000"/>
                    <w:sz w:val="18"/>
                  </w:rPr>
                  <m:t>rst</m:t>
                </m:r>
              </m:e>
            </m:box>
            <m:r>
              <m:rPr>
                <m:sty m:val="p"/>
              </m:rPr>
              <w:rPr>
                <w:rFonts w:ascii="Cambria Math" w:hAnsi="Cambria Math" w:eastAsia="宋体"/>
                <w:color w:val="000000"/>
                <w:sz w:val="18"/>
              </w:rPr>
              <m:t>,</m:t>
            </m:r>
            <m:r>
              <m:rPr/>
              <w:rPr>
                <w:rFonts w:ascii="Cambria Math" w:hAnsi="Cambria Math" w:eastAsia="宋体"/>
                <w:color w:val="000000"/>
                <w:sz w:val="18"/>
              </w:rPr>
              <m:t>m</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(27)</w:t>
      </w:r>
    </w:p>
    <w:p w14:paraId="58782F67">
      <w:pPr>
        <w:pStyle w:val="71"/>
        <w:spacing w:before="0" w:after="0" w:line="240" w:lineRule="exact"/>
        <w:ind w:firstLine="360"/>
        <w:jc w:val="left"/>
      </w:pPr>
      <w:r>
        <w:rPr>
          <w:rFonts w:ascii="Times New Roman" w:hAnsi="Times New Roman" w:eastAsia="宋体"/>
          <w:b w:val="0"/>
          <w:i w:val="0"/>
          <w:color w:val="000000"/>
          <w:sz w:val="18"/>
        </w:rPr>
        <w:t xml:space="preserve">其中 </w:t>
      </w:r>
      <m:oMath>
        <m:box>
          <m:boxPr/>
          <m:e>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ai</m:t>
            </m:r>
            <m:sSub>
              <m:sSubPr/>
              <m:e>
                <m:r>
                  <m:rPr/>
                  <w:rPr>
                    <w:rFonts w:ascii="Cambria Math" w:hAnsi="Cambria Math" w:eastAsia="宋体"/>
                    <w:color w:val="000000"/>
                    <w:sz w:val="18"/>
                  </w:rPr>
                  <m:t>d</m:t>
                </m:r>
              </m:e>
              <m:sub>
                <m:box>
                  <m:boxPr/>
                  <m:e>
                    <m:r>
                      <m:rPr>
                        <m:sty m:val="p"/>
                      </m:rPr>
                      <w:rPr>
                        <w:rFonts w:ascii="Cambria Math" w:hAnsi="Cambria Math" w:eastAsia="宋体"/>
                        <w:color w:val="000000"/>
                        <w:sz w:val="18"/>
                      </w:rPr>
                      <m:t>2</m:t>
                    </m:r>
                  </m:e>
                </m:box>
              </m:sub>
            </m:sSub>
          </m:e>
        </m:box>
      </m:oMath>
      <w:r>
        <w:rPr>
          <w:rFonts w:ascii="Times New Roman" w:hAnsi="Times New Roman" w:eastAsia="宋体"/>
          <w:b w:val="0"/>
          <w:i w:val="0"/>
          <w:color w:val="000000"/>
          <w:sz w:val="18"/>
        </w:rPr>
        <w:t>。</w:t>
      </w:r>
    </w:p>
    <w:p w14:paraId="347B321D">
      <w:pPr>
        <w:pStyle w:val="71"/>
        <w:spacing w:before="0" w:after="0" w:line="240" w:lineRule="exact"/>
        <w:ind w:firstLine="360"/>
        <w:jc w:val="left"/>
      </w:pPr>
      <w:r>
        <w:rPr>
          <w:rFonts w:ascii="Times New Roman" w:hAnsi="Times New Roman" w:eastAsia="宋体"/>
          <w:b w:val="0"/>
          <w:i w:val="0"/>
          <w:color w:val="000000"/>
          <w:sz w:val="18"/>
        </w:rPr>
        <w:t>批次完成后，消费组件分别安装两个输出，形成：</w:t>
      </w:r>
    </w:p>
    <w:p w14:paraId="5D577AC0">
      <w:pPr>
        <w:pStyle w:val="74"/>
        <w:keepLines/>
        <w:tabs>
          <w:tab w:val="right" w:pos="4592"/>
        </w:tabs>
        <w:spacing w:before="40" w:after="40"/>
        <w:jc w:val="center"/>
      </w:pP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(28)</w:t>
      </w:r>
    </w:p>
    <w:p w14:paraId="188ED766">
      <w:pPr>
        <w:pStyle w:val="74"/>
        <w:keepLines/>
        <w:tabs>
          <w:tab w:val="right" w:pos="4592"/>
        </w:tabs>
        <w:spacing w:before="40" w:after="40"/>
        <w:jc w:val="center"/>
      </w:pPr>
      <m:oMath>
        <m:box>
          <m:boxPr/>
          <m:e>
            <m:box>
              <m:boxPr/>
              <m:e>
                <m:r>
                  <m:rPr>
                    <m:scr m:val="sans-serif"/>
                  </m:rPr>
                  <w:rPr>
                    <w:rFonts w:ascii="Cambria Math" w:hAnsi="Cambria Math" w:eastAsia="宋体"/>
                    <w:color w:val="000000"/>
                    <w:sz w:val="18"/>
                  </w:rPr>
                  <m:t>InstallSession</m:t>
                </m:r>
              </m:e>
            </m:box>
            <m:r>
              <m:rPr>
                <m:sty m:val="p"/>
              </m:rPr>
              <w:rPr>
                <w:rFonts w:ascii="Cambria Math" w:hAnsi="Cambria Math" w:eastAsia="宋体"/>
                <w:color w:val="000000"/>
                <w:sz w:val="18"/>
              </w:rPr>
              <m:t>(</m:t>
            </m:r>
            <m:r>
              <m:rPr/>
              <w:rPr>
                <w:rFonts w:ascii="Cambria Math" w:hAnsi="Cambria Math" w:eastAsia="宋体"/>
                <w:color w:val="000000"/>
                <w:sz w:val="18"/>
              </w:rPr>
              <m:t>B</m:t>
            </m:r>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r>
              <m:rPr>
                <m:sty m:val="p"/>
              </m:rPr>
              <w:rPr>
                <w:rFonts w:ascii="Cambria Math" w:hAnsi="Cambria Math" w:eastAsia="宋体"/>
                <w:color w:val="000000"/>
                <w:sz w:val="18"/>
              </w:rPr>
              <m:t>,</m:t>
            </m:r>
            <m:r>
              <m:rPr/>
              <w:rPr>
                <w:rFonts w:ascii="Cambria Math" w:hAnsi="Cambria Math" w:eastAsia="宋体"/>
                <w:color w:val="000000"/>
                <w:sz w:val="18"/>
              </w:rPr>
              <m:t>A</m:t>
            </m:r>
            <m:r>
              <m:rPr>
                <m:sty m:val="p"/>
              </m:rPr>
              <w:rPr>
                <w:rFonts w:ascii="Cambria Math" w:hAnsi="Cambria Math" w:eastAsia="宋体"/>
                <w:color w:val="000000"/>
                <w:sz w:val="18"/>
              </w:rPr>
              <m:t>,</m:t>
            </m:r>
            <m:box>
              <m:boxPr/>
              <m:e>
                <m:r>
                  <m:rPr/>
                  <w:rPr>
                    <w:rFonts w:ascii="Cambria Math" w:hAnsi="Cambria Math" w:eastAsia="宋体"/>
                    <w:color w:val="000000"/>
                    <w:sz w:val="18"/>
                  </w:rPr>
                  <m:t>sid</m:t>
                </m:r>
              </m:e>
            </m:box>
            <m:r>
              <m:rPr>
                <m:sty m:val="p"/>
              </m:rPr>
              <w:rPr>
                <w:rFonts w:ascii="Cambria Math" w:hAnsi="Cambria Math" w:eastAsia="宋体"/>
                <w:color w:val="000000"/>
                <w:sz w:val="18"/>
              </w:rPr>
              <m:t>,</m:t>
            </m:r>
            <m:r>
              <m:rPr/>
              <w:rPr>
                <w:rFonts w:ascii="Cambria Math" w:hAnsi="Cambria Math" w:eastAsia="宋体"/>
                <w:color w:val="000000"/>
                <w:sz w:val="18"/>
              </w:rPr>
              <m:t>k</m:t>
            </m:r>
            <m:r>
              <m:rPr>
                <m:sty m:val="p"/>
              </m:rPr>
              <w:rPr>
                <w:rFonts w:ascii="Cambria Math" w:hAnsi="Cambria Math" w:eastAsia="宋体"/>
                <w:color w:val="000000"/>
                <w:sz w:val="18"/>
              </w:rPr>
              <m:t>)</m:t>
            </m:r>
          </m:e>
        </m:box>
      </m:oMath>
      <w:r>
        <w:tab/>
      </w:r>
      <w:r>
        <w:t>(29)</w:t>
      </w:r>
    </w:p>
    <w:p w14:paraId="409B5C23">
      <w:pPr>
        <w:pStyle w:val="71"/>
        <w:spacing w:before="0" w:after="0" w:line="240" w:lineRule="exact"/>
        <w:ind w:firstLine="360"/>
        <w:jc w:val="left"/>
      </w:pPr>
      <w:r>
        <w:rPr>
          <w:rFonts w:ascii="Times New Roman" w:hAnsi="Times New Roman" w:eastAsia="宋体"/>
          <w:b w:val="0"/>
          <w:i w:val="0"/>
          <w:color w:val="000000"/>
          <w:sz w:val="18"/>
        </w:rPr>
        <w:t xml:space="preserve">其中 </w:t>
      </w:r>
      <m:oMath>
        <m:box>
          <m:boxPr/>
          <m:e>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1</m:t>
                    </m:r>
                  </m:e>
                </m:box>
              </m:sub>
            </m:sSub>
            <m:r>
              <m:rPr>
                <m:sty m:val="p"/>
              </m:rPr>
              <w:rPr>
                <w:rFonts w:ascii="Cambria Math" w:hAnsi="Cambria Math" w:eastAsia="宋体"/>
                <w:color w:val="000000"/>
                <w:sz w:val="18"/>
              </w:rPr>
              <m:t>≠</m:t>
            </m:r>
            <m:sSub>
              <m:sSubPr/>
              <m:e>
                <m:r>
                  <m:rPr/>
                  <w:rPr>
                    <w:rFonts w:ascii="Cambria Math" w:hAnsi="Cambria Math" w:eastAsia="宋体"/>
                    <w:color w:val="000000"/>
                    <w:sz w:val="18"/>
                  </w:rPr>
                  <m:t>h</m:t>
                </m:r>
              </m:e>
              <m:sub>
                <m:box>
                  <m:boxPr/>
                  <m:e>
                    <m:r>
                      <m:rPr>
                        <m:sty m:val="p"/>
                      </m:rPr>
                      <w:rPr>
                        <w:rFonts w:ascii="Cambria Math" w:hAnsi="Cambria Math" w:eastAsia="宋体"/>
                        <w:color w:val="000000"/>
                        <w:sz w:val="18"/>
                      </w:rPr>
                      <m:t>2</m:t>
                    </m:r>
                  </m:e>
                </m:box>
              </m:sub>
            </m:sSub>
          </m:e>
        </m:box>
      </m:oMath>
      <w:r>
        <w:rPr>
          <w:rFonts w:ascii="Times New Roman" w:hAnsi="Times New Roman" w:eastAsia="宋体"/>
          <w:b w:val="0"/>
          <w:i w:val="0"/>
          <w:color w:val="000000"/>
          <w:sz w:val="18"/>
        </w:rPr>
        <w:t>，而两个安装事件具有完全相同的发送方、会话标识和会话密钥。</w:t>
      </w:r>
    </w:p>
    <w:p w14:paraId="79624BF1">
      <w:pPr>
        <w:pStyle w:val="71"/>
        <w:spacing w:before="0" w:after="0" w:line="240" w:lineRule="exact"/>
        <w:ind w:firstLine="360"/>
        <w:jc w:val="left"/>
      </w:pPr>
      <w:r>
        <w:rPr>
          <w:rFonts w:ascii="Times New Roman" w:hAnsi="Times New Roman" w:eastAsia="宋体"/>
          <w:b w:val="0"/>
          <w:i w:val="0"/>
          <w:color w:val="000000"/>
          <w:sz w:val="18"/>
        </w:rPr>
        <w:t>这一过程表明，</w:t>
      </w:r>
      <w:r>
        <w:rPr>
          <w:rFonts w:ascii="Times New Roman" w:hAnsi="Times New Roman" w:eastAsia="宋体"/>
          <w:b/>
          <w:i w:val="0"/>
          <w:color w:val="000000"/>
          <w:sz w:val="18"/>
        </w:rPr>
        <w:t>一次发送产生的重复接收输出，可以在逐输出独立安装的消费机制下形成两个具有相同会话参数、不同本地句柄的安装事件。</w:t>
      </w:r>
    </w:p>
    <w:p w14:paraId="62505E6B">
      <w:pPr>
        <w:pStyle w:val="71"/>
        <w:spacing w:before="0" w:after="0" w:line="240" w:lineRule="exact"/>
        <w:ind w:firstLine="360"/>
        <w:jc w:val="left"/>
      </w:pPr>
      <w:r>
        <w:rPr>
          <w:rFonts w:ascii="Times New Roman" w:hAnsi="Times New Roman" w:eastAsia="宋体"/>
          <w:b w:val="0"/>
          <w:i w:val="0"/>
          <w:color w:val="000000"/>
          <w:sz w:val="18"/>
        </w:rPr>
        <w:t>本文通过 one_send_two_accepts_two_installs_exists 验证了该攻击路径的可达性，Tamarin 给出了28步执行见证。同时，unique_install_within_completed_consumer 被反例否定，证明该消费模型中的同源安装唯一性无法维持。</w:t>
      </w:r>
    </w:p>
    <w:p w14:paraId="065AE1B1">
      <w:pPr>
        <w:pStyle w:val="71"/>
        <w:spacing w:before="0" w:after="0" w:line="240" w:lineRule="exact"/>
        <w:ind w:firstLine="360"/>
        <w:jc w:val="left"/>
      </w:pPr>
      <w:r>
        <w:rPr>
          <w:rFonts w:ascii="Times New Roman" w:hAnsi="Times New Roman" w:eastAsia="宋体"/>
          <w:b w:val="0"/>
          <w:i w:val="0"/>
          <w:color w:val="000000"/>
          <w:sz w:val="18"/>
        </w:rPr>
        <w:t>该结果是对重复接受安全影响的进一步验证，但其安装部分依赖明确的 C_install-v2 消费假设。这里使用的是独立的原始重复接收与消费组合模型，而非第4.2节 HMAC-only 模型的直接扩展，因此不将两个验证结果描述成同一条联合攻击轨迹，也不据此断言实际实现必然发生会话克隆。</w:t>
      </w:r>
    </w:p>
    <w:p w14:paraId="7D8D20AB">
      <w:pPr>
        <w:pStyle w:val="71"/>
        <w:spacing w:before="0" w:after="0" w:line="240" w:lineRule="exact"/>
        <w:ind w:firstLine="360"/>
        <w:jc w:val="left"/>
      </w:pPr>
      <w:r>
        <w:rPr>
          <w:rFonts w:ascii="Times New Roman" w:hAnsi="Times New Roman" w:eastAsia="宋体"/>
          <w:b w:val="0"/>
          <w:i/>
          <w:color w:val="000000"/>
          <w:sz w:val="18"/>
        </w:rPr>
        <w:t>【图3预留：批内重复接受与条件化重复安装攻击。】</w:t>
      </w:r>
    </w:p>
    <w:p w14:paraId="78DB3734">
      <w:pPr>
        <w:pStyle w:val="66"/>
        <w:keepNext/>
        <w:spacing w:before="60" w:after="20"/>
      </w:pPr>
      <w:r>
        <w:rPr>
          <w:rFonts w:ascii="Times New Roman" w:hAnsi="Times New Roman" w:eastAsia="宋体"/>
          <w:b/>
          <w:i w:val="0"/>
          <w:color w:val="000000"/>
          <w:sz w:val="18"/>
        </w:rPr>
        <w:t>形式化验证结果与分析</w:t>
      </w:r>
    </w:p>
    <w:p w14:paraId="0F3028C0">
      <w:pPr>
        <w:pStyle w:val="71"/>
        <w:spacing w:before="0" w:after="0" w:line="240" w:lineRule="exact"/>
        <w:ind w:firstLine="360"/>
        <w:jc w:val="left"/>
      </w:pPr>
      <w:r>
        <w:rPr>
          <w:rFonts w:ascii="Times New Roman" w:hAnsi="Times New Roman" w:eastAsia="宋体"/>
          <w:b w:val="0"/>
          <w:i w:val="0"/>
          <w:color w:val="000000"/>
          <w:sz w:val="18"/>
        </w:rPr>
        <w:t>本文分别验证原始重复接收模型、HMAC-only 模型以及 C_install-v2 消费模型。表3列出关键结果。</w:t>
      </w:r>
    </w:p>
    <w:p w14:paraId="1D4E9C4F">
      <w:pPr>
        <w:pStyle w:val="77"/>
        <w:keepNext/>
        <w:jc w:val="center"/>
      </w:pPr>
      <w:r>
        <w:rPr>
          <w:rFonts w:ascii="Times New Roman" w:hAnsi="Times New Roman" w:eastAsia="宋体"/>
          <w:b/>
          <w:i w:val="0"/>
          <w:color w:val="000000"/>
          <w:sz w:val="16"/>
        </w:rPr>
        <w:t>表3 批内重放攻击与安全影响验证结果</w:t>
      </w:r>
    </w:p>
    <w:tbl>
      <w:tblPr>
        <w:tblStyle w:val="16"/>
        <w:tblW w:w="4592" w:type="dxa"/>
        <w:jc w:val="center"/>
        <w:tblLayout w:type="fixed"/>
        <w:tblCellMar>
          <w:top w:w="0" w:type="dxa"/>
          <w:left w:w="108" w:type="dxa"/>
          <w:bottom w:w="0" w:type="dxa"/>
          <w:right w:w="108" w:type="dxa"/>
        </w:tblCellMar>
      </w:tblPr>
      <w:tblGrid>
        <w:gridCol w:w="1020"/>
        <w:gridCol w:w="1842"/>
        <w:gridCol w:w="991"/>
        <w:gridCol w:w="739"/>
      </w:tblGrid>
      <w:tr w14:paraId="19AE69FC">
        <w:tblPrEx>
          <w:tblCellMar>
            <w:top w:w="0" w:type="dxa"/>
            <w:left w:w="108" w:type="dxa"/>
            <w:bottom w:w="0" w:type="dxa"/>
            <w:right w:w="108" w:type="dxa"/>
          </w:tblCellMar>
        </w:tblPrEx>
        <w:trPr>
          <w:cantSplit/>
          <w:trHeight w:val="0" w:hRule="atLeast"/>
          <w:tblHeader/>
          <w:jc w:val="center"/>
        </w:trPr>
        <w:tc>
          <w:tcPr>
            <w:tcW w:w="1020" w:type="dxa"/>
            <w:tcBorders>
              <w:top w:val="single" w:color="000000" w:sz="6" w:space="0"/>
              <w:left w:val="nil"/>
              <w:bottom w:val="single" w:color="000000" w:sz="6" w:space="0"/>
              <w:right w:val="nil"/>
              <w:insideH w:val="nil"/>
              <w:insideV w:val="nil"/>
            </w:tcBorders>
            <w:vAlign w:val="center"/>
          </w:tcPr>
          <w:p w14:paraId="40D8BB19">
            <w:pPr>
              <w:spacing w:before="0" w:after="0" w:line="190" w:lineRule="exact"/>
              <w:jc w:val="center"/>
            </w:pPr>
            <w:r>
              <w:rPr>
                <w:rFonts w:ascii="Times New Roman" w:hAnsi="Times New Roman" w:eastAsia="宋体"/>
                <w:b/>
                <w:i w:val="0"/>
                <w:color w:val="000000"/>
                <w:sz w:val="15"/>
              </w:rPr>
              <w:t>模型</w:t>
            </w:r>
          </w:p>
        </w:tc>
        <w:tc>
          <w:tcPr>
            <w:tcW w:w="1842" w:type="dxa"/>
            <w:tcBorders>
              <w:top w:val="single" w:color="000000" w:sz="6" w:space="0"/>
              <w:left w:val="nil"/>
              <w:bottom w:val="single" w:color="000000" w:sz="6" w:space="0"/>
              <w:right w:val="nil"/>
              <w:insideH w:val="nil"/>
              <w:insideV w:val="nil"/>
            </w:tcBorders>
            <w:vAlign w:val="center"/>
          </w:tcPr>
          <w:p w14:paraId="627723B8">
            <w:pPr>
              <w:spacing w:before="0" w:after="0" w:line="190" w:lineRule="exact"/>
              <w:jc w:val="center"/>
            </w:pPr>
            <w:r>
              <w:rPr>
                <w:rFonts w:ascii="Times New Roman" w:hAnsi="Times New Roman" w:eastAsia="宋体"/>
                <w:b/>
                <w:i w:val="0"/>
                <w:color w:val="000000"/>
                <w:sz w:val="15"/>
              </w:rPr>
              <w:t>验证目标</w:t>
            </w:r>
          </w:p>
        </w:tc>
        <w:tc>
          <w:tcPr>
            <w:tcW w:w="991" w:type="dxa"/>
            <w:tcBorders>
              <w:top w:val="single" w:color="000000" w:sz="6" w:space="0"/>
              <w:left w:val="nil"/>
              <w:bottom w:val="single" w:color="000000" w:sz="6" w:space="0"/>
              <w:right w:val="nil"/>
              <w:insideH w:val="nil"/>
              <w:insideV w:val="nil"/>
            </w:tcBorders>
            <w:vAlign w:val="center"/>
          </w:tcPr>
          <w:p w14:paraId="5E8181CF">
            <w:pPr>
              <w:spacing w:before="0" w:after="0" w:line="190" w:lineRule="exact"/>
              <w:jc w:val="center"/>
            </w:pPr>
            <w:r>
              <w:rPr>
                <w:rFonts w:ascii="Times New Roman" w:hAnsi="Times New Roman" w:eastAsia="宋体"/>
                <w:b/>
                <w:i w:val="0"/>
                <w:color w:val="000000"/>
                <w:sz w:val="15"/>
              </w:rPr>
              <w:t>结果</w:t>
            </w:r>
          </w:p>
        </w:tc>
        <w:tc>
          <w:tcPr>
            <w:tcW w:w="739" w:type="dxa"/>
            <w:tcBorders>
              <w:top w:val="single" w:color="000000" w:sz="6" w:space="0"/>
              <w:left w:val="nil"/>
              <w:bottom w:val="single" w:color="000000" w:sz="6" w:space="0"/>
              <w:right w:val="nil"/>
              <w:insideH w:val="nil"/>
              <w:insideV w:val="nil"/>
            </w:tcBorders>
            <w:vAlign w:val="center"/>
          </w:tcPr>
          <w:p w14:paraId="247C6F5E">
            <w:pPr>
              <w:spacing w:before="0" w:after="0" w:line="190" w:lineRule="exact"/>
              <w:jc w:val="center"/>
            </w:pPr>
            <w:r>
              <w:rPr>
                <w:rFonts w:ascii="Times New Roman" w:hAnsi="Times New Roman" w:eastAsia="宋体"/>
                <w:b/>
                <w:i w:val="0"/>
                <w:color w:val="000000"/>
                <w:sz w:val="15"/>
              </w:rPr>
              <w:t>步数</w:t>
            </w:r>
          </w:p>
        </w:tc>
      </w:tr>
      <w:tr w14:paraId="6A05B1F4">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5DB7B5B1">
            <w:pPr>
              <w:spacing w:before="0" w:after="0" w:line="190" w:lineRule="exact"/>
              <w:jc w:val="left"/>
            </w:pPr>
            <w:r>
              <w:rPr>
                <w:rFonts w:ascii="Times New Roman" w:hAnsi="Times New Roman" w:eastAsia="宋体"/>
                <w:b w:val="0"/>
                <w:i w:val="0"/>
                <w:color w:val="000000"/>
                <w:sz w:val="15"/>
              </w:rPr>
              <w:t>原始接收</w:t>
            </w:r>
          </w:p>
        </w:tc>
        <w:tc>
          <w:tcPr>
            <w:tcW w:w="1842" w:type="dxa"/>
            <w:tcBorders>
              <w:top w:val="nil"/>
              <w:left w:val="nil"/>
              <w:bottom w:val="nil"/>
              <w:right w:val="nil"/>
              <w:insideH w:val="nil"/>
              <w:insideV w:val="nil"/>
            </w:tcBorders>
            <w:vAlign w:val="center"/>
          </w:tcPr>
          <w:p w14:paraId="05B718DA">
            <w:pPr>
              <w:spacing w:before="0" w:after="0" w:line="190" w:lineRule="exact"/>
              <w:jc w:val="left"/>
            </w:pPr>
            <w:r>
              <w:t>一次发送对应两次接受</w:t>
            </w:r>
          </w:p>
        </w:tc>
        <w:tc>
          <w:tcPr>
            <w:tcW w:w="991" w:type="dxa"/>
            <w:tcBorders>
              <w:top w:val="nil"/>
              <w:left w:val="nil"/>
              <w:bottom w:val="nil"/>
              <w:right w:val="nil"/>
              <w:insideH w:val="nil"/>
              <w:insideV w:val="nil"/>
            </w:tcBorders>
            <w:vAlign w:val="center"/>
          </w:tcPr>
          <w:p w14:paraId="3FFBCBCB">
            <w:pPr>
              <w:spacing w:before="0" w:after="0" w:line="190" w:lineRule="exact"/>
              <w:jc w:val="left"/>
            </w:pPr>
            <w:r>
              <w:rPr>
                <w:rFonts w:ascii="Times New Roman" w:hAnsi="Times New Roman" w:eastAsia="宋体"/>
                <w:b w:val="0"/>
                <w:i w:val="0"/>
                <w:color w:val="000000"/>
                <w:sz w:val="15"/>
              </w:rPr>
              <w:t>可达</w:t>
            </w:r>
          </w:p>
        </w:tc>
        <w:tc>
          <w:tcPr>
            <w:tcW w:w="739" w:type="dxa"/>
            <w:tcBorders>
              <w:top w:val="nil"/>
              <w:left w:val="nil"/>
              <w:bottom w:val="nil"/>
              <w:right w:val="nil"/>
              <w:insideH w:val="nil"/>
              <w:insideV w:val="nil"/>
            </w:tcBorders>
            <w:vAlign w:val="center"/>
          </w:tcPr>
          <w:p w14:paraId="3CFD6CDC">
            <w:pPr>
              <w:spacing w:before="0" w:after="0" w:line="190" w:lineRule="exact"/>
              <w:jc w:val="left"/>
            </w:pPr>
            <w:r>
              <w:rPr>
                <w:rFonts w:ascii="Times New Roman" w:hAnsi="Times New Roman" w:eastAsia="宋体"/>
                <w:b w:val="0"/>
                <w:i w:val="0"/>
                <w:color w:val="000000"/>
                <w:sz w:val="15"/>
              </w:rPr>
              <w:t>15</w:t>
            </w:r>
          </w:p>
        </w:tc>
      </w:tr>
      <w:tr w14:paraId="4C10409D">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2BCBE6AE">
            <w:pPr>
              <w:spacing w:before="0" w:after="0" w:line="190" w:lineRule="exact"/>
              <w:jc w:val="left"/>
            </w:pPr>
            <w:r>
              <w:rPr>
                <w:rFonts w:ascii="Times New Roman" w:hAnsi="Times New Roman" w:eastAsia="宋体"/>
                <w:b w:val="0"/>
                <w:i w:val="0"/>
                <w:color w:val="000000"/>
                <w:sz w:val="15"/>
              </w:rPr>
              <w:t>HMAC-only</w:t>
            </w:r>
          </w:p>
        </w:tc>
        <w:tc>
          <w:tcPr>
            <w:tcW w:w="1842" w:type="dxa"/>
            <w:tcBorders>
              <w:top w:val="nil"/>
              <w:left w:val="nil"/>
              <w:bottom w:val="nil"/>
              <w:right w:val="nil"/>
              <w:insideH w:val="nil"/>
              <w:insideV w:val="nil"/>
            </w:tcBorders>
            <w:vAlign w:val="center"/>
          </w:tcPr>
          <w:p w14:paraId="17EC92D8">
            <w:pPr>
              <w:spacing w:before="0" w:after="0" w:line="190" w:lineRule="exact"/>
              <w:jc w:val="left"/>
            </w:pPr>
            <w:r>
              <w:t>合法确认消息重复接受</w:t>
            </w:r>
          </w:p>
        </w:tc>
        <w:tc>
          <w:tcPr>
            <w:tcW w:w="991" w:type="dxa"/>
            <w:tcBorders>
              <w:top w:val="nil"/>
              <w:left w:val="nil"/>
              <w:bottom w:val="nil"/>
              <w:right w:val="nil"/>
              <w:insideH w:val="nil"/>
              <w:insideV w:val="nil"/>
            </w:tcBorders>
            <w:vAlign w:val="center"/>
          </w:tcPr>
          <w:p w14:paraId="4636EF40">
            <w:pPr>
              <w:spacing w:before="0" w:after="0" w:line="190" w:lineRule="exact"/>
              <w:jc w:val="left"/>
            </w:pPr>
            <w:r>
              <w:rPr>
                <w:rFonts w:ascii="Times New Roman" w:hAnsi="Times New Roman" w:eastAsia="宋体"/>
                <w:b/>
                <w:i w:val="0"/>
                <w:color w:val="000000"/>
                <w:sz w:val="15"/>
              </w:rPr>
              <w:t>可达</w:t>
            </w:r>
          </w:p>
        </w:tc>
        <w:tc>
          <w:tcPr>
            <w:tcW w:w="739" w:type="dxa"/>
            <w:tcBorders>
              <w:top w:val="nil"/>
              <w:left w:val="nil"/>
              <w:bottom w:val="nil"/>
              <w:right w:val="nil"/>
              <w:insideH w:val="nil"/>
              <w:insideV w:val="nil"/>
            </w:tcBorders>
            <w:vAlign w:val="center"/>
          </w:tcPr>
          <w:p w14:paraId="1D13257E">
            <w:pPr>
              <w:spacing w:before="0" w:after="0" w:line="190" w:lineRule="exact"/>
              <w:jc w:val="left"/>
            </w:pPr>
            <w:r>
              <w:rPr>
                <w:rFonts w:ascii="Times New Roman" w:hAnsi="Times New Roman" w:eastAsia="宋体"/>
                <w:b/>
                <w:i w:val="0"/>
                <w:color w:val="000000"/>
                <w:sz w:val="15"/>
              </w:rPr>
              <w:t>17</w:t>
            </w:r>
          </w:p>
        </w:tc>
      </w:tr>
      <w:tr w14:paraId="50F51C74">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06A44D22">
            <w:pPr>
              <w:spacing w:before="0" w:after="0" w:line="190" w:lineRule="exact"/>
              <w:jc w:val="left"/>
            </w:pPr>
            <w:r>
              <w:rPr>
                <w:rFonts w:ascii="Times New Roman" w:hAnsi="Times New Roman" w:eastAsia="宋体"/>
                <w:b w:val="0"/>
                <w:i w:val="0"/>
                <w:color w:val="000000"/>
                <w:sz w:val="15"/>
              </w:rPr>
              <w:t>HMAC-only</w:t>
            </w:r>
          </w:p>
        </w:tc>
        <w:tc>
          <w:tcPr>
            <w:tcW w:w="1842" w:type="dxa"/>
            <w:tcBorders>
              <w:top w:val="nil"/>
              <w:left w:val="nil"/>
              <w:bottom w:val="nil"/>
              <w:right w:val="nil"/>
              <w:insideH w:val="nil"/>
              <w:insideV w:val="nil"/>
            </w:tcBorders>
            <w:vAlign w:val="center"/>
          </w:tcPr>
          <w:p w14:paraId="1B156CC5">
            <w:pPr>
              <w:spacing w:before="0" w:after="0" w:line="190" w:lineRule="exact"/>
              <w:jc w:val="left"/>
            </w:pPr>
            <w:r>
              <w:t>批内接收单射性</w:t>
            </w:r>
          </w:p>
        </w:tc>
        <w:tc>
          <w:tcPr>
            <w:tcW w:w="991" w:type="dxa"/>
            <w:tcBorders>
              <w:top w:val="nil"/>
              <w:left w:val="nil"/>
              <w:bottom w:val="nil"/>
              <w:right w:val="nil"/>
              <w:insideH w:val="nil"/>
              <w:insideV w:val="nil"/>
            </w:tcBorders>
            <w:vAlign w:val="center"/>
          </w:tcPr>
          <w:p w14:paraId="6F97B0D5">
            <w:pPr>
              <w:spacing w:before="0" w:after="0" w:line="190" w:lineRule="exact"/>
              <w:jc w:val="left"/>
            </w:pPr>
            <w:r>
              <w:rPr>
                <w:rFonts w:ascii="Times New Roman" w:hAnsi="Times New Roman" w:eastAsia="宋体"/>
                <w:b/>
                <w:i w:val="0"/>
                <w:color w:val="000000"/>
                <w:sz w:val="15"/>
              </w:rPr>
              <w:t>不成立</w:t>
            </w:r>
          </w:p>
        </w:tc>
        <w:tc>
          <w:tcPr>
            <w:tcW w:w="739" w:type="dxa"/>
            <w:tcBorders>
              <w:top w:val="nil"/>
              <w:left w:val="nil"/>
              <w:bottom w:val="nil"/>
              <w:right w:val="nil"/>
              <w:insideH w:val="nil"/>
              <w:insideV w:val="nil"/>
            </w:tcBorders>
            <w:vAlign w:val="center"/>
          </w:tcPr>
          <w:p w14:paraId="5B396ED2">
            <w:pPr>
              <w:spacing w:before="0" w:after="0" w:line="190" w:lineRule="exact"/>
              <w:jc w:val="left"/>
            </w:pPr>
            <w:r>
              <w:rPr>
                <w:rFonts w:ascii="Times New Roman" w:hAnsi="Times New Roman" w:eastAsia="宋体"/>
                <w:b/>
                <w:i w:val="0"/>
                <w:color w:val="000000"/>
                <w:sz w:val="15"/>
              </w:rPr>
              <w:t>15</w:t>
            </w:r>
          </w:p>
        </w:tc>
      </w:tr>
      <w:tr w14:paraId="2EA9607A">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31131F9C">
            <w:pPr>
              <w:spacing w:before="0" w:after="0" w:line="190" w:lineRule="exact"/>
              <w:jc w:val="left"/>
            </w:pPr>
            <w:r>
              <w:rPr>
                <w:rFonts w:ascii="Times New Roman" w:hAnsi="Times New Roman" w:eastAsia="宋体"/>
                <w:b w:val="0"/>
                <w:i w:val="0"/>
                <w:color w:val="000000"/>
                <w:sz w:val="15"/>
              </w:rPr>
              <w:t>HMAC-only</w:t>
            </w:r>
          </w:p>
        </w:tc>
        <w:tc>
          <w:tcPr>
            <w:tcW w:w="1842" w:type="dxa"/>
            <w:tcBorders>
              <w:top w:val="nil"/>
              <w:left w:val="nil"/>
              <w:bottom w:val="nil"/>
              <w:right w:val="nil"/>
              <w:insideH w:val="nil"/>
              <w:insideV w:val="nil"/>
            </w:tcBorders>
            <w:vAlign w:val="center"/>
          </w:tcPr>
          <w:p w14:paraId="05E20CCE">
            <w:pPr>
              <w:spacing w:before="0" w:after="0" w:line="190" w:lineRule="exact"/>
              <w:jc w:val="left"/>
            </w:pPr>
            <w:r>
              <w:t>接收存在匹配发送</w:t>
            </w:r>
          </w:p>
        </w:tc>
        <w:tc>
          <w:tcPr>
            <w:tcW w:w="991" w:type="dxa"/>
            <w:tcBorders>
              <w:top w:val="nil"/>
              <w:left w:val="nil"/>
              <w:bottom w:val="nil"/>
              <w:right w:val="nil"/>
              <w:insideH w:val="nil"/>
              <w:insideV w:val="nil"/>
            </w:tcBorders>
            <w:vAlign w:val="center"/>
          </w:tcPr>
          <w:p w14:paraId="73EA6412">
            <w:pPr>
              <w:spacing w:before="0" w:after="0" w:line="190" w:lineRule="exact"/>
              <w:jc w:val="left"/>
            </w:pPr>
            <w:r>
              <w:rPr>
                <w:rFonts w:ascii="Times New Roman" w:hAnsi="Times New Roman" w:eastAsia="宋体"/>
                <w:b w:val="0"/>
                <w:i w:val="0"/>
                <w:color w:val="000000"/>
                <w:sz w:val="15"/>
              </w:rPr>
              <w:t>成立</w:t>
            </w:r>
          </w:p>
        </w:tc>
        <w:tc>
          <w:tcPr>
            <w:tcW w:w="739" w:type="dxa"/>
            <w:tcBorders>
              <w:top w:val="nil"/>
              <w:left w:val="nil"/>
              <w:bottom w:val="nil"/>
              <w:right w:val="nil"/>
              <w:insideH w:val="nil"/>
              <w:insideV w:val="nil"/>
            </w:tcBorders>
            <w:vAlign w:val="center"/>
          </w:tcPr>
          <w:p w14:paraId="57E95A26">
            <w:pPr>
              <w:spacing w:before="0" w:after="0" w:line="190" w:lineRule="exact"/>
              <w:jc w:val="left"/>
            </w:pPr>
            <w:r>
              <w:rPr>
                <w:rFonts w:ascii="Times New Roman" w:hAnsi="Times New Roman" w:eastAsia="宋体"/>
                <w:b w:val="0"/>
                <w:i w:val="0"/>
                <w:color w:val="000000"/>
                <w:sz w:val="15"/>
              </w:rPr>
              <w:t>16</w:t>
            </w:r>
          </w:p>
        </w:tc>
      </w:tr>
      <w:tr w14:paraId="185FED7C">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CC146A0">
            <w:pPr>
              <w:spacing w:before="0" w:after="0" w:line="190" w:lineRule="exact"/>
              <w:jc w:val="left"/>
            </w:pPr>
            <w:r>
              <w:rPr>
                <w:rFonts w:ascii="Times New Roman" w:hAnsi="Times New Roman" w:eastAsia="宋体"/>
                <w:b w:val="0"/>
                <w:i w:val="0"/>
                <w:color w:val="000000"/>
                <w:sz w:val="15"/>
              </w:rPr>
              <w:t>C_install-v2</w:t>
            </w:r>
          </w:p>
        </w:tc>
        <w:tc>
          <w:tcPr>
            <w:tcW w:w="1842" w:type="dxa"/>
            <w:tcBorders>
              <w:top w:val="nil"/>
              <w:left w:val="nil"/>
              <w:bottom w:val="nil"/>
              <w:right w:val="nil"/>
              <w:insideH w:val="nil"/>
              <w:insideV w:val="nil"/>
            </w:tcBorders>
            <w:vAlign w:val="center"/>
          </w:tcPr>
          <w:p w14:paraId="0E49D2DC">
            <w:pPr>
              <w:spacing w:before="0" w:after="0" w:line="190" w:lineRule="exact"/>
              <w:jc w:val="left"/>
            </w:pPr>
            <w:r>
              <w:t>一次发送对应两次安装</w:t>
            </w:r>
          </w:p>
        </w:tc>
        <w:tc>
          <w:tcPr>
            <w:tcW w:w="991" w:type="dxa"/>
            <w:tcBorders>
              <w:top w:val="nil"/>
              <w:left w:val="nil"/>
              <w:bottom w:val="nil"/>
              <w:right w:val="nil"/>
              <w:insideH w:val="nil"/>
              <w:insideV w:val="nil"/>
            </w:tcBorders>
            <w:vAlign w:val="center"/>
          </w:tcPr>
          <w:p w14:paraId="2C2466AE">
            <w:pPr>
              <w:spacing w:before="0" w:after="0" w:line="190" w:lineRule="exact"/>
              <w:jc w:val="left"/>
            </w:pPr>
            <w:r>
              <w:rPr>
                <w:rFonts w:ascii="Times New Roman" w:hAnsi="Times New Roman" w:eastAsia="宋体"/>
                <w:b/>
                <w:i w:val="0"/>
                <w:color w:val="000000"/>
                <w:sz w:val="15"/>
              </w:rPr>
              <w:t>可达</w:t>
            </w:r>
          </w:p>
        </w:tc>
        <w:tc>
          <w:tcPr>
            <w:tcW w:w="739" w:type="dxa"/>
            <w:tcBorders>
              <w:top w:val="nil"/>
              <w:left w:val="nil"/>
              <w:bottom w:val="nil"/>
              <w:right w:val="nil"/>
              <w:insideH w:val="nil"/>
              <w:insideV w:val="nil"/>
            </w:tcBorders>
            <w:vAlign w:val="center"/>
          </w:tcPr>
          <w:p w14:paraId="4B738EFC">
            <w:pPr>
              <w:spacing w:before="0" w:after="0" w:line="190" w:lineRule="exact"/>
              <w:jc w:val="left"/>
            </w:pPr>
            <w:r>
              <w:rPr>
                <w:rFonts w:ascii="Times New Roman" w:hAnsi="Times New Roman" w:eastAsia="宋体"/>
                <w:b/>
                <w:i w:val="0"/>
                <w:color w:val="000000"/>
                <w:sz w:val="15"/>
              </w:rPr>
              <w:t>28</w:t>
            </w:r>
          </w:p>
        </w:tc>
      </w:tr>
      <w:tr w14:paraId="0E6E4335">
        <w:tblPrEx>
          <w:tblCellMar>
            <w:top w:w="0" w:type="dxa"/>
            <w:left w:w="108" w:type="dxa"/>
            <w:bottom w:w="0" w:type="dxa"/>
            <w:right w:w="108" w:type="dxa"/>
          </w:tblCellMar>
        </w:tblPrEx>
        <w:trPr>
          <w:cantSplit/>
          <w:trHeight w:val="0" w:hRule="atLeast"/>
          <w:jc w:val="center"/>
        </w:trPr>
        <w:tc>
          <w:tcPr>
            <w:tcW w:w="1020" w:type="dxa"/>
            <w:tcBorders>
              <w:top w:val="nil"/>
              <w:left w:val="nil"/>
              <w:bottom w:val="nil"/>
              <w:right w:val="nil"/>
              <w:insideH w:val="nil"/>
              <w:insideV w:val="nil"/>
            </w:tcBorders>
            <w:vAlign w:val="center"/>
          </w:tcPr>
          <w:p w14:paraId="7E36C88E">
            <w:pPr>
              <w:spacing w:before="0" w:after="0" w:line="190" w:lineRule="exact"/>
              <w:jc w:val="left"/>
            </w:pPr>
            <w:r>
              <w:rPr>
                <w:rFonts w:ascii="Times New Roman" w:hAnsi="Times New Roman" w:eastAsia="宋体"/>
                <w:b w:val="0"/>
                <w:i w:val="0"/>
                <w:color w:val="000000"/>
                <w:sz w:val="15"/>
              </w:rPr>
              <w:t>C_install-v2</w:t>
            </w:r>
          </w:p>
        </w:tc>
        <w:tc>
          <w:tcPr>
            <w:tcW w:w="1842" w:type="dxa"/>
            <w:tcBorders>
              <w:top w:val="nil"/>
              <w:left w:val="nil"/>
              <w:bottom w:val="nil"/>
              <w:right w:val="nil"/>
              <w:insideH w:val="nil"/>
              <w:insideV w:val="nil"/>
            </w:tcBorders>
            <w:vAlign w:val="center"/>
          </w:tcPr>
          <w:p w14:paraId="411AC969">
            <w:pPr>
              <w:spacing w:before="0" w:after="0" w:line="190" w:lineRule="exact"/>
              <w:jc w:val="left"/>
            </w:pPr>
            <w:r>
              <w:t>同源安装唯一性</w:t>
            </w:r>
          </w:p>
        </w:tc>
        <w:tc>
          <w:tcPr>
            <w:tcW w:w="991" w:type="dxa"/>
            <w:tcBorders>
              <w:top w:val="nil"/>
              <w:left w:val="nil"/>
              <w:bottom w:val="nil"/>
              <w:right w:val="nil"/>
              <w:insideH w:val="nil"/>
              <w:insideV w:val="nil"/>
            </w:tcBorders>
            <w:vAlign w:val="center"/>
          </w:tcPr>
          <w:p w14:paraId="135BA514">
            <w:pPr>
              <w:spacing w:before="0" w:after="0" w:line="190" w:lineRule="exact"/>
              <w:jc w:val="left"/>
            </w:pPr>
            <w:r>
              <w:rPr>
                <w:rFonts w:ascii="Times New Roman" w:hAnsi="Times New Roman" w:eastAsia="宋体"/>
                <w:b/>
                <w:i w:val="0"/>
                <w:color w:val="000000"/>
                <w:sz w:val="15"/>
              </w:rPr>
              <w:t>不成立</w:t>
            </w:r>
          </w:p>
        </w:tc>
        <w:tc>
          <w:tcPr>
            <w:tcW w:w="739" w:type="dxa"/>
            <w:tcBorders>
              <w:top w:val="nil"/>
              <w:left w:val="nil"/>
              <w:bottom w:val="nil"/>
              <w:right w:val="nil"/>
              <w:insideH w:val="nil"/>
              <w:insideV w:val="nil"/>
            </w:tcBorders>
            <w:vAlign w:val="center"/>
          </w:tcPr>
          <w:p w14:paraId="2B225A13">
            <w:pPr>
              <w:spacing w:before="0" w:after="0" w:line="190" w:lineRule="exact"/>
              <w:jc w:val="left"/>
            </w:pPr>
            <w:r>
              <w:rPr>
                <w:rFonts w:ascii="Times New Roman" w:hAnsi="Times New Roman" w:eastAsia="宋体"/>
                <w:b/>
                <w:i w:val="0"/>
                <w:color w:val="000000"/>
                <w:sz w:val="15"/>
              </w:rPr>
              <w:t>28</w:t>
            </w:r>
          </w:p>
        </w:tc>
      </w:tr>
      <w:tr w14:paraId="356DB376">
        <w:tblPrEx>
          <w:tblCellMar>
            <w:top w:w="0" w:type="dxa"/>
            <w:left w:w="108" w:type="dxa"/>
            <w:bottom w:w="0" w:type="dxa"/>
            <w:right w:w="108" w:type="dxa"/>
          </w:tblCellMar>
        </w:tblPrEx>
        <w:trPr>
          <w:cantSplit/>
          <w:trHeight w:val="0" w:hRule="atLeast"/>
          <w:jc w:val="center"/>
        </w:trPr>
        <w:tc>
          <w:tcPr>
            <w:tcW w:w="1020" w:type="dxa"/>
            <w:tcBorders>
              <w:top w:val="nil"/>
              <w:left w:val="nil"/>
              <w:bottom w:val="single" w:color="000000" w:sz="6" w:space="0"/>
              <w:right w:val="nil"/>
              <w:insideH w:val="nil"/>
              <w:insideV w:val="nil"/>
            </w:tcBorders>
            <w:vAlign w:val="center"/>
          </w:tcPr>
          <w:p w14:paraId="382DE8C9">
            <w:pPr>
              <w:spacing w:before="0" w:after="0" w:line="190" w:lineRule="exact"/>
              <w:jc w:val="left"/>
            </w:pPr>
            <w:r>
              <w:rPr>
                <w:rFonts w:ascii="Times New Roman" w:hAnsi="Times New Roman" w:eastAsia="宋体"/>
                <w:b w:val="0"/>
                <w:i w:val="0"/>
                <w:color w:val="000000"/>
                <w:sz w:val="15"/>
              </w:rPr>
              <w:t>C_install-v2</w:t>
            </w:r>
          </w:p>
        </w:tc>
        <w:tc>
          <w:tcPr>
            <w:tcW w:w="1842" w:type="dxa"/>
            <w:tcBorders>
              <w:top w:val="nil"/>
              <w:left w:val="nil"/>
              <w:bottom w:val="single" w:color="000000" w:sz="6" w:space="0"/>
              <w:right w:val="nil"/>
              <w:insideH w:val="nil"/>
              <w:insideV w:val="nil"/>
            </w:tcBorders>
            <w:vAlign w:val="center"/>
          </w:tcPr>
          <w:p w14:paraId="2E62A80E">
            <w:pPr>
              <w:spacing w:before="0" w:after="0" w:line="190" w:lineRule="exact"/>
              <w:jc w:val="left"/>
            </w:pPr>
            <w:r>
              <w:rPr>
                <w:rFonts w:ascii="Times New Roman" w:hAnsi="Times New Roman" w:eastAsia="宋体"/>
                <w:b w:val="0"/>
                <w:i w:val="0"/>
                <w:color w:val="000000"/>
                <w:sz w:val="15"/>
              </w:rPr>
              <w:t>正常消费完成</w:t>
            </w:r>
          </w:p>
        </w:tc>
        <w:tc>
          <w:tcPr>
            <w:tcW w:w="991" w:type="dxa"/>
            <w:tcBorders>
              <w:top w:val="nil"/>
              <w:left w:val="nil"/>
              <w:bottom w:val="single" w:color="000000" w:sz="6" w:space="0"/>
              <w:right w:val="nil"/>
              <w:insideH w:val="nil"/>
              <w:insideV w:val="nil"/>
            </w:tcBorders>
            <w:vAlign w:val="center"/>
          </w:tcPr>
          <w:p w14:paraId="10B89E49">
            <w:pPr>
              <w:spacing w:before="0" w:after="0" w:line="190" w:lineRule="exact"/>
              <w:jc w:val="left"/>
            </w:pPr>
            <w:r>
              <w:rPr>
                <w:rFonts w:ascii="Times New Roman" w:hAnsi="Times New Roman" w:eastAsia="宋体"/>
                <w:b w:val="0"/>
                <w:i w:val="0"/>
                <w:color w:val="000000"/>
                <w:sz w:val="15"/>
              </w:rPr>
              <w:t>可达</w:t>
            </w:r>
          </w:p>
        </w:tc>
        <w:tc>
          <w:tcPr>
            <w:tcW w:w="739" w:type="dxa"/>
            <w:tcBorders>
              <w:top w:val="nil"/>
              <w:left w:val="nil"/>
              <w:bottom w:val="single" w:color="000000" w:sz="6" w:space="0"/>
              <w:right w:val="nil"/>
              <w:insideH w:val="nil"/>
              <w:insideV w:val="nil"/>
            </w:tcBorders>
            <w:vAlign w:val="center"/>
          </w:tcPr>
          <w:p w14:paraId="2DC18953">
            <w:pPr>
              <w:spacing w:before="0" w:after="0" w:line="190" w:lineRule="exact"/>
              <w:jc w:val="left"/>
            </w:pPr>
            <w:r>
              <w:rPr>
                <w:rFonts w:ascii="Times New Roman" w:hAnsi="Times New Roman" w:eastAsia="宋体"/>
                <w:b w:val="0"/>
                <w:i w:val="0"/>
                <w:color w:val="000000"/>
                <w:sz w:val="15"/>
              </w:rPr>
              <w:t>25</w:t>
            </w:r>
          </w:p>
        </w:tc>
      </w:tr>
    </w:tbl>
    <w:p w14:paraId="651B038B">
      <w:pPr>
        <w:pStyle w:val="71"/>
        <w:spacing w:before="0" w:after="0" w:line="240" w:lineRule="exact"/>
        <w:ind w:firstLine="360"/>
        <w:jc w:val="left"/>
      </w:pPr>
      <w:r>
        <w:rPr>
          <w:rFonts w:ascii="Times New Roman" w:hAnsi="Times New Roman" w:eastAsia="宋体"/>
          <w:b w:val="0"/>
          <w:i w:val="0"/>
          <w:color w:val="000000"/>
          <w:sz w:val="18"/>
        </w:rPr>
        <w:t>验证结果表明，攻击者无需伪造有效确认信息，即可在放宽输入条件的批次模型中造成重复接受。攻击执行保持正常的槽位收集、批次封闭及接收状态消费过程，不依赖跨批次状态重用。进一步的消费模型验证表明，重复接受还可在逐输出安装条件下传播为重复符号安装。</w:t>
      </w:r>
    </w:p>
    <w:p w14:paraId="375E25DC">
      <w:pPr>
        <w:pStyle w:val="71"/>
        <w:spacing w:before="0" w:after="0" w:line="240" w:lineRule="exact"/>
        <w:ind w:firstLine="360"/>
        <w:jc w:val="left"/>
      </w:pPr>
      <w:r>
        <w:rPr>
          <w:rFonts w:ascii="Times New Roman" w:hAnsi="Times New Roman" w:eastAsia="宋体"/>
          <w:b/>
          <w:i w:val="0"/>
          <w:color w:val="000000"/>
          <w:sz w:val="18"/>
        </w:rPr>
        <w:t>上述研究揭示了 K-Waay 接收安全的第二个问题：单条消息的合法性验证不足以保证批次级接收唯一性，而重复接收可能进一步影响上层会话状态管理。</w:t>
      </w:r>
    </w:p>
    <w:p w14:paraId="5EA6F8CE">
      <w:pPr>
        <w:pStyle w:val="71"/>
        <w:spacing w:before="0" w:after="0" w:line="240" w:lineRule="exact"/>
        <w:ind w:firstLine="360"/>
        <w:jc w:val="left"/>
      </w:pPr>
      <w:r>
        <w:rPr>
          <w:rFonts w:ascii="Times New Roman" w:hAnsi="Times New Roman" w:eastAsia="宋体"/>
          <w:b w:val="0"/>
          <w:i w:val="0"/>
          <w:color w:val="000000"/>
          <w:sz w:val="18"/>
        </w:rPr>
        <w:t>因此，针对本文发现的攻击，仅增加 HMAC 确认仍不充分，还需要在批次处理前实施消息级重复检测，阻止相同消息进入多个成功处理槽位。第5章将在此基础上设计批内原子去重机制，并验证其与 HMAC 确认的组合加固效果。</w:t>
      </w:r>
    </w:p>
    <w:p w14:paraId="336EC8BE">
      <w:pPr>
        <w:pStyle w:val="65"/>
        <w:keepNext/>
        <w:spacing w:before="100" w:after="20"/>
      </w:pPr>
      <w:r>
        <w:rPr>
          <w:rFonts w:ascii="Times New Roman" w:hAnsi="Times New Roman" w:eastAsia="宋体"/>
          <w:b/>
          <w:i w:val="0"/>
          <w:color w:val="000000"/>
          <w:sz w:val="21"/>
        </w:rPr>
        <w:t xml:space="preserve">K-Waay 批内去重与组合加固</w:t>
      </w:r>
    </w:p>
    <w:p w14:paraId="7E8C3EAA">
      <w:pPr>
        <w:pStyle w:val="66"/>
        <w:keepNext/>
        <w:spacing w:before="60" w:after="20"/>
      </w:pPr>
      <w:r>
        <w:rPr>
          <w:rFonts w:ascii="Times New Roman" w:hAnsi="Times New Roman" w:eastAsia="宋体"/>
          <w:b/>
          <w:i w:val="0"/>
          <w:color w:val="000000"/>
          <w:sz w:val="18"/>
        </w:rPr>
        <w:t xml:space="preserve">批内原子消息去重机制</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针对第4章发现的批内重复接受问题，本文提出一种批内原子消息去重机制，在 BatchReceive 处理消息之前统一检查批次输入，避免同一合法消息在多个槽位中被重复接受。</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设同一批次包含消息 </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e>
        </m:box>
      </m:oMath>
      <w:r>
        <w:rPr>
          <w:rFonts w:ascii="Times New Roman" w:hAnsi="Times New Roman" w:eastAsia="宋体"/>
          <w:b w:val="0"/>
          <w:i w:val="0"/>
          <w:color w:val="000000"/>
          <w:sz w:val="18"/>
        </w:rPr>
        <w:t xml:space="preserve"> 和 </w:t>
      </w: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rPr>
          <w:rFonts w:ascii="Times New Roman" w:hAnsi="Times New Roman" w:eastAsia="宋体"/>
          <w:b w:val="0"/>
          <w:i w:val="0"/>
          <w:color w:val="000000"/>
          <w:sz w:val="18"/>
        </w:rPr>
        <w:t xml:space="preserve">，其中 </w:t>
      </w:r>
      <m:oMath>
        <m:box>
          <m:e>
            <m:r>
              <m:rPr>
                <m:sty m:val="i"/>
              </m:rPr>
              <w:rPr>
                <w:rFonts w:ascii="Cambria Math" w:hAnsi="Cambria Math" w:eastAsia="宋体"/>
                <w:sz w:val="18"/>
                <w:color w:val="000000"/>
              </w:rPr>
              <m:t>m</m:t>
            </m:r>
            <m:r>
              <m:rPr>
                <m:sty m:val="p"/>
              </m:rPr>
              <w:rPr>
                <w:rFonts w:ascii="Cambria Math" w:hAnsi="Cambria Math" w:eastAsia="宋体"/>
                <w:sz w:val="18"/>
                <w:color w:val="000000"/>
              </w:rPr>
              <m:t>=</m:t>
            </m:r>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l</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k</m:t>
                    </m:r>
                  </m:e>
                </m:box>
              </m:sub>
            </m:sSub>
            <m:r>
              <m:rPr>
                <m:sty m:val="p"/>
              </m:rPr>
              <w:rPr>
                <w:rFonts w:ascii="Cambria Math" w:hAnsi="Cambria Math" w:eastAsia="宋体"/>
                <w:sz w:val="18"/>
                <w:color w:val="000000"/>
              </w:rPr>
              <m:t>,</m:t>
            </m:r>
            <m:sSub>
              <m:e>
                <m:box>
                  <m:e>
                    <m:r>
                      <m:rPr>
                        <m:sty m:val="i"/>
                      </m:rPr>
                      <w:rPr>
                        <w:rFonts w:ascii="Cambria Math" w:hAnsi="Cambria Math" w:eastAsia="宋体"/>
                        <w:sz w:val="18"/>
                        <w:color w:val="000000"/>
                      </w:rPr>
                      <m:t>c</m:t>
                    </m:r>
                    <m:r>
                      <m:rPr>
                        <m:sty m:val="i"/>
                      </m:rPr>
                      <w:rPr>
                        <w:rFonts w:ascii="Cambria Math" w:hAnsi="Cambria Math" w:eastAsia="宋体"/>
                        <w:sz w:val="18"/>
                        <w:color w:val="000000"/>
                      </w:rPr>
                      <m:t>t</m:t>
                    </m:r>
                  </m:e>
                </m:box>
              </m:e>
              <m:sub>
                <m:box>
                  <m:e>
                    <m:r>
                      <m:rPr>
                        <m:sty m:val="i"/>
                      </m:rPr>
                      <w:rPr>
                        <w:rFonts w:ascii="Cambria Math" w:hAnsi="Cambria Math" w:eastAsia="宋体"/>
                        <w:sz w:val="18"/>
                        <w:color w:val="000000"/>
                      </w:rPr>
                      <m:t>s</m:t>
                    </m:r>
                  </m:e>
                </m:box>
              </m:sub>
            </m:sSub>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 为完整密文元组。接收方首先判断：</w:t>
      </w:r>
    </w:p>
    <w:p w14:paraId="3E6A7117">
      <w:pPr>
        <w:pStyle w:val="74"/>
        <w:keepLines/>
        <w:tabs>
          <w:tab w:val="right" w:pos="4592"/>
        </w:tabs>
        <w:spacing w:before="40" w:after="40"/>
        <w:jc w:val="center"/>
      </w:pPr>
      <m:oMath>
        <m:box>
          <m:e>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1</m:t>
                    </m:r>
                  </m:e>
                </m:box>
              </m:sub>
            </m:sSub>
            <m:r>
              <m:rPr>
                <m:sty m:val="p"/>
              </m:rPr>
              <w:rPr>
                <w:rFonts w:ascii="Cambria Math" w:hAnsi="Cambria Math" w:eastAsia="宋体"/>
                <w:sz w:val="18"/>
                <w:color w:val="000000"/>
              </w:rPr>
              <m:t>=</m:t>
            </m:r>
            <m:sSub>
              <m:e>
                <m:r>
                  <m:rPr>
                    <m:sty m:val="i"/>
                  </m:rPr>
                  <w:rPr>
                    <w:rFonts w:ascii="Cambria Math" w:hAnsi="Cambria Math" w:eastAsia="宋体"/>
                    <w:sz w:val="18"/>
                    <w:color w:val="000000"/>
                  </w:rPr>
                  <m:t>m</m:t>
                </m:r>
              </m:e>
              <m:sub>
                <m:box>
                  <m:e>
                    <m:r>
                      <m:rPr>
                        <m:sty m:val="p"/>
                      </m:rPr>
                      <w:rPr>
                        <w:rFonts w:ascii="Cambria Math" w:hAnsi="Cambria Math" w:eastAsia="宋体"/>
                        <w:sz w:val="18"/>
                        <w:color w:val="000000"/>
                      </w:rPr>
                      <m:t>2</m:t>
                    </m:r>
                  </m:e>
                </m:box>
              </m:sub>
            </m:sSub>
          </m:e>
        </m:box>
      </m:oMath>
      <w:r>
        <w:tab/>
        <w:t>(30)</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若相等，则判定存在重复消息，直接拒绝整个批次，不执行后续槽位处理；若不相等，则允许进入原有的密文解封装和密钥派生流程。</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为保证去重操作的原子性，本文将检查设置在批次封闭之后、任何槽位处理之前，并使用线性状态约束同一批次只能执行一次去重决策。因此，重复消息不会产生成功接收事件，也不会形成可供后续消费的接收输出。</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该机制不需要修改原有密码学原语，仅在批次处理入口增加消息唯一性检查，即可阻断同一消息的批内重复接受。</w:t>
      </w:r>
    </w:p>
    <w:p w14:paraId="7E8C3EAA">
      <w:pPr>
        <w:pStyle w:val="66"/>
        <w:keepNext/>
        <w:spacing w:before="60" w:after="20"/>
      </w:pPr>
      <w:r>
        <w:rPr>
          <w:rFonts w:ascii="Times New Roman" w:hAnsi="Times New Roman" w:eastAsia="宋体"/>
          <w:b/>
          <w:i w:val="0"/>
          <w:color w:val="000000"/>
          <w:sz w:val="18"/>
        </w:rPr>
        <w:t xml:space="preserve">原子去重机制的验证</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本文使用 Tamarin 对加入原子去重机制的接收过程进行验证。</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结果表明，原先可达的“一次发送、两次接收”攻击在修复后不再可达，批内相同消息至多接受一次及接收发生单射性均得到验证。</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对于重复输入，模型能够正常触发批次拒绝，且不会产生成功接收事件。在逐输出消费的条件下，重复接收导致的双重安装路径也被阻断。</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同时，两个不同且有效的消息仍能够完成正常批次处理，说明该机制能够在阻止重复接受的同时保留正常接收能力。</w:t>
      </w:r>
    </w:p>
    <w:p w14:paraId="7E8C3EAA">
      <w:pPr>
        <w:pStyle w:val="66"/>
        <w:keepNext/>
        <w:spacing w:before="60" w:after="20"/>
      </w:pPr>
      <w:r>
        <w:rPr>
          <w:rFonts w:ascii="Times New Roman" w:hAnsi="Times New Roman" w:eastAsia="宋体"/>
          <w:b/>
          <w:i w:val="0"/>
          <w:color w:val="000000"/>
          <w:sz w:val="18"/>
        </w:rPr>
        <w:t xml:space="preserve">HMAC 与原子去重的组合加固</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为同时解决消息篡改导致的会话密钥失配和批内重复接受问题，本文将第3章的 HMAC 确认机制与原子去重机制结合，提出组合加固方案。</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改进后的接收过程分为三个阶段。</w:t>
      </w:r>
    </w:p>
    <w:p w14:paraId="761A7748">
      <w:pPr>
        <w:pStyle w:val="71"/>
        <w:spacing w:before="0" w:after="0" w:line="240" w:lineRule="exact"/>
        <w:ind w:firstLine="360"/>
        <w:jc w:val="both"/>
      </w:pPr>
      <w:r>
        <w:rPr>
          <w:rFonts w:ascii="Times New Roman" w:hAnsi="Times New Roman" w:eastAsia="宋体"/>
          <w:b w:val="1"/>
          <w:i w:val="0"/>
          <w:color w:val="000000"/>
          <w:sz w:val="18"/>
        </w:rPr>
        <w:t xml:space="preserve">首先，执行批内去重。</w:t>
      </w:r>
      <w:r>
        <w:rPr>
          <w:rFonts w:ascii="Times New Roman" w:hAnsi="Times New Roman" w:eastAsia="宋体"/>
          <w:b w:val="0"/>
          <w:i w:val="0"/>
          <w:color w:val="000000"/>
          <w:sz w:val="18"/>
        </w:rPr>
        <w:t xml:space="preserve"> 接收方收集完整批次后，提取各输入中的基础消息 </w:t>
      </w:r>
      <m:oMath>
        <m:box>
          <m:e>
            <m:r>
              <m:rPr>
                <m:sty m:val="i"/>
              </m:rPr>
              <w:rPr>
                <w:rFonts w:ascii="Cambria Math" w:hAnsi="Cambria Math" w:eastAsia="宋体"/>
                <w:sz w:val="18"/>
                <w:color w:val="000000"/>
              </w:rPr>
              <m:t>m</m:t>
            </m:r>
          </m:e>
        </m:box>
      </m:oMath>
      <w:r>
        <w:rPr>
          <w:rFonts w:ascii="Times New Roman" w:hAnsi="Times New Roman" w:eastAsia="宋体"/>
          <w:b w:val="0"/>
          <w:i w:val="0"/>
          <w:color w:val="000000"/>
          <w:sz w:val="18"/>
        </w:rPr>
        <w:t xml:space="preserve">，并检查是否存在重复。若存在重复消息，则直接拒绝批次。</w:t>
      </w:r>
    </w:p>
    <w:p w14:paraId="761A7748">
      <w:pPr>
        <w:pStyle w:val="71"/>
        <w:spacing w:before="0" w:after="0" w:line="240" w:lineRule="exact"/>
        <w:ind w:firstLine="360"/>
        <w:jc w:val="both"/>
      </w:pPr>
      <w:r>
        <w:rPr>
          <w:rFonts w:ascii="Times New Roman" w:hAnsi="Times New Roman" w:eastAsia="宋体"/>
          <w:b w:val="1"/>
          <w:i w:val="0"/>
          <w:color w:val="000000"/>
          <w:sz w:val="18"/>
        </w:rPr>
        <w:t xml:space="preserve">其次，执行密钥确认。</w:t>
      </w:r>
      <w:r>
        <w:rPr>
          <w:rFonts w:ascii="Times New Roman" w:hAnsi="Times New Roman" w:eastAsia="宋体"/>
          <w:b w:val="0"/>
          <w:i w:val="0"/>
          <w:color w:val="000000"/>
          <w:sz w:val="18"/>
        </w:rPr>
        <w:t xml:space="preserve"> 对于通过去重检查的消息，接收方执行原有密文解封装与密钥派生，并验证：</w:t>
      </w:r>
    </w:p>
    <w:p w14:paraId="3E6A7117">
      <w:pPr>
        <w:pStyle w:val="74"/>
        <w:keepLines/>
        <w:tabs>
          <w:tab w:val="right" w:pos="4592"/>
        </w:tabs>
        <w:spacing w:before="40" w:after="40"/>
        <w:jc w:val="center"/>
      </w:pPr>
      <m:oMath>
        <m:box>
          <m:e>
            <m:r>
              <m:rPr>
                <m:sty m:val="i"/>
              </m:rPr>
              <w:rPr>
                <w:rFonts w:ascii="Cambria Math" w:hAnsi="Cambria Math" w:eastAsia="宋体"/>
                <w:sz w:val="18"/>
                <w:color w:val="000000"/>
              </w:rPr>
              <m:t>t</m:t>
            </m:r>
            <m:r>
              <m:rPr>
                <m:sty m:val="i"/>
              </m:rPr>
              <w:rPr>
                <w:rFonts w:ascii="Cambria Math" w:hAnsi="Cambria Math" w:eastAsia="宋体"/>
                <w:sz w:val="18"/>
                <w:color w:val="000000"/>
              </w:rPr>
              <m:t>a</m:t>
            </m:r>
            <m:sSub>
              <m:e>
                <m:r>
                  <m:rPr>
                    <m:sty m:val="i"/>
                  </m:rPr>
                  <w:rPr>
                    <w:rFonts w:ascii="Cambria Math" w:hAnsi="Cambria Math" w:eastAsia="宋体"/>
                    <w:sz w:val="18"/>
                    <w:color w:val="000000"/>
                  </w:rPr>
                  <m:t>g</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H</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A</m:t>
                </m:r>
                <m:r>
                  <m:rPr>
                    <m:scr m:val="sans-serif"/>
                    <m:sty m:val="i"/>
                  </m:rPr>
                  <w:rPr>
                    <w:rFonts w:ascii="Cambria Math" w:hAnsi="Cambria Math" w:eastAsia="宋体"/>
                    <w:sz w:val="18"/>
                    <w:color w:val="000000"/>
                  </w:rPr>
                  <m:t>C</m:t>
                </m:r>
              </m:e>
            </m:box>
            <m:r>
              <m:rPr>
                <m:sty m:val="p"/>
              </m:rPr>
              <w:rPr>
                <w:rFonts w:ascii="Cambria Math" w:hAnsi="Cambria Math" w:eastAsia="宋体"/>
                <w:sz w:val="18"/>
                <w:color w:val="000000"/>
              </w:rPr>
              <m:t>(</m:t>
            </m:r>
            <m:box>
              <m:e>
                <m:r>
                  <m:rPr>
                    <m:scr m:val="sans-serif"/>
                    <m:sty m:val="i"/>
                  </m:rPr>
                  <w:rPr>
                    <w:rFonts w:ascii="Cambria Math" w:hAnsi="Cambria Math" w:eastAsia="宋体"/>
                    <w:sz w:val="18"/>
                    <w:color w:val="000000"/>
                  </w:rPr>
                  <m:t>c</m:t>
                </m:r>
                <m:r>
                  <m:rPr>
                    <m:scr m:val="sans-serif"/>
                    <m:sty m:val="i"/>
                  </m:rPr>
                  <w:rPr>
                    <w:rFonts w:ascii="Cambria Math" w:hAnsi="Cambria Math" w:eastAsia="宋体"/>
                    <w:sz w:val="18"/>
                    <w:color w:val="000000"/>
                  </w:rPr>
                  <m:t>o</m:t>
                </m:r>
                <m:r>
                  <m:rPr>
                    <m:scr m:val="sans-serif"/>
                    <m:sty m:val="i"/>
                  </m:rPr>
                  <w:rPr>
                    <w:rFonts w:ascii="Cambria Math" w:hAnsi="Cambria Math" w:eastAsia="宋体"/>
                    <w:sz w:val="18"/>
                    <w:color w:val="000000"/>
                  </w:rPr>
                  <m:t>n</m:t>
                </m:r>
                <m:r>
                  <m:rPr>
                    <m:scr m:val="sans-serif"/>
                    <m:sty m:val="i"/>
                  </m:rPr>
                  <w:rPr>
                    <w:rFonts w:ascii="Cambria Math" w:hAnsi="Cambria Math" w:eastAsia="宋体"/>
                    <w:sz w:val="18"/>
                    <w:color w:val="000000"/>
                  </w:rPr>
                  <m:t>f</m:t>
                </m:r>
                <m:r>
                  <m:rPr>
                    <m:scr m:val="sans-serif"/>
                    <m:sty m:val="i"/>
                  </m:rPr>
                  <w:rPr>
                    <w:rFonts w:ascii="Cambria Math" w:hAnsi="Cambria Math" w:eastAsia="宋体"/>
                    <w:sz w:val="18"/>
                    <w:color w:val="000000"/>
                  </w:rPr>
                  <m:t>i</m:t>
                </m:r>
                <m:r>
                  <m:rPr>
                    <m:scr m:val="sans-serif"/>
                    <m:sty m:val="i"/>
                  </m:rPr>
                  <w:rPr>
                    <w:rFonts w:ascii="Cambria Math" w:hAnsi="Cambria Math" w:eastAsia="宋体"/>
                    <w:sz w:val="18"/>
                    <w:color w:val="000000"/>
                  </w:rPr>
                  <m:t>r</m:t>
                </m:r>
                <m:r>
                  <m:rPr>
                    <m:scr m:val="sans-serif"/>
                    <m:sty m:val="i"/>
                  </m:rPr>
                  <w:rPr>
                    <w:rFonts w:ascii="Cambria Math" w:hAnsi="Cambria Math" w:eastAsia="宋体"/>
                    <w:sz w:val="18"/>
                    <w:color w:val="000000"/>
                  </w:rPr>
                  <m:t>m</m:t>
                </m:r>
                <m:r>
                  <m:rPr>
                    <m:scr m:val="sans-serif"/>
                    <m:sty m:val="i"/>
                  </m:rPr>
                  <w:rPr>
                    <w:rFonts w:ascii="Cambria Math" w:hAnsi="Cambria Math" w:eastAsia="宋体"/>
                    <w:sz w:val="18"/>
                    <w:color w:val="000000"/>
                  </w:rPr>
                  <m:t>_</m:t>
                </m:r>
                <m:r>
                  <m:rPr>
                    <m:scr m:val="sans-serif"/>
                    <m:sty m:val="i"/>
                  </m:rPr>
                  <w:rPr>
                    <w:rFonts w:ascii="Cambria Math" w:hAnsi="Cambria Math" w:eastAsia="宋体"/>
                    <w:sz w:val="18"/>
                    <w:color w:val="000000"/>
                  </w:rPr>
                  <m:t>k</m:t>
                </m:r>
                <m:r>
                  <m:rPr>
                    <m:scr m:val="sans-serif"/>
                    <m:sty m:val="i"/>
                  </m:rPr>
                  <w:rPr>
                    <w:rFonts w:ascii="Cambria Math" w:hAnsi="Cambria Math" w:eastAsia="宋体"/>
                    <w:sz w:val="18"/>
                    <w:color w:val="000000"/>
                  </w:rPr>
                  <m:t>e</m:t>
                </m:r>
                <m:r>
                  <m:rPr>
                    <m:scr m:val="sans-serif"/>
                    <m:sty m:val="i"/>
                  </m:rPr>
                  <w:rPr>
                    <w:rFonts w:ascii="Cambria Math" w:hAnsi="Cambria Math" w:eastAsia="宋体"/>
                    <w:sz w:val="18"/>
                    <w:color w:val="000000"/>
                  </w:rPr>
                  <m:t>y</m:t>
                </m:r>
              </m:e>
            </m:box>
            <m:r>
              <m:rPr>
                <m:sty m:val="p"/>
              </m:rPr>
              <w:rPr>
                <w:rFonts w:ascii="Cambria Math" w:hAnsi="Cambria Math" w:eastAsia="宋体"/>
                <w:sz w:val="18"/>
                <w:color w:val="000000"/>
              </w:rPr>
              <m:t>(</m:t>
            </m:r>
            <m:sSub>
              <m:e>
                <m:r>
                  <m:rPr>
                    <m:sty m:val="i"/>
                  </m:rPr>
                  <w:rPr>
                    <w:rFonts w:ascii="Cambria Math" w:hAnsi="Cambria Math" w:eastAsia="宋体"/>
                    <w:sz w:val="18"/>
                    <w:color w:val="000000"/>
                  </w:rPr>
                  <m:t>k</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r>
              <m:rPr>
                <m:sty m:val="p"/>
              </m:rPr>
              <w:rPr>
                <w:rFonts w:ascii="Cambria Math" w:hAnsi="Cambria Math" w:eastAsia="宋体"/>
                <w:sz w:val="18"/>
                <w:color w:val="000000"/>
              </w:rPr>
              <m:t>,</m:t>
            </m:r>
            <m:r>
              <m:rPr>
                <m:sty m:val="i"/>
              </m:rPr>
              <w:rPr>
                <w:rFonts w:ascii="Cambria Math" w:hAnsi="Cambria Math" w:eastAsia="宋体"/>
                <w:sz w:val="18"/>
                <w:color w:val="000000"/>
              </w:rPr>
              <m:t>s</m:t>
            </m:r>
            <m:r>
              <m:rPr>
                <m:sty m:val="i"/>
              </m:rPr>
              <w:rPr>
                <w:rFonts w:ascii="Cambria Math" w:hAnsi="Cambria Math" w:eastAsia="宋体"/>
                <w:sz w:val="18"/>
                <w:color w:val="000000"/>
              </w:rPr>
              <m:t>i</m:t>
            </m:r>
            <m:sSub>
              <m:e>
                <m:r>
                  <m:rPr>
                    <m:sty m:val="i"/>
                  </m:rPr>
                  <w:rPr>
                    <w:rFonts w:ascii="Cambria Math" w:hAnsi="Cambria Math" w:eastAsia="宋体"/>
                    <w:sz w:val="18"/>
                    <w:color w:val="000000"/>
                  </w:rPr>
                  <m:t>d</m:t>
                </m:r>
              </m:e>
              <m:sub>
                <m:box>
                  <m:e>
                    <m:r>
                      <m:rPr>
                        <m:sty m:val="i"/>
                      </m:rPr>
                      <w:rPr>
                        <w:rFonts w:ascii="Cambria Math" w:hAnsi="Cambria Math" w:eastAsia="宋体"/>
                        <w:sz w:val="18"/>
                        <w:color w:val="000000"/>
                      </w:rPr>
                      <m:t>i</m:t>
                    </m:r>
                  </m:e>
                </m:box>
              </m:sub>
            </m:sSub>
            <m:r>
              <m:rPr>
                <m:sty m:val="p"/>
              </m:rPr>
              <w:rPr>
                <w:rFonts w:ascii="Cambria Math" w:hAnsi="Cambria Math" w:eastAsia="宋体"/>
                <w:sz w:val="18"/>
                <w:color w:val="000000"/>
              </w:rPr>
              <m:t>)</m:t>
            </m:r>
          </m:e>
        </m:box>
      </m:oMath>
      <w:r>
        <w:tab/>
        <w:t>(31)</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只有确认标签正确，才能接受相应消息。</w:t>
      </w:r>
    </w:p>
    <w:p w14:paraId="761A7748">
      <w:pPr>
        <w:pStyle w:val="71"/>
        <w:spacing w:before="0" w:after="0" w:line="240" w:lineRule="exact"/>
        <w:ind w:firstLine="360"/>
        <w:jc w:val="both"/>
      </w:pPr>
      <w:r>
        <w:rPr>
          <w:rFonts w:ascii="Times New Roman" w:hAnsi="Times New Roman" w:eastAsia="宋体"/>
          <w:b w:val="1"/>
          <w:i w:val="0"/>
          <w:color w:val="000000"/>
          <w:sz w:val="18"/>
        </w:rPr>
        <w:t xml:space="preserve">最后，完成批次处理。</w:t>
      </w:r>
      <w:r>
        <w:rPr>
          <w:rFonts w:ascii="Times New Roman" w:hAnsi="Times New Roman" w:eastAsia="宋体"/>
          <w:b w:val="0"/>
          <w:i w:val="0"/>
          <w:color w:val="000000"/>
          <w:sz w:val="18"/>
        </w:rPr>
        <w:t xml:space="preserve"> 所有槽位均成功处理后，接收方完成批次并输出对应结果。</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组合方案使用基础密文消息 </w:t>
      </w:r>
      <m:oMath>
        <m:box>
          <m:e>
            <m:r>
              <m:rPr>
                <m:sty m:val="i"/>
              </m:rPr>
              <w:rPr>
                <w:rFonts w:ascii="Cambria Math" w:hAnsi="Cambria Math" w:eastAsia="宋体"/>
                <w:sz w:val="18"/>
                <w:color w:val="000000"/>
              </w:rPr>
              <m:t>m</m:t>
            </m:r>
          </m:e>
        </m:box>
      </m:oMath>
      <w:r>
        <w:rPr>
          <w:rFonts w:ascii="Times New Roman" w:hAnsi="Times New Roman" w:eastAsia="宋体"/>
          <w:b w:val="0"/>
          <w:i w:val="0"/>
          <w:color w:val="000000"/>
          <w:sz w:val="18"/>
        </w:rPr>
        <w:t xml:space="preserve"> 作为去重对象，而不是完整的 </w:t>
      </w:r>
      <m:oMath>
        <m:box>
          <m:e>
            <m:r>
              <m:rPr>
                <m:sty m:val="p"/>
              </m:rPr>
              <w:rPr>
                <w:rFonts w:ascii="Cambria Math" w:hAnsi="Cambria Math" w:eastAsia="宋体"/>
                <w:sz w:val="18"/>
                <w:color w:val="000000"/>
              </w:rPr>
              <m:t>(</m:t>
            </m:r>
            <m:r>
              <m:rPr>
                <m:sty m:val="i"/>
              </m:rPr>
              <w:rPr>
                <w:rFonts w:ascii="Cambria Math" w:hAnsi="Cambria Math" w:eastAsia="宋体"/>
                <w:sz w:val="18"/>
                <w:color w:val="000000"/>
              </w:rPr>
              <m:t>m</m:t>
            </m:r>
            <m:r>
              <m:rPr>
                <m:sty m:val="p"/>
              </m:rPr>
              <w:rPr>
                <w:rFonts w:ascii="Cambria Math" w:hAnsi="Cambria Math" w:eastAsia="宋体"/>
                <w:sz w:val="18"/>
                <w:color w:val="000000"/>
              </w:rPr>
              <m:t>,</m:t>
            </m:r>
            <m:box>
              <m:e>
                <m:r>
                  <m:rPr>
                    <m:sty m:val="i"/>
                  </m:rPr>
                  <w:rPr>
                    <w:rFonts w:ascii="Cambria Math" w:hAnsi="Cambria Math" w:eastAsia="宋体"/>
                    <w:sz w:val="18"/>
                    <w:color w:val="000000"/>
                  </w:rPr>
                  <m:t>t</m:t>
                </m:r>
                <m:r>
                  <m:rPr>
                    <m:sty m:val="i"/>
                  </m:rPr>
                  <w:rPr>
                    <w:rFonts w:ascii="Cambria Math" w:hAnsi="Cambria Math" w:eastAsia="宋体"/>
                    <w:sz w:val="18"/>
                    <w:color w:val="000000"/>
                  </w:rPr>
                  <m:t>a</m:t>
                </m:r>
                <m:r>
                  <m:rPr>
                    <m:sty m:val="i"/>
                  </m:rPr>
                  <w:rPr>
                    <w:rFonts w:ascii="Cambria Math" w:hAnsi="Cambria Math" w:eastAsia="宋体"/>
                    <w:sz w:val="18"/>
                    <w:color w:val="000000"/>
                  </w:rPr>
                  <m:t>g</m:t>
                </m:r>
              </m:e>
            </m:box>
            <m:r>
              <m:rPr>
                <m:sty m:val="p"/>
              </m:rPr>
              <w:rPr>
                <w:rFonts w:ascii="Cambria Math" w:hAnsi="Cambria Math" w:eastAsia="宋体"/>
                <w:sz w:val="18"/>
                <w:color w:val="000000"/>
              </w:rPr>
              <m:t>)</m:t>
            </m:r>
          </m:e>
        </m:box>
      </m:oMath>
      <w:r>
        <w:rPr>
          <w:rFonts w:ascii="Times New Roman" w:hAnsi="Times New Roman" w:eastAsia="宋体"/>
          <w:b w:val="0"/>
          <w:i w:val="0"/>
          <w:color w:val="000000"/>
          <w:sz w:val="18"/>
        </w:rPr>
        <w:t xml:space="preserve">。因此，即使同一消息携带不同确认标签，也会被识别为重复输入，不能绕过去重检查。</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通过上述改进，</w:t>
      </w:r>
      <w:r>
        <w:rPr>
          <w:rFonts w:ascii="Times New Roman" w:hAnsi="Times New Roman" w:eastAsia="宋体"/>
          <w:b w:val="1"/>
          <w:i w:val="0"/>
          <w:color w:val="000000"/>
          <w:sz w:val="18"/>
        </w:rPr>
        <w:t xml:space="preserve">原子去重负责阻止重复接受，HMAC 负责确认发送与接收双方的会话参数一致性</w:t>
      </w:r>
      <w:r>
        <w:rPr>
          <w:rFonts w:ascii="Times New Roman" w:hAnsi="Times New Roman" w:eastAsia="宋体"/>
          <w:b w:val="0"/>
          <w:i w:val="0"/>
          <w:color w:val="000000"/>
          <w:sz w:val="18"/>
        </w:rPr>
        <w:t xml:space="preserve">，从而实现对两类安全问题的联合防护。</w:t>
      </w:r>
    </w:p>
    <w:p w14:paraId="761A7748">
      <w:pPr>
        <w:pStyle w:val="71"/>
        <w:spacing w:before="0" w:after="0" w:line="240" w:lineRule="exact"/>
        <w:ind w:firstLine="360"/>
        <w:jc w:val="both"/>
      </w:pPr>
      <w:r>
        <w:rPr>
          <w:rFonts w:ascii="Times New Roman" w:hAnsi="Times New Roman" w:eastAsia="宋体"/>
          <w:b w:val="0"/>
          <w:i w:val="0"/>
          <w:color w:val="000000"/>
          <w:sz w:val="18"/>
          <w:i/>
        </w:rPr>
        <w:t xml:space="preserve">【图4：K-Waay 组合加固后的接收处理流程，待插入。】</w:t>
      </w:r>
    </w:p>
    <w:p w14:paraId="7E8C3EAA">
      <w:pPr>
        <w:pStyle w:val="66"/>
        <w:keepNext/>
        <w:spacing w:before="60" w:after="20"/>
      </w:pPr>
      <w:r>
        <w:rPr>
          <w:rFonts w:ascii="Times New Roman" w:hAnsi="Times New Roman" w:eastAsia="宋体"/>
          <w:b/>
          <w:i w:val="0"/>
          <w:color w:val="000000"/>
          <w:sz w:val="18"/>
        </w:rPr>
        <w:t xml:space="preserve">组合加固的安全性验证</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本文进一步使用 Tamarin 验证组合加固后的接收过程，并与修复前的结果进行对比，如表4所示。</w:t>
      </w:r>
    </w:p>
    <w:p w14:paraId="5D6CAC1B">
      <w:pPr>
        <w:pStyle w:val="77"/>
        <w:keepNext/>
        <w:jc w:val="center"/>
      </w:pPr>
      <w:r>
        <w:rPr>
          <w:rFonts w:ascii="Times New Roman" w:hAnsi="Times New Roman" w:eastAsia="宋体"/>
          <w:b/>
          <w:i w:val="0"/>
          <w:color w:val="000000"/>
          <w:sz w:val="16"/>
        </w:rPr>
        <w:t xml:space="preserve">表4 接收端加固前后的安全性质对照</w:t>
      </w:r>
    </w:p>
    <w:tbl>
      <w:tblPr>
        <w:tblStyle w:val="16"/>
        <w:tblW w:w="4592" w:type="dxa"/>
        <w:jc w:val="center"/>
        <w:tblLayout w:type="fixed"/>
        <w:tblCellMar>
          <w:top w:w="0" w:type="dxa"/>
          <w:left w:w="108" w:type="dxa"/>
          <w:bottom w:w="0" w:type="dxa"/>
          <w:right w:w="108" w:type="dxa"/>
        </w:tblCellMar>
      </w:tblPr>
      <w:tblGrid>
        <w:gridCol w:w="2494"/>
        <w:gridCol w:w="850"/>
        <w:gridCol w:w="1248"/>
      </w:tblGrid>
      <w:tr w14:paraId="129E770A">
        <w:tblPrEx>
          <w:tblCellMar>
            <w:top w:w="0" w:type="dxa"/>
            <w:left w:w="108" w:type="dxa"/>
            <w:bottom w:w="0" w:type="dxa"/>
            <w:right w:w="108" w:type="dxa"/>
          </w:tblCellMar>
        </w:tblPrEx>
        <w:trPr>
          <w:cantSplit/>
          <w:trHeight w:val="0" w:hRule="atLeast"/>
          <w:tblHeader/>
          <w:jc w:val="center"/>
        </w:trPr>
        <w:tc>
          <w:tcPr>
            <w:tcW w:w="2494" w:type="dxa"/>
            <w:tcBorders>
              <w:top w:val="single" w:color="000000" w:sz="6" w:space="0"/>
              <w:left w:val="nil"/>
              <w:bottom w:val="single" w:color="000000" w:sz="6" w:space="0"/>
              <w:right w:val="nil"/>
              <w:insideH w:val="nil"/>
              <w:insideV w:val="nil"/>
            </w:tcBorders>
            <w:vAlign w:val="center"/>
          </w:tcPr>
          <w:p w14:paraId="3CADC1A4">
            <w:pPr>
              <w:spacing w:before="0" w:after="0" w:line="190" w:lineRule="exact"/>
              <w:jc w:val="center"/>
            </w:pPr>
            <w:r>
              <w:rPr>
                <w:rFonts w:ascii="Times New Roman" w:hAnsi="Times New Roman" w:eastAsia="宋体"/>
                <w:b/>
                <w:i w:val="0"/>
                <w:color w:val="000000"/>
                <w:sz w:val="15"/>
              </w:rPr>
              <w:t xml:space="preserve">验证目标</w:t>
            </w:r>
          </w:p>
        </w:tc>
        <w:tc>
          <w:tcPr>
            <w:tcW w:w="850" w:type="dxa"/>
            <w:tcBorders>
              <w:top w:val="single" w:color="000000" w:sz="6" w:space="0"/>
              <w:left w:val="nil"/>
              <w:bottom w:val="single" w:color="000000" w:sz="6" w:space="0"/>
              <w:right w:val="nil"/>
              <w:insideH w:val="nil"/>
              <w:insideV w:val="nil"/>
            </w:tcBorders>
            <w:vAlign w:val="center"/>
          </w:tcPr>
          <w:p w14:paraId="368AB265">
            <w:pPr>
              <w:spacing w:before="0" w:after="0" w:line="190" w:lineRule="exact"/>
              <w:jc w:val="center"/>
            </w:pPr>
            <w:r>
              <w:rPr>
                <w:rFonts w:ascii="Times New Roman" w:hAnsi="Times New Roman" w:eastAsia="宋体"/>
                <w:b/>
                <w:i w:val="0"/>
                <w:color w:val="000000"/>
                <w:sz w:val="15"/>
              </w:rPr>
              <w:t xml:space="preserve">修复前</w:t>
            </w:r>
          </w:p>
        </w:tc>
        <w:tc>
          <w:tcPr>
            <w:tcW w:w="1248" w:type="dxa"/>
            <w:tcBorders>
              <w:top w:val="single" w:color="000000" w:sz="6" w:space="0"/>
              <w:left w:val="nil"/>
              <w:bottom w:val="single" w:color="000000" w:sz="6" w:space="0"/>
              <w:right w:val="nil"/>
              <w:insideH w:val="nil"/>
              <w:insideV w:val="nil"/>
            </w:tcBorders>
            <w:vAlign w:val="center"/>
          </w:tcPr>
          <w:p w14:paraId="3E40FA5A">
            <w:pPr>
              <w:spacing w:before="0" w:after="0" w:line="190" w:lineRule="exact"/>
              <w:jc w:val="center"/>
            </w:pPr>
            <w:r>
              <w:rPr>
                <w:rFonts w:ascii="Times New Roman" w:hAnsi="Times New Roman" w:eastAsia="宋体"/>
                <w:b/>
                <w:i w:val="0"/>
                <w:color w:val="000000"/>
                <w:sz w:val="15"/>
              </w:rPr>
              <w:t xml:space="preserve">修复后</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相同消息重复接受</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可达</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不可达</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批内接收单射性</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不成立</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成立</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HMAC 有效消息重复接受</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可达</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不可达</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同一消息携带不同标签</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重复拒绝</w:t>
            </w:r>
          </w:p>
        </w:tc>
      </w:tr>
      <w:tr w14:paraId="49EAC171">
        <w:tblPrEx>
          <w:tblCellMar>
            <w:top w:w="0" w:type="dxa"/>
            <w:left w:w="108" w:type="dxa"/>
            <w:bottom w:w="0" w:type="dxa"/>
            <w:right w:w="108" w:type="dxa"/>
          </w:tblCellMar>
        </w:tblPrEx>
        <w:trPr>
          <w:cantSplit/>
          <w:trHeight w:val="0" w:hRule="atLeast"/>
          <w:jc w:val="center"/>
        </w:trPr>
        <w:tc>
          <w:tcPr>
            <w:tcW w:w="2494" w:type="dxa"/>
            <w:tcBorders>
              <w:top w:val="nil"/>
              <w:left w:val="nil"/>
              <w:bottom w:val="nil"/>
              <w:right w:val="nil"/>
              <w:insideH w:val="nil"/>
              <w:insideV w:val="nil"/>
            </w:tcBorders>
            <w:vAlign w:val="center"/>
          </w:tcPr>
          <w:p w14:paraId="284FF5EA">
            <w:pPr>
              <w:spacing w:before="0" w:after="0" w:line="190" w:lineRule="exact"/>
              <w:jc w:val="left"/>
            </w:pPr>
            <w:r>
              <w:rPr>
                <w:rFonts w:ascii="Times New Roman" w:hAnsi="Times New Roman" w:eastAsia="宋体"/>
                <w:b w:val="0"/>
                <w:i w:val="0"/>
                <w:color w:val="000000"/>
                <w:sz w:val="15"/>
              </w:rPr>
              <w:t xml:space="preserve">条件化重复安装</w:t>
            </w:r>
          </w:p>
        </w:tc>
        <w:tc>
          <w:tcPr>
            <w:tcW w:w="850" w:type="dxa"/>
            <w:tcBorders>
              <w:top w:val="nil"/>
              <w:left w:val="nil"/>
              <w:bottom w:val="nil"/>
              <w:right w:val="nil"/>
              <w:insideH w:val="nil"/>
              <w:insideV w:val="nil"/>
            </w:tcBorders>
            <w:vAlign w:val="center"/>
          </w:tcPr>
          <w:p w14:paraId="4CBB5C50">
            <w:pPr>
              <w:spacing w:before="0" w:after="0" w:line="190" w:lineRule="exact"/>
              <w:jc w:val="left"/>
            </w:pPr>
            <w:r>
              <w:rPr/>
              <w:t xml:space="preserve">可达</w:t>
            </w:r>
          </w:p>
        </w:tc>
        <w:tc>
          <w:tcPr>
            <w:tcW w:w="1248" w:type="dxa"/>
            <w:tcBorders>
              <w:top w:val="nil"/>
              <w:left w:val="nil"/>
              <w:bottom w:val="nil"/>
              <w:right w:val="nil"/>
              <w:insideH w:val="nil"/>
              <w:insideV w:val="nil"/>
            </w:tcBorders>
            <w:vAlign w:val="center"/>
          </w:tcPr>
          <w:p w14:paraId="1E1E18ED">
            <w:pPr>
              <w:spacing w:before="0" w:after="0" w:line="190" w:lineRule="exact"/>
              <w:jc w:val="left"/>
            </w:pPr>
            <w:r>
              <w:rPr>
                <w:rFonts w:ascii="Times New Roman" w:hAnsi="Times New Roman" w:eastAsia="宋体"/>
                <w:b w:val="0"/>
                <w:i w:val="0"/>
                <w:color w:val="000000"/>
                <w:sz w:val="15"/>
              </w:rPr>
              <w:t xml:space="preserve">不可达</w:t>
            </w:r>
          </w:p>
        </w:tc>
      </w:tr>
      <w:tr w14:paraId="232F0373">
        <w:tblPrEx>
          <w:tblCellMar>
            <w:top w:w="0" w:type="dxa"/>
            <w:left w:w="108" w:type="dxa"/>
            <w:bottom w:w="0" w:type="dxa"/>
            <w:right w:w="108" w:type="dxa"/>
          </w:tblCellMar>
        </w:tblPrEx>
        <w:trPr>
          <w:cantSplit/>
          <w:trHeight w:val="0" w:hRule="atLeast"/>
          <w:jc w:val="center"/>
        </w:trPr>
        <w:tc>
          <w:tcPr>
            <w:tcW w:w="2494" w:type="dxa"/>
            <w:tcBorders>
              <w:top w:val="nil"/>
              <w:left w:val="nil"/>
              <w:bottom w:val="single" w:color="000000" w:sz="6" w:space="0"/>
              <w:right w:val="nil"/>
              <w:insideH w:val="nil"/>
              <w:insideV w:val="nil"/>
            </w:tcBorders>
            <w:vAlign w:val="center"/>
          </w:tcPr>
          <w:p w14:paraId="1B870D48">
            <w:pPr>
              <w:spacing w:before="0" w:after="0" w:line="190" w:lineRule="exact"/>
              <w:jc w:val="left"/>
            </w:pPr>
            <w:r>
              <w:rPr>
                <w:rFonts w:ascii="Times New Roman" w:hAnsi="Times New Roman" w:eastAsia="宋体"/>
                <w:b w:val="0"/>
                <w:i w:val="0"/>
                <w:color w:val="000000"/>
                <w:sz w:val="15"/>
              </w:rPr>
              <w:t xml:space="preserve">不同有效消息正常接收</w:t>
            </w:r>
          </w:p>
        </w:tc>
        <w:tc>
          <w:tcPr>
            <w:tcW w:w="850" w:type="dxa"/>
            <w:tcBorders>
              <w:top w:val="nil"/>
              <w:left w:val="nil"/>
              <w:bottom w:val="single" w:color="000000" w:sz="6" w:space="0"/>
              <w:right w:val="nil"/>
              <w:insideH w:val="nil"/>
              <w:insideV w:val="nil"/>
            </w:tcBorders>
            <w:vAlign w:val="center"/>
          </w:tcPr>
          <w:p w14:paraId="4D73D92C">
            <w:pPr>
              <w:spacing w:before="0" w:after="0" w:line="190" w:lineRule="exact"/>
              <w:jc w:val="left"/>
            </w:pPr>
            <w:r>
              <w:rPr>
                <w:rFonts w:ascii="Times New Roman" w:hAnsi="Times New Roman" w:eastAsia="宋体"/>
                <w:b w:val="0"/>
                <w:i w:val="0"/>
                <w:color w:val="000000"/>
                <w:sz w:val="15"/>
              </w:rPr>
              <w:t xml:space="preserve">可达</w:t>
            </w:r>
          </w:p>
        </w:tc>
        <w:tc>
          <w:tcPr>
            <w:tcW w:w="1248" w:type="dxa"/>
            <w:tcBorders>
              <w:top w:val="nil"/>
              <w:left w:val="nil"/>
              <w:bottom w:val="single" w:color="000000" w:sz="6" w:space="0"/>
              <w:right w:val="nil"/>
              <w:insideH w:val="nil"/>
              <w:insideV w:val="nil"/>
            </w:tcBorders>
            <w:vAlign w:val="center"/>
          </w:tcPr>
          <w:p w14:paraId="10A637F0">
            <w:pPr>
              <w:spacing w:before="0" w:after="0" w:line="190" w:lineRule="exact"/>
              <w:jc w:val="left"/>
            </w:pPr>
            <w:r>
              <w:rPr>
                <w:rFonts w:ascii="Times New Roman" w:hAnsi="Times New Roman" w:eastAsia="宋体"/>
                <w:b w:val="0"/>
                <w:i w:val="0"/>
                <w:color w:val="000000"/>
                <w:sz w:val="15"/>
              </w:rPr>
              <w:t xml:space="preserve">可达</w:t>
            </w:r>
          </w:p>
        </w:tc>
      </w:tr>
    </w:tbl>
    <w:p w14:paraId="761A7748">
      <w:pPr>
        <w:pStyle w:val="71"/>
        <w:spacing w:before="0" w:after="0" w:line="240" w:lineRule="exact"/>
        <w:ind w:firstLine="360"/>
        <w:jc w:val="both"/>
      </w:pPr>
      <w:r>
        <w:rPr>
          <w:rFonts w:ascii="Times New Roman" w:hAnsi="Times New Roman" w:eastAsia="宋体"/>
          <w:b w:val="0"/>
          <w:i w:val="0"/>
          <w:color w:val="000000"/>
          <w:sz w:val="18"/>
        </w:rPr>
        <w:t xml:space="preserve">注：重复安装结果基于第4章定义的逐输出消费条件。</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验证结果表明，组合加固能够阻断合法消息的批内重复接受，保证相同基础消息不会在同一批次中产生多个成功接收事件。对于确认标签不正确的消息，接收方也无法完成相应的确认接收。</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此外，正常双消息接收和后续输出消费均保持可达，表明组合方案在满足安全检查要求的同时保留了正常批量接收功能。</w:t>
      </w:r>
    </w:p>
    <w:p w14:paraId="761A7748">
      <w:pPr>
        <w:pStyle w:val="71"/>
        <w:spacing w:before="0" w:after="0" w:line="240" w:lineRule="exact"/>
        <w:ind w:firstLine="360"/>
        <w:jc w:val="both"/>
      </w:pPr>
      <w:r>
        <w:rPr>
          <w:rFonts w:ascii="Times New Roman" w:hAnsi="Times New Roman" w:eastAsia="宋体"/>
          <w:b w:val="1"/>
          <w:i w:val="0"/>
          <w:color w:val="000000"/>
          <w:sz w:val="18"/>
        </w:rPr>
        <w:t xml:space="preserve">综上，本文通过在 BatchReceive 中增加处理前原子去重，并结合 HMAC 密钥确认，实现了对消息篡改和批内重复接受问题的分层加固。形式化验证表明，该方案能够有效阻断相应攻击路径，同时维持正常密钥交换和批次接收能力。</w:t>
      </w:r>
    </w:p>
    <w:p w14:paraId="336EC8BE">
      <w:pPr>
        <w:pStyle w:val="65"/>
        <w:keepNext/>
        <w:spacing w:before="100" w:after="20"/>
      </w:pPr>
      <w:r>
        <w:rPr>
          <w:rFonts w:ascii="Times New Roman" w:hAnsi="Times New Roman" w:eastAsia="宋体"/>
          <w:b/>
          <w:i w:val="0"/>
          <w:color w:val="000000"/>
          <w:sz w:val="21"/>
        </w:rPr>
        <w:t xml:space="preserve">结束语</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本文针对 K-Waay 密钥交换协议的接收端安全问题开展形式化分析。首先，通过 ProVerif 发现攻击者能够重组 KEM 密文，使接收方接受与合法发送会话不匹配的会话参数，即使攻击者无法获得相应的会话密钥。针对该问题，本文提出基于 HMAC 的密钥确认机制，并验证其能够在无密钥泄露条件下恢复完整会话参数对应关系。</w:t>
      </w:r>
    </w:p>
    <w:p w14:paraId="761A7748">
      <w:pPr>
        <w:pStyle w:val="71"/>
        <w:spacing w:before="0" w:after="0" w:line="240" w:lineRule="exact"/>
        <w:ind w:firstLine="360"/>
        <w:jc w:val="both"/>
      </w:pPr>
      <w:r>
        <w:rPr>
          <w:rFonts w:ascii="Times New Roman" w:hAnsi="Times New Roman" w:eastAsia="宋体"/>
          <w:b w:val="0"/>
          <w:i w:val="0"/>
          <w:color w:val="000000"/>
          <w:sz w:val="18"/>
        </w:rPr>
        <w:t xml:space="preserve">进一步地，通过 Tamarin 发现，当 BatchReceive 的参与方互异前置条件未得到维持时，即使引入 HMAC 确认，合法消息仍可能在同一批次中被重复接受，并在特定上层消费条件下产生重复安装。为此，本文提出批内原子消息去重机制，并将其与 HMAC 确认相结合。形式化验证表明，组合方案能够阻断相应的消息篡改与批内重复接受攻击，同时保持正常批次处理与输出消费的可达性，为 K-Waay 接收端安全加固提供了可验证的改进方案。</w:t>
      </w:r>
    </w:p>
    <w:p w14:paraId="0DB08862">
      <w:pPr>
        <w:pStyle w:val="82"/>
        <w:keepNext/>
      </w:pPr>
      <w:r>
        <w:rPr>
          <w:rFonts w:ascii="Times New Roman" w:hAnsi="Times New Roman" w:eastAsia="宋体"/>
          <w:b/>
          <w:i w:val="0"/>
          <w:color w:val="000000"/>
          <w:sz w:val="21"/>
        </w:rPr>
        <w:t>参考文献</w:t>
      </w:r>
    </w:p>
    <w:p w14:paraId="4C8DF21D">
      <w:pPr>
        <w:pStyle w:val="84"/>
        <w:spacing w:before="0" w:after="0" w:line="190" w:lineRule="exact"/>
        <w:ind w:left="360" w:hanging="360"/>
        <w:jc w:val="left"/>
      </w:pPr>
      <w:r>
        <w:rPr>
          <w:rFonts w:ascii="Times New Roman" w:hAnsi="Times New Roman" w:eastAsia="宋体"/>
          <w:b w:val="0"/>
          <w:i w:val="0"/>
          <w:color w:val="000000"/>
          <w:sz w:val="16"/>
        </w:rPr>
        <w:t>CREMERS C, JACOMME C, NASKA A. Formal analysis of session-handling in secure messaging: lifting security from sessions to conversations[C]//32nd USENIX Security Symposium (USENIX Security 23). Anaheim, CA: USENIX Association, 2023: 1235-1252.</w:t>
      </w:r>
    </w:p>
    <w:p w14:paraId="18B44FB7">
      <w:pPr>
        <w:pStyle w:val="84"/>
        <w:spacing w:before="0" w:after="0" w:line="190" w:lineRule="exact"/>
        <w:ind w:left="360" w:hanging="360"/>
        <w:jc w:val="left"/>
      </w:pPr>
      <w:r>
        <w:rPr>
          <w:rFonts w:ascii="Times New Roman" w:hAnsi="Times New Roman" w:eastAsia="宋体"/>
          <w:b w:val="0"/>
          <w:i w:val="0"/>
          <w:color w:val="000000"/>
          <w:sz w:val="16"/>
        </w:rPr>
        <w:t>COLLINS D, HUGUENIN-DUMITTAN L, NGUYEN N K, et al. K-Waay: fast and deniable post-quantum X3DH without ring signatures[C]//33rd USENIX Security Symposium (USENIX Security 24). Philadelphia, PA: USENIX Association, 2024: 433-450.</w:t>
      </w:r>
    </w:p>
    <w:p w14:paraId="760A55AB">
      <w:pPr>
        <w:pStyle w:val="84"/>
        <w:spacing w:before="0" w:after="0" w:line="190" w:lineRule="exact"/>
        <w:ind w:left="360" w:hanging="360"/>
        <w:jc w:val="left"/>
      </w:pPr>
      <w:r>
        <w:rPr>
          <w:rFonts w:ascii="Times New Roman" w:hAnsi="Times New Roman" w:eastAsia="宋体"/>
          <w:b w:val="0"/>
          <w:i w:val="0"/>
          <w:color w:val="000000"/>
          <w:sz w:val="16"/>
        </w:rPr>
        <w:t>COLLINS D, HUGUENIN-DUMITTAN L, NGUYEN N K, et al. K-Waay: fast and deniable post-quantum X3DH without ring signatures[EB/OL]. Cryptology ePrint Archive, Paper 2024/120, 2024[2026-10-08]. https://eprint.iacr.org/2024/120.</w:t>
      </w:r>
    </w:p>
    <w:p w14:paraId="7854E35A">
      <w:pPr>
        <w:pStyle w:val="71"/>
        <w:spacing w:before="0" w:after="0"/>
      </w:pPr>
      <w:r>
        <w:br w:type="column"/>
      </w:r>
    </w:p>
    <w:p w14:paraId="056701CB">
      <w:pPr>
        <w:pStyle w:val="84"/>
        <w:spacing w:before="0" w:after="0" w:line="190" w:lineRule="exact"/>
        <w:ind w:left="360" w:hanging="360"/>
        <w:jc w:val="left"/>
      </w:pPr>
      <w:r>
        <w:rPr>
          <w:rFonts w:ascii="Times New Roman" w:hAnsi="Times New Roman" w:eastAsia="宋体"/>
          <w:b w:val="0"/>
          <w:i w:val="0"/>
          <w:color w:val="000000"/>
          <w:sz w:val="16"/>
        </w:rPr>
        <w:t>COHN-GORDON K, CREMERS C, DOWLING B, et al. A formal security analysis of the Signal messaging protocol[J]. Journal of Cryptology, 2020, 33(4): 1914-1983. DOI:10.1007/s00145-020-09360-1.</w:t>
      </w:r>
    </w:p>
    <w:p w14:paraId="53B775F6">
      <w:pPr>
        <w:pStyle w:val="84"/>
        <w:spacing w:before="0" w:after="0" w:line="190" w:lineRule="exact"/>
        <w:ind w:left="360" w:hanging="360"/>
        <w:jc w:val="left"/>
      </w:pPr>
      <w:r>
        <w:rPr>
          <w:rFonts w:ascii="Times New Roman" w:hAnsi="Times New Roman" w:eastAsia="宋体"/>
          <w:b w:val="0"/>
          <w:i w:val="0"/>
          <w:color w:val="000000"/>
          <w:sz w:val="16"/>
        </w:rPr>
        <w:t>BHARGAVAN K, JACOMME C, KIEFER F, et al. Formal verification of the PQXDH post-quantum key agreement protocol for end-to-end secure messaging[C]//33rd USENIX Security Symposium (USENIX Security 24). Philadelphia, PA: USENIX Association, 2024: 469-486.</w:t>
      </w:r>
    </w:p>
    <w:p w14:paraId="583A1B90">
      <w:pPr>
        <w:pStyle w:val="84"/>
        <w:spacing w:before="0" w:after="0" w:line="190" w:lineRule="exact"/>
        <w:ind w:left="360" w:hanging="360"/>
        <w:jc w:val="left"/>
      </w:pPr>
      <w:r>
        <w:rPr>
          <w:rFonts w:ascii="Times New Roman" w:hAnsi="Times New Roman" w:eastAsia="宋体"/>
          <w:b w:val="0"/>
          <w:i w:val="0"/>
          <w:color w:val="000000"/>
          <w:sz w:val="16"/>
        </w:rPr>
        <w:t>MEIER S, SCHMIDT B, CREMERS C, et al. The TAMARIN prover for the symbolic analysis of security protocols[C]//Computer Aided Verification: CAV 2013. Berlin, Heidelberg: Springer, 2013: 696-701. DOI:10.1007/978-3-642-39799-8_48.</w:t>
      </w:r>
    </w:p>
    <w:p w14:paraId="7083480E">
      <w:pPr>
        <w:pStyle w:val="84"/>
        <w:spacing w:before="0" w:after="0" w:line="190" w:lineRule="exact"/>
        <w:ind w:left="360" w:hanging="360"/>
        <w:jc w:val="left"/>
      </w:pPr>
      <w:r>
        <w:rPr>
          <w:rFonts w:ascii="Times New Roman" w:hAnsi="Times New Roman" w:eastAsia="宋体"/>
          <w:b w:val="0"/>
          <w:i w:val="0"/>
          <w:color w:val="000000"/>
          <w:sz w:val="16"/>
        </w:rPr>
        <w:t>LUPETTI S, DILLEMA F W, STABELL-KULO T. Names in cryptographic protocols[C]//Proceedings of the 4th International Workshop on Security in Information Systems. Paphos, Cyprus: SciTePress, 2006: 185-194. DOI:10.5220/0002484701850194.</w:t>
      </w:r>
    </w:p>
    <w:p w14:paraId="70C77739">
      <w:pPr>
        <w:pStyle w:val="84"/>
        <w:spacing w:before="0" w:after="0" w:line="190" w:lineRule="exact"/>
        <w:ind w:left="360" w:hanging="360"/>
        <w:jc w:val="left"/>
      </w:pPr>
      <w:r>
        <w:rPr>
          <w:rFonts w:ascii="Times New Roman" w:hAnsi="Times New Roman" w:eastAsia="宋体"/>
          <w:b w:val="0"/>
          <w:i w:val="0"/>
          <w:color w:val="000000"/>
          <w:sz w:val="16"/>
        </w:rPr>
        <w:t>LOWE G. A hierarchy of authentication specifications[C]//Proceedings of the 10th Computer Security Foundations Workshop. Rockport, MA: IEEE Computer Society Press, 1997: 31-</w:t>
      </w:r>
      <w:bookmarkStart w:id="3" w:name="_GoBack"/>
      <w:bookmarkEnd w:id="3"/>
      <w:r>
        <w:rPr>
          <w:rFonts w:ascii="Times New Roman" w:hAnsi="Times New Roman" w:eastAsia="宋体"/>
          <w:b w:val="0"/>
          <w:i w:val="0"/>
          <w:color w:val="000000"/>
          <w:sz w:val="16"/>
        </w:rPr>
        <w:t>43. DOI:10.1109/CSFW.1997.596782.</w:t>
      </w:r>
    </w:p>
    <w:sectPr>
      <w:type w:val="continuous"/>
      <w:pgSz w:w="11906" w:h="16838"/>
      <w:pgMar w:top="1134" w:right="850" w:bottom="850" w:left="850" w:header="397" w:footer="397" w:gutter="0"/>
      <w:cols w:space="360" w:num="2"/>
      <w:docGrid w:type="linesAndChars" w:linePitch="322" w:charSpace="4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A438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5D1EA4">
    <w:pPr>
      <w:pStyle w:val="61"/>
    </w:pPr>
    <w:r>
      <w:rPr>
        <w:rFonts w:hint="eastAsia"/>
      </w:rPr>
      <w:t>——————————</w:t>
    </w:r>
  </w:p>
  <w:p w14:paraId="6D04923F">
    <w:pPr>
      <w:pStyle w:val="61"/>
    </w:pPr>
    <w:bookmarkStart w:id="1" w:name="AROC_FUND"/>
    <w:r>
      <w:rPr>
        <w:rFonts w:hint="eastAsia"/>
      </w:rPr>
      <w:t>　　基金项目：待补</w:t>
    </w:r>
  </w:p>
  <w:bookmarkEnd w:id="1"/>
  <w:p w14:paraId="019CD45C">
    <w:pPr>
      <w:pStyle w:val="61"/>
    </w:pPr>
    <w:bookmarkStart w:id="2" w:name="AROC_INTRO"/>
    <w:r>
      <w:rPr>
        <w:rFonts w:hint="eastAsia"/>
      </w:rPr>
      <w:t>　　作者简介：待补</w:t>
    </w:r>
    <w:bookmarkEnd w:id="2"/>
  </w:p>
  <w:p w14:paraId="78FDAC16">
    <w:r>
      <w:t>　　通信作者及电子邮箱：待补</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B588DE">
    <w:pPr>
      <w:pStyle w:val="60"/>
    </w:pPr>
    <w:r>
      <w:rPr>
        <w:rFonts w:hint="eastAsia"/>
      </w:rPr>
      <w:t>投稿</w:t>
    </w:r>
    <w:r>
      <w:rPr>
        <w:rFonts w:hint="eastAsia"/>
      </w:rPr>
      <w:tab/>
    </w:r>
    <w:r>
      <w:rPr>
        <w:rFonts w:hint="eastAsia"/>
      </w:rPr>
      <w:t>计算机应用研究</w:t>
    </w:r>
    <w:r>
      <w:rPr>
        <w:rFonts w:hint="eastAsia"/>
      </w:rPr>
      <w:tab/>
    </w:r>
    <w:r>
      <w:rPr>
        <w:rFonts w:hint="eastAsia"/>
      </w:rPr>
      <w:t>投稿</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46313">
    <w:pPr>
      <w:pStyle w:val="60"/>
    </w:pPr>
    <w:r>
      <w:br w:type="textWrapping"/>
    </w:r>
    <w:r>
      <w:t>投稿</w:t>
    </w:r>
    <w:r>
      <w:tab/>
    </w:r>
    <w:r>
      <w:t>计算机应用研究</w:t>
    </w:r>
    <w:r>
      <w:tab/>
    </w:r>
    <w:r>
      <w:t>修改日期：2026/10/09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08D5A98"/>
    <w:multiLevelType w:val="multilevel"/>
    <w:tmpl w:val="308D5A98"/>
    <w:lvl w:ilvl="0" w:tentative="0">
      <w:start w:val="1"/>
      <w:numFmt w:val="decimal"/>
      <w:pStyle w:val="84"/>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5EB6341A"/>
    <w:multiLevelType w:val="multilevel"/>
    <w:tmpl w:val="5EB6341A"/>
    <w:lvl w:ilvl="0" w:tentative="0">
      <w:start w:val="0"/>
      <w:numFmt w:val="decimal"/>
      <w:pStyle w:val="65"/>
      <w:lvlText w:val="%1"/>
      <w:lvlJc w:val="left"/>
      <w:pPr>
        <w:ind w:left="425" w:hanging="425"/>
      </w:pPr>
      <w:rPr>
        <w:rFonts w:hint="eastAsia"/>
      </w:rPr>
    </w:lvl>
    <w:lvl w:ilvl="1" w:tentative="0">
      <w:start w:val="1"/>
      <w:numFmt w:val="decimal"/>
      <w:pStyle w:val="66"/>
      <w:lvlText w:val="%1.%2"/>
      <w:lvlJc w:val="left"/>
      <w:pPr>
        <w:ind w:left="425" w:hanging="425"/>
      </w:pPr>
      <w:rPr>
        <w:rFonts w:hint="eastAsia"/>
      </w:rPr>
    </w:lvl>
    <w:lvl w:ilvl="2" w:tentative="0">
      <w:start w:val="1"/>
      <w:numFmt w:val="decimal"/>
      <w:pStyle w:val="68"/>
      <w:lvlText w:val="%1.%2.%3"/>
      <w:lvlJc w:val="left"/>
      <w:pPr>
        <w:ind w:left="425" w:hanging="425"/>
      </w:pPr>
      <w:rPr>
        <w:rFonts w:hint="eastAsia"/>
      </w:rPr>
    </w:lvl>
    <w:lvl w:ilvl="3" w:tentative="0">
      <w:start w:val="1"/>
      <w:numFmt w:val="decimal"/>
      <w:lvlText w:val="%1.%2.%3.%4"/>
      <w:lvlJc w:val="left"/>
      <w:pPr>
        <w:tabs>
          <w:tab w:val="left" w:pos="1418"/>
        </w:tabs>
        <w:ind w:left="425" w:hanging="425"/>
      </w:pPr>
      <w:rPr>
        <w:rFonts w:hint="eastAsia"/>
      </w:rPr>
    </w:lvl>
    <w:lvl w:ilvl="4" w:tentative="0">
      <w:start w:val="1"/>
      <w:numFmt w:val="decimal"/>
      <w:lvlText w:val="%1.%2.%3.%4.%5"/>
      <w:lvlJc w:val="left"/>
      <w:pPr>
        <w:tabs>
          <w:tab w:val="left" w:pos="1418"/>
        </w:tabs>
        <w:ind w:left="425" w:hanging="425"/>
      </w:pPr>
      <w:rPr>
        <w:rFonts w:hint="eastAsia"/>
      </w:rPr>
    </w:lvl>
    <w:lvl w:ilvl="5" w:tentative="0">
      <w:start w:val="1"/>
      <w:numFmt w:val="decimal"/>
      <w:lvlText w:val="%1.%2.%3.%4.%5.%6"/>
      <w:lvlJc w:val="left"/>
      <w:pPr>
        <w:tabs>
          <w:tab w:val="left" w:pos="1418"/>
        </w:tabs>
        <w:ind w:left="425" w:hanging="425"/>
      </w:pPr>
      <w:rPr>
        <w:rFonts w:hint="eastAsia"/>
      </w:rPr>
    </w:lvl>
    <w:lvl w:ilvl="6" w:tentative="0">
      <w:start w:val="1"/>
      <w:numFmt w:val="decimal"/>
      <w:lvlText w:val="%1.%2.%3.%4.%5.%6.%7"/>
      <w:lvlJc w:val="left"/>
      <w:pPr>
        <w:tabs>
          <w:tab w:val="left" w:pos="1418"/>
        </w:tabs>
        <w:ind w:left="425" w:hanging="425"/>
      </w:pPr>
      <w:rPr>
        <w:rFonts w:hint="eastAsia"/>
      </w:rPr>
    </w:lvl>
    <w:lvl w:ilvl="7" w:tentative="0">
      <w:start w:val="1"/>
      <w:numFmt w:val="decimal"/>
      <w:lvlText w:val="%1.%2.%3.%4.%5.%6.%7.%8"/>
      <w:lvlJc w:val="left"/>
      <w:pPr>
        <w:tabs>
          <w:tab w:val="left" w:pos="1418"/>
        </w:tabs>
        <w:ind w:left="425" w:hanging="425"/>
      </w:pPr>
      <w:rPr>
        <w:rFonts w:hint="eastAsia"/>
      </w:rPr>
    </w:lvl>
    <w:lvl w:ilvl="8" w:tentative="0">
      <w:start w:val="1"/>
      <w:numFmt w:val="decimal"/>
      <w:lvlText w:val="%1.%2.%3.%4.%5.%6.%7.%8.%9"/>
      <w:lvlJc w:val="left"/>
      <w:pPr>
        <w:tabs>
          <w:tab w:val="left" w:pos="1418"/>
        </w:tabs>
        <w:ind w:left="425" w:hanging="425"/>
      </w:pPr>
      <w:rPr>
        <w:rFonts w:hint="eastAsia"/>
      </w:rPr>
    </w:lvl>
  </w:abstractNum>
  <w:num w:numId="1">
    <w:abstractNumId w:val="1"/>
    <w:lvlOverride w:ilvl="0">
      <w:startOverride w:val="0"/>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420"/>
  <w:hyphenationZone w:val="360"/>
  <w:drawingGridHorizontalSpacing w:val="91"/>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D04369"/>
    <w:rsid w:val="000030EE"/>
    <w:rsid w:val="00010AE4"/>
    <w:rsid w:val="000122D8"/>
    <w:rsid w:val="00015767"/>
    <w:rsid w:val="00016169"/>
    <w:rsid w:val="0001662B"/>
    <w:rsid w:val="00017F7E"/>
    <w:rsid w:val="00022CC6"/>
    <w:rsid w:val="0002356D"/>
    <w:rsid w:val="00023E14"/>
    <w:rsid w:val="00030A47"/>
    <w:rsid w:val="00032D41"/>
    <w:rsid w:val="00034A2A"/>
    <w:rsid w:val="00041CFC"/>
    <w:rsid w:val="00042878"/>
    <w:rsid w:val="00045863"/>
    <w:rsid w:val="00050A8E"/>
    <w:rsid w:val="00050E3E"/>
    <w:rsid w:val="00052107"/>
    <w:rsid w:val="00052CDD"/>
    <w:rsid w:val="0005687D"/>
    <w:rsid w:val="00056B68"/>
    <w:rsid w:val="00057B9A"/>
    <w:rsid w:val="00060BD6"/>
    <w:rsid w:val="000614DB"/>
    <w:rsid w:val="000629FA"/>
    <w:rsid w:val="00064D57"/>
    <w:rsid w:val="000662DB"/>
    <w:rsid w:val="000701E6"/>
    <w:rsid w:val="000816FF"/>
    <w:rsid w:val="00084145"/>
    <w:rsid w:val="00084528"/>
    <w:rsid w:val="000876D0"/>
    <w:rsid w:val="0008783B"/>
    <w:rsid w:val="00087ACF"/>
    <w:rsid w:val="00090163"/>
    <w:rsid w:val="0009041C"/>
    <w:rsid w:val="00090D22"/>
    <w:rsid w:val="00093BC4"/>
    <w:rsid w:val="000955E0"/>
    <w:rsid w:val="000A079E"/>
    <w:rsid w:val="000A1B4D"/>
    <w:rsid w:val="000A38A5"/>
    <w:rsid w:val="000A4D16"/>
    <w:rsid w:val="000A4F90"/>
    <w:rsid w:val="000A7FDD"/>
    <w:rsid w:val="000B0FBD"/>
    <w:rsid w:val="000B1AA9"/>
    <w:rsid w:val="000B2479"/>
    <w:rsid w:val="000B2A0B"/>
    <w:rsid w:val="000B4DD6"/>
    <w:rsid w:val="000B510E"/>
    <w:rsid w:val="000B5D1E"/>
    <w:rsid w:val="000C0FA3"/>
    <w:rsid w:val="000C2D29"/>
    <w:rsid w:val="000C4736"/>
    <w:rsid w:val="000C4810"/>
    <w:rsid w:val="000C4E81"/>
    <w:rsid w:val="000C7156"/>
    <w:rsid w:val="000C76EF"/>
    <w:rsid w:val="000D1402"/>
    <w:rsid w:val="000D2774"/>
    <w:rsid w:val="000D6571"/>
    <w:rsid w:val="000D77D9"/>
    <w:rsid w:val="000E21F7"/>
    <w:rsid w:val="000E2F33"/>
    <w:rsid w:val="000E5342"/>
    <w:rsid w:val="000F0178"/>
    <w:rsid w:val="000F1A05"/>
    <w:rsid w:val="000F4DAD"/>
    <w:rsid w:val="000F5073"/>
    <w:rsid w:val="001001A0"/>
    <w:rsid w:val="0010141B"/>
    <w:rsid w:val="00103ADB"/>
    <w:rsid w:val="00104368"/>
    <w:rsid w:val="0011195F"/>
    <w:rsid w:val="00115507"/>
    <w:rsid w:val="001179EA"/>
    <w:rsid w:val="00120538"/>
    <w:rsid w:val="00121229"/>
    <w:rsid w:val="001213A8"/>
    <w:rsid w:val="00126EF0"/>
    <w:rsid w:val="001314A6"/>
    <w:rsid w:val="001318E0"/>
    <w:rsid w:val="00136384"/>
    <w:rsid w:val="00143B51"/>
    <w:rsid w:val="00144AC1"/>
    <w:rsid w:val="001450B8"/>
    <w:rsid w:val="001459EF"/>
    <w:rsid w:val="00146A0E"/>
    <w:rsid w:val="00150406"/>
    <w:rsid w:val="00153688"/>
    <w:rsid w:val="001538F5"/>
    <w:rsid w:val="00154000"/>
    <w:rsid w:val="0016331B"/>
    <w:rsid w:val="0016510B"/>
    <w:rsid w:val="00166006"/>
    <w:rsid w:val="00170036"/>
    <w:rsid w:val="00172869"/>
    <w:rsid w:val="00173640"/>
    <w:rsid w:val="001766E8"/>
    <w:rsid w:val="0017792C"/>
    <w:rsid w:val="001824BC"/>
    <w:rsid w:val="00183CE6"/>
    <w:rsid w:val="00185C4E"/>
    <w:rsid w:val="00192A3C"/>
    <w:rsid w:val="0019303B"/>
    <w:rsid w:val="00197E48"/>
    <w:rsid w:val="001A0A3A"/>
    <w:rsid w:val="001A3582"/>
    <w:rsid w:val="001A5F60"/>
    <w:rsid w:val="001B425C"/>
    <w:rsid w:val="001B5F44"/>
    <w:rsid w:val="001B6074"/>
    <w:rsid w:val="001C4198"/>
    <w:rsid w:val="001D20A5"/>
    <w:rsid w:val="001D28B5"/>
    <w:rsid w:val="001D6DAE"/>
    <w:rsid w:val="001D7782"/>
    <w:rsid w:val="001E2DB7"/>
    <w:rsid w:val="001E33E7"/>
    <w:rsid w:val="001E33F4"/>
    <w:rsid w:val="001E4329"/>
    <w:rsid w:val="001E578D"/>
    <w:rsid w:val="001E7387"/>
    <w:rsid w:val="001E7529"/>
    <w:rsid w:val="001F05D9"/>
    <w:rsid w:val="001F0C34"/>
    <w:rsid w:val="001F0F32"/>
    <w:rsid w:val="001F21CD"/>
    <w:rsid w:val="001F4EDD"/>
    <w:rsid w:val="00200265"/>
    <w:rsid w:val="002057FC"/>
    <w:rsid w:val="00205FEC"/>
    <w:rsid w:val="00206379"/>
    <w:rsid w:val="00210348"/>
    <w:rsid w:val="00210CD6"/>
    <w:rsid w:val="00211EA2"/>
    <w:rsid w:val="00211FD9"/>
    <w:rsid w:val="00212261"/>
    <w:rsid w:val="00212AAC"/>
    <w:rsid w:val="00214347"/>
    <w:rsid w:val="002250EF"/>
    <w:rsid w:val="0023290D"/>
    <w:rsid w:val="00234652"/>
    <w:rsid w:val="002348C3"/>
    <w:rsid w:val="00237BF2"/>
    <w:rsid w:val="00242974"/>
    <w:rsid w:val="00244F30"/>
    <w:rsid w:val="0024692B"/>
    <w:rsid w:val="0024772A"/>
    <w:rsid w:val="00247934"/>
    <w:rsid w:val="00251EFB"/>
    <w:rsid w:val="0025264D"/>
    <w:rsid w:val="00252ADA"/>
    <w:rsid w:val="0025508D"/>
    <w:rsid w:val="0026028F"/>
    <w:rsid w:val="0026114A"/>
    <w:rsid w:val="00261994"/>
    <w:rsid w:val="00265180"/>
    <w:rsid w:val="00271000"/>
    <w:rsid w:val="00281D44"/>
    <w:rsid w:val="0028370E"/>
    <w:rsid w:val="00286FCA"/>
    <w:rsid w:val="0029156A"/>
    <w:rsid w:val="00292341"/>
    <w:rsid w:val="00294A1C"/>
    <w:rsid w:val="00294E29"/>
    <w:rsid w:val="002A0AF9"/>
    <w:rsid w:val="002B10B1"/>
    <w:rsid w:val="002B68BC"/>
    <w:rsid w:val="002B7171"/>
    <w:rsid w:val="002C0A61"/>
    <w:rsid w:val="002C143B"/>
    <w:rsid w:val="002C2930"/>
    <w:rsid w:val="002C295F"/>
    <w:rsid w:val="002C55A7"/>
    <w:rsid w:val="002C5A0A"/>
    <w:rsid w:val="002D2ADE"/>
    <w:rsid w:val="002D2F3A"/>
    <w:rsid w:val="002D7180"/>
    <w:rsid w:val="002E13A7"/>
    <w:rsid w:val="002F0F72"/>
    <w:rsid w:val="002F2E6A"/>
    <w:rsid w:val="00302B1C"/>
    <w:rsid w:val="0030363C"/>
    <w:rsid w:val="00304FEB"/>
    <w:rsid w:val="00306B33"/>
    <w:rsid w:val="0030737F"/>
    <w:rsid w:val="00307C5F"/>
    <w:rsid w:val="003100D9"/>
    <w:rsid w:val="00313870"/>
    <w:rsid w:val="00314BE2"/>
    <w:rsid w:val="00316070"/>
    <w:rsid w:val="00316ECD"/>
    <w:rsid w:val="00320234"/>
    <w:rsid w:val="0032100E"/>
    <w:rsid w:val="0032272C"/>
    <w:rsid w:val="00322763"/>
    <w:rsid w:val="00322B06"/>
    <w:rsid w:val="00323121"/>
    <w:rsid w:val="003245EC"/>
    <w:rsid w:val="00325890"/>
    <w:rsid w:val="003301A5"/>
    <w:rsid w:val="0033099D"/>
    <w:rsid w:val="00333A25"/>
    <w:rsid w:val="00333D39"/>
    <w:rsid w:val="003361E9"/>
    <w:rsid w:val="0033749D"/>
    <w:rsid w:val="0034124C"/>
    <w:rsid w:val="00342430"/>
    <w:rsid w:val="00345643"/>
    <w:rsid w:val="003457F2"/>
    <w:rsid w:val="00347304"/>
    <w:rsid w:val="00353B81"/>
    <w:rsid w:val="003541A4"/>
    <w:rsid w:val="003568F6"/>
    <w:rsid w:val="00356B21"/>
    <w:rsid w:val="003574C3"/>
    <w:rsid w:val="0036143E"/>
    <w:rsid w:val="00364C7D"/>
    <w:rsid w:val="00372620"/>
    <w:rsid w:val="003727AA"/>
    <w:rsid w:val="00373913"/>
    <w:rsid w:val="00375883"/>
    <w:rsid w:val="003773E5"/>
    <w:rsid w:val="00380611"/>
    <w:rsid w:val="003810B7"/>
    <w:rsid w:val="0038499A"/>
    <w:rsid w:val="00385C06"/>
    <w:rsid w:val="00386705"/>
    <w:rsid w:val="0038690F"/>
    <w:rsid w:val="003939D0"/>
    <w:rsid w:val="00396E52"/>
    <w:rsid w:val="003A004C"/>
    <w:rsid w:val="003A0624"/>
    <w:rsid w:val="003A26FD"/>
    <w:rsid w:val="003A2B4E"/>
    <w:rsid w:val="003A2DE9"/>
    <w:rsid w:val="003A56D6"/>
    <w:rsid w:val="003B0CE6"/>
    <w:rsid w:val="003B0E71"/>
    <w:rsid w:val="003B1086"/>
    <w:rsid w:val="003B259A"/>
    <w:rsid w:val="003B2AA5"/>
    <w:rsid w:val="003B3C75"/>
    <w:rsid w:val="003B6D48"/>
    <w:rsid w:val="003B7F04"/>
    <w:rsid w:val="003C01F1"/>
    <w:rsid w:val="003C245D"/>
    <w:rsid w:val="003C535F"/>
    <w:rsid w:val="003C5CF1"/>
    <w:rsid w:val="003C6584"/>
    <w:rsid w:val="003D01BD"/>
    <w:rsid w:val="003D2ADA"/>
    <w:rsid w:val="003D446A"/>
    <w:rsid w:val="003D47D7"/>
    <w:rsid w:val="003D5380"/>
    <w:rsid w:val="003E067C"/>
    <w:rsid w:val="003E086C"/>
    <w:rsid w:val="003E1AB4"/>
    <w:rsid w:val="003E215E"/>
    <w:rsid w:val="003E746D"/>
    <w:rsid w:val="003F07ED"/>
    <w:rsid w:val="003F5C71"/>
    <w:rsid w:val="003F6499"/>
    <w:rsid w:val="00400D6F"/>
    <w:rsid w:val="004029D0"/>
    <w:rsid w:val="004042CD"/>
    <w:rsid w:val="004073DC"/>
    <w:rsid w:val="004118E9"/>
    <w:rsid w:val="00412A54"/>
    <w:rsid w:val="00413F0A"/>
    <w:rsid w:val="0041471F"/>
    <w:rsid w:val="00414A47"/>
    <w:rsid w:val="00417489"/>
    <w:rsid w:val="0042044B"/>
    <w:rsid w:val="00420726"/>
    <w:rsid w:val="00421950"/>
    <w:rsid w:val="00423E2D"/>
    <w:rsid w:val="004243DD"/>
    <w:rsid w:val="00432879"/>
    <w:rsid w:val="004358E7"/>
    <w:rsid w:val="00441D9A"/>
    <w:rsid w:val="00446E40"/>
    <w:rsid w:val="00451FD1"/>
    <w:rsid w:val="00452574"/>
    <w:rsid w:val="00452907"/>
    <w:rsid w:val="00453A35"/>
    <w:rsid w:val="00455217"/>
    <w:rsid w:val="0045617D"/>
    <w:rsid w:val="0045722D"/>
    <w:rsid w:val="00465A99"/>
    <w:rsid w:val="00465AED"/>
    <w:rsid w:val="00465ED3"/>
    <w:rsid w:val="00466AA9"/>
    <w:rsid w:val="00467835"/>
    <w:rsid w:val="00471310"/>
    <w:rsid w:val="00471B9E"/>
    <w:rsid w:val="00471FBD"/>
    <w:rsid w:val="00473E85"/>
    <w:rsid w:val="004774F0"/>
    <w:rsid w:val="00477EE1"/>
    <w:rsid w:val="00480DAA"/>
    <w:rsid w:val="00482246"/>
    <w:rsid w:val="00482256"/>
    <w:rsid w:val="00482DE0"/>
    <w:rsid w:val="00486EEE"/>
    <w:rsid w:val="0048792B"/>
    <w:rsid w:val="00490207"/>
    <w:rsid w:val="0049146B"/>
    <w:rsid w:val="00491D55"/>
    <w:rsid w:val="00494EA6"/>
    <w:rsid w:val="004A6BAC"/>
    <w:rsid w:val="004B08C3"/>
    <w:rsid w:val="004B0CAC"/>
    <w:rsid w:val="004B20FC"/>
    <w:rsid w:val="004B3FD1"/>
    <w:rsid w:val="004C20CF"/>
    <w:rsid w:val="004C3D8D"/>
    <w:rsid w:val="004C67C8"/>
    <w:rsid w:val="004D0D2C"/>
    <w:rsid w:val="004D418E"/>
    <w:rsid w:val="004E152A"/>
    <w:rsid w:val="004E3631"/>
    <w:rsid w:val="004E3B36"/>
    <w:rsid w:val="004F2E20"/>
    <w:rsid w:val="004F3664"/>
    <w:rsid w:val="004F39FB"/>
    <w:rsid w:val="004F5DA4"/>
    <w:rsid w:val="004F66AB"/>
    <w:rsid w:val="005041D4"/>
    <w:rsid w:val="005049E0"/>
    <w:rsid w:val="00505DD7"/>
    <w:rsid w:val="005116E7"/>
    <w:rsid w:val="00513E3A"/>
    <w:rsid w:val="0052067A"/>
    <w:rsid w:val="00523962"/>
    <w:rsid w:val="00526808"/>
    <w:rsid w:val="005305BA"/>
    <w:rsid w:val="00530ADA"/>
    <w:rsid w:val="00530B95"/>
    <w:rsid w:val="0053125E"/>
    <w:rsid w:val="00533A94"/>
    <w:rsid w:val="00534B8B"/>
    <w:rsid w:val="00534F82"/>
    <w:rsid w:val="0053568D"/>
    <w:rsid w:val="00540157"/>
    <w:rsid w:val="00540428"/>
    <w:rsid w:val="005406BF"/>
    <w:rsid w:val="00540E6A"/>
    <w:rsid w:val="00540FDA"/>
    <w:rsid w:val="0054579A"/>
    <w:rsid w:val="00545A18"/>
    <w:rsid w:val="00552969"/>
    <w:rsid w:val="00554544"/>
    <w:rsid w:val="005547B6"/>
    <w:rsid w:val="00560C10"/>
    <w:rsid w:val="00560F8C"/>
    <w:rsid w:val="00564DA1"/>
    <w:rsid w:val="0057044C"/>
    <w:rsid w:val="00570465"/>
    <w:rsid w:val="0057095A"/>
    <w:rsid w:val="00570A8B"/>
    <w:rsid w:val="00572CB3"/>
    <w:rsid w:val="00582A79"/>
    <w:rsid w:val="005871F7"/>
    <w:rsid w:val="00587694"/>
    <w:rsid w:val="00587C27"/>
    <w:rsid w:val="005901DF"/>
    <w:rsid w:val="00591068"/>
    <w:rsid w:val="005917BB"/>
    <w:rsid w:val="005921FE"/>
    <w:rsid w:val="00594CAD"/>
    <w:rsid w:val="0059741D"/>
    <w:rsid w:val="00597DFC"/>
    <w:rsid w:val="005A222E"/>
    <w:rsid w:val="005A3591"/>
    <w:rsid w:val="005B0796"/>
    <w:rsid w:val="005B0F39"/>
    <w:rsid w:val="005C0F42"/>
    <w:rsid w:val="005C593E"/>
    <w:rsid w:val="005D5106"/>
    <w:rsid w:val="005D5490"/>
    <w:rsid w:val="005D5D07"/>
    <w:rsid w:val="005D665B"/>
    <w:rsid w:val="005D6E67"/>
    <w:rsid w:val="005D7317"/>
    <w:rsid w:val="005E0F43"/>
    <w:rsid w:val="005E40BE"/>
    <w:rsid w:val="005E6D21"/>
    <w:rsid w:val="00602EA4"/>
    <w:rsid w:val="0060472B"/>
    <w:rsid w:val="00604F28"/>
    <w:rsid w:val="00606A35"/>
    <w:rsid w:val="00614101"/>
    <w:rsid w:val="006149CF"/>
    <w:rsid w:val="006155E8"/>
    <w:rsid w:val="00616968"/>
    <w:rsid w:val="00622682"/>
    <w:rsid w:val="00622C09"/>
    <w:rsid w:val="00624F93"/>
    <w:rsid w:val="00625173"/>
    <w:rsid w:val="00627914"/>
    <w:rsid w:val="0063013E"/>
    <w:rsid w:val="0063130E"/>
    <w:rsid w:val="00631ED0"/>
    <w:rsid w:val="00635944"/>
    <w:rsid w:val="00641ADA"/>
    <w:rsid w:val="00646B07"/>
    <w:rsid w:val="0065065A"/>
    <w:rsid w:val="006511B0"/>
    <w:rsid w:val="00653014"/>
    <w:rsid w:val="0065354D"/>
    <w:rsid w:val="0065685F"/>
    <w:rsid w:val="00657DBD"/>
    <w:rsid w:val="00662270"/>
    <w:rsid w:val="00673A1E"/>
    <w:rsid w:val="00673AF3"/>
    <w:rsid w:val="00676D3C"/>
    <w:rsid w:val="006771E1"/>
    <w:rsid w:val="00677AF2"/>
    <w:rsid w:val="00677E87"/>
    <w:rsid w:val="00680037"/>
    <w:rsid w:val="00681C4D"/>
    <w:rsid w:val="00684273"/>
    <w:rsid w:val="006851CC"/>
    <w:rsid w:val="0068547E"/>
    <w:rsid w:val="00685E38"/>
    <w:rsid w:val="006869FD"/>
    <w:rsid w:val="00687790"/>
    <w:rsid w:val="00691F21"/>
    <w:rsid w:val="00693BDD"/>
    <w:rsid w:val="00694A3E"/>
    <w:rsid w:val="006951C0"/>
    <w:rsid w:val="006A2414"/>
    <w:rsid w:val="006B3B78"/>
    <w:rsid w:val="006B4206"/>
    <w:rsid w:val="006C2374"/>
    <w:rsid w:val="006C5E0C"/>
    <w:rsid w:val="006D1EAB"/>
    <w:rsid w:val="006D5565"/>
    <w:rsid w:val="006D6049"/>
    <w:rsid w:val="006D64D4"/>
    <w:rsid w:val="006D6CD8"/>
    <w:rsid w:val="006E0C43"/>
    <w:rsid w:val="006E5790"/>
    <w:rsid w:val="006E63A8"/>
    <w:rsid w:val="006E6584"/>
    <w:rsid w:val="006F05C4"/>
    <w:rsid w:val="006F1B62"/>
    <w:rsid w:val="006F7A1A"/>
    <w:rsid w:val="006F7F49"/>
    <w:rsid w:val="007003CA"/>
    <w:rsid w:val="00700BAC"/>
    <w:rsid w:val="00701489"/>
    <w:rsid w:val="007017F1"/>
    <w:rsid w:val="0070221D"/>
    <w:rsid w:val="00716578"/>
    <w:rsid w:val="007216F8"/>
    <w:rsid w:val="00726435"/>
    <w:rsid w:val="007268CA"/>
    <w:rsid w:val="007273F4"/>
    <w:rsid w:val="007306A1"/>
    <w:rsid w:val="00731E8F"/>
    <w:rsid w:val="007369A6"/>
    <w:rsid w:val="0073706A"/>
    <w:rsid w:val="00742FC3"/>
    <w:rsid w:val="00746DC2"/>
    <w:rsid w:val="0074709E"/>
    <w:rsid w:val="007568DC"/>
    <w:rsid w:val="00761A3F"/>
    <w:rsid w:val="00763EE6"/>
    <w:rsid w:val="00766172"/>
    <w:rsid w:val="007669EB"/>
    <w:rsid w:val="00766BE9"/>
    <w:rsid w:val="007701A9"/>
    <w:rsid w:val="007717E7"/>
    <w:rsid w:val="00772872"/>
    <w:rsid w:val="0077289F"/>
    <w:rsid w:val="0077648F"/>
    <w:rsid w:val="00776AA0"/>
    <w:rsid w:val="007770DC"/>
    <w:rsid w:val="007845BD"/>
    <w:rsid w:val="00784A18"/>
    <w:rsid w:val="00790C31"/>
    <w:rsid w:val="00795C8A"/>
    <w:rsid w:val="007970C9"/>
    <w:rsid w:val="007A05D1"/>
    <w:rsid w:val="007A13CC"/>
    <w:rsid w:val="007A2F92"/>
    <w:rsid w:val="007A5B00"/>
    <w:rsid w:val="007A6E5B"/>
    <w:rsid w:val="007A730F"/>
    <w:rsid w:val="007B0839"/>
    <w:rsid w:val="007B0E64"/>
    <w:rsid w:val="007B565F"/>
    <w:rsid w:val="007B584A"/>
    <w:rsid w:val="007C4427"/>
    <w:rsid w:val="007C4552"/>
    <w:rsid w:val="007C7F22"/>
    <w:rsid w:val="007D14F8"/>
    <w:rsid w:val="007D192C"/>
    <w:rsid w:val="007D56DD"/>
    <w:rsid w:val="007D6C54"/>
    <w:rsid w:val="007E04CF"/>
    <w:rsid w:val="007E1D3F"/>
    <w:rsid w:val="007E2A31"/>
    <w:rsid w:val="007E5817"/>
    <w:rsid w:val="007F030F"/>
    <w:rsid w:val="007F2432"/>
    <w:rsid w:val="007F3A10"/>
    <w:rsid w:val="007F5624"/>
    <w:rsid w:val="007F7886"/>
    <w:rsid w:val="0080021C"/>
    <w:rsid w:val="008022F8"/>
    <w:rsid w:val="008042B1"/>
    <w:rsid w:val="00804E29"/>
    <w:rsid w:val="008056F2"/>
    <w:rsid w:val="00806EB2"/>
    <w:rsid w:val="00813E02"/>
    <w:rsid w:val="00815125"/>
    <w:rsid w:val="00815CA6"/>
    <w:rsid w:val="008218E5"/>
    <w:rsid w:val="00822DDE"/>
    <w:rsid w:val="00822E8F"/>
    <w:rsid w:val="00823F5E"/>
    <w:rsid w:val="00824D57"/>
    <w:rsid w:val="00825517"/>
    <w:rsid w:val="008308C5"/>
    <w:rsid w:val="00832CFA"/>
    <w:rsid w:val="00833526"/>
    <w:rsid w:val="0083413C"/>
    <w:rsid w:val="0083480B"/>
    <w:rsid w:val="0083758A"/>
    <w:rsid w:val="00837C66"/>
    <w:rsid w:val="008406F1"/>
    <w:rsid w:val="00841390"/>
    <w:rsid w:val="00841CA2"/>
    <w:rsid w:val="00846250"/>
    <w:rsid w:val="00852E2D"/>
    <w:rsid w:val="00862880"/>
    <w:rsid w:val="00863D19"/>
    <w:rsid w:val="0086426F"/>
    <w:rsid w:val="0086543B"/>
    <w:rsid w:val="008666E2"/>
    <w:rsid w:val="00867E6E"/>
    <w:rsid w:val="00872B72"/>
    <w:rsid w:val="0089212B"/>
    <w:rsid w:val="00893D17"/>
    <w:rsid w:val="008A16AE"/>
    <w:rsid w:val="008A2358"/>
    <w:rsid w:val="008A33F4"/>
    <w:rsid w:val="008A4086"/>
    <w:rsid w:val="008B3514"/>
    <w:rsid w:val="008B57D4"/>
    <w:rsid w:val="008B67F4"/>
    <w:rsid w:val="008B6F8D"/>
    <w:rsid w:val="008C2368"/>
    <w:rsid w:val="008C2D43"/>
    <w:rsid w:val="008C6084"/>
    <w:rsid w:val="008C7977"/>
    <w:rsid w:val="008C7B47"/>
    <w:rsid w:val="008D4838"/>
    <w:rsid w:val="008D508D"/>
    <w:rsid w:val="008E05EB"/>
    <w:rsid w:val="008E112B"/>
    <w:rsid w:val="008E61BC"/>
    <w:rsid w:val="008F51BE"/>
    <w:rsid w:val="009011BA"/>
    <w:rsid w:val="00902634"/>
    <w:rsid w:val="00903060"/>
    <w:rsid w:val="00906166"/>
    <w:rsid w:val="009075BD"/>
    <w:rsid w:val="00913A91"/>
    <w:rsid w:val="009173D4"/>
    <w:rsid w:val="009211B0"/>
    <w:rsid w:val="009252D5"/>
    <w:rsid w:val="00931960"/>
    <w:rsid w:val="00953477"/>
    <w:rsid w:val="009552DB"/>
    <w:rsid w:val="009572E2"/>
    <w:rsid w:val="009609A4"/>
    <w:rsid w:val="009614DF"/>
    <w:rsid w:val="00961FC1"/>
    <w:rsid w:val="00962A11"/>
    <w:rsid w:val="00963241"/>
    <w:rsid w:val="009648CA"/>
    <w:rsid w:val="00964DD8"/>
    <w:rsid w:val="00966886"/>
    <w:rsid w:val="009677A9"/>
    <w:rsid w:val="00972E0C"/>
    <w:rsid w:val="00974F21"/>
    <w:rsid w:val="00975485"/>
    <w:rsid w:val="00981A06"/>
    <w:rsid w:val="00981B1B"/>
    <w:rsid w:val="00984FD5"/>
    <w:rsid w:val="009850A8"/>
    <w:rsid w:val="00985AF8"/>
    <w:rsid w:val="0098654D"/>
    <w:rsid w:val="00987DF0"/>
    <w:rsid w:val="00990AA3"/>
    <w:rsid w:val="009919AD"/>
    <w:rsid w:val="00994F32"/>
    <w:rsid w:val="009A636D"/>
    <w:rsid w:val="009A748F"/>
    <w:rsid w:val="009A7F32"/>
    <w:rsid w:val="009B0B50"/>
    <w:rsid w:val="009B14AA"/>
    <w:rsid w:val="009B1C52"/>
    <w:rsid w:val="009B2E95"/>
    <w:rsid w:val="009B4A37"/>
    <w:rsid w:val="009C0946"/>
    <w:rsid w:val="009C1067"/>
    <w:rsid w:val="009C302B"/>
    <w:rsid w:val="009C3960"/>
    <w:rsid w:val="009C4843"/>
    <w:rsid w:val="009C4BE8"/>
    <w:rsid w:val="009C5ACB"/>
    <w:rsid w:val="009C7C01"/>
    <w:rsid w:val="009D1418"/>
    <w:rsid w:val="009D1705"/>
    <w:rsid w:val="009D2856"/>
    <w:rsid w:val="009D4D5C"/>
    <w:rsid w:val="009D4EF1"/>
    <w:rsid w:val="009D5B34"/>
    <w:rsid w:val="009D68E2"/>
    <w:rsid w:val="009E0E87"/>
    <w:rsid w:val="009E1FC7"/>
    <w:rsid w:val="009E3767"/>
    <w:rsid w:val="009E55BA"/>
    <w:rsid w:val="009F1526"/>
    <w:rsid w:val="009F17E8"/>
    <w:rsid w:val="009F1B95"/>
    <w:rsid w:val="009F1D09"/>
    <w:rsid w:val="009F4F62"/>
    <w:rsid w:val="009F529A"/>
    <w:rsid w:val="009F78DE"/>
    <w:rsid w:val="00A0007A"/>
    <w:rsid w:val="00A00BBC"/>
    <w:rsid w:val="00A02463"/>
    <w:rsid w:val="00A038F4"/>
    <w:rsid w:val="00A03F1A"/>
    <w:rsid w:val="00A0453A"/>
    <w:rsid w:val="00A05238"/>
    <w:rsid w:val="00A1267F"/>
    <w:rsid w:val="00A214DB"/>
    <w:rsid w:val="00A21749"/>
    <w:rsid w:val="00A22FD3"/>
    <w:rsid w:val="00A257B0"/>
    <w:rsid w:val="00A26BE7"/>
    <w:rsid w:val="00A26FF0"/>
    <w:rsid w:val="00A315EB"/>
    <w:rsid w:val="00A31EF3"/>
    <w:rsid w:val="00A34EDA"/>
    <w:rsid w:val="00A378B8"/>
    <w:rsid w:val="00A37C10"/>
    <w:rsid w:val="00A40F5B"/>
    <w:rsid w:val="00A42462"/>
    <w:rsid w:val="00A43A27"/>
    <w:rsid w:val="00A50064"/>
    <w:rsid w:val="00A508D3"/>
    <w:rsid w:val="00A53B2A"/>
    <w:rsid w:val="00A5566B"/>
    <w:rsid w:val="00A57D7A"/>
    <w:rsid w:val="00A626A3"/>
    <w:rsid w:val="00A7056C"/>
    <w:rsid w:val="00A70628"/>
    <w:rsid w:val="00A74D47"/>
    <w:rsid w:val="00A76629"/>
    <w:rsid w:val="00A76C30"/>
    <w:rsid w:val="00A772C2"/>
    <w:rsid w:val="00A805B9"/>
    <w:rsid w:val="00A81762"/>
    <w:rsid w:val="00A8368D"/>
    <w:rsid w:val="00A87AF2"/>
    <w:rsid w:val="00A90D93"/>
    <w:rsid w:val="00A931BA"/>
    <w:rsid w:val="00A95121"/>
    <w:rsid w:val="00AA0EE6"/>
    <w:rsid w:val="00AA16DC"/>
    <w:rsid w:val="00AA28F7"/>
    <w:rsid w:val="00AA3864"/>
    <w:rsid w:val="00AA6ABA"/>
    <w:rsid w:val="00AA7DA0"/>
    <w:rsid w:val="00AB1802"/>
    <w:rsid w:val="00AB1A56"/>
    <w:rsid w:val="00AB1B84"/>
    <w:rsid w:val="00AB6618"/>
    <w:rsid w:val="00AC1FFC"/>
    <w:rsid w:val="00AC2B52"/>
    <w:rsid w:val="00AC3263"/>
    <w:rsid w:val="00AC5DEA"/>
    <w:rsid w:val="00AC7778"/>
    <w:rsid w:val="00AC7B25"/>
    <w:rsid w:val="00AD1F95"/>
    <w:rsid w:val="00AD2BFE"/>
    <w:rsid w:val="00AD448A"/>
    <w:rsid w:val="00AE0160"/>
    <w:rsid w:val="00AE077E"/>
    <w:rsid w:val="00AE2E8C"/>
    <w:rsid w:val="00AE3BE0"/>
    <w:rsid w:val="00AE4490"/>
    <w:rsid w:val="00AF1B1B"/>
    <w:rsid w:val="00AF4D46"/>
    <w:rsid w:val="00AF67CF"/>
    <w:rsid w:val="00AF7E9B"/>
    <w:rsid w:val="00B01AF9"/>
    <w:rsid w:val="00B0272F"/>
    <w:rsid w:val="00B07977"/>
    <w:rsid w:val="00B12E81"/>
    <w:rsid w:val="00B13C7C"/>
    <w:rsid w:val="00B1451F"/>
    <w:rsid w:val="00B178E9"/>
    <w:rsid w:val="00B21394"/>
    <w:rsid w:val="00B30AE2"/>
    <w:rsid w:val="00B32B60"/>
    <w:rsid w:val="00B32EE2"/>
    <w:rsid w:val="00B357DA"/>
    <w:rsid w:val="00B429A3"/>
    <w:rsid w:val="00B44025"/>
    <w:rsid w:val="00B462C7"/>
    <w:rsid w:val="00B468A1"/>
    <w:rsid w:val="00B5053E"/>
    <w:rsid w:val="00B50794"/>
    <w:rsid w:val="00B50DDE"/>
    <w:rsid w:val="00B51948"/>
    <w:rsid w:val="00B5377D"/>
    <w:rsid w:val="00B544B2"/>
    <w:rsid w:val="00B54559"/>
    <w:rsid w:val="00B573FE"/>
    <w:rsid w:val="00B602C8"/>
    <w:rsid w:val="00B66506"/>
    <w:rsid w:val="00B66FD8"/>
    <w:rsid w:val="00B700B8"/>
    <w:rsid w:val="00B703A1"/>
    <w:rsid w:val="00B70890"/>
    <w:rsid w:val="00B71122"/>
    <w:rsid w:val="00B71AED"/>
    <w:rsid w:val="00B73598"/>
    <w:rsid w:val="00B7459D"/>
    <w:rsid w:val="00B86CA7"/>
    <w:rsid w:val="00B9173F"/>
    <w:rsid w:val="00B9225B"/>
    <w:rsid w:val="00B92B97"/>
    <w:rsid w:val="00B93678"/>
    <w:rsid w:val="00B942E2"/>
    <w:rsid w:val="00B97FC6"/>
    <w:rsid w:val="00BA4C6B"/>
    <w:rsid w:val="00BA4F78"/>
    <w:rsid w:val="00BB063A"/>
    <w:rsid w:val="00BB111D"/>
    <w:rsid w:val="00BB3133"/>
    <w:rsid w:val="00BB348C"/>
    <w:rsid w:val="00BC20A0"/>
    <w:rsid w:val="00BC320F"/>
    <w:rsid w:val="00BC46C2"/>
    <w:rsid w:val="00BC6FEF"/>
    <w:rsid w:val="00BD4174"/>
    <w:rsid w:val="00BD54F4"/>
    <w:rsid w:val="00BD598F"/>
    <w:rsid w:val="00BD5B5C"/>
    <w:rsid w:val="00BD676F"/>
    <w:rsid w:val="00BD6C80"/>
    <w:rsid w:val="00BE7FF0"/>
    <w:rsid w:val="00BF1374"/>
    <w:rsid w:val="00BF1405"/>
    <w:rsid w:val="00BF3E6B"/>
    <w:rsid w:val="00C0023A"/>
    <w:rsid w:val="00C0271B"/>
    <w:rsid w:val="00C0747E"/>
    <w:rsid w:val="00C07CD2"/>
    <w:rsid w:val="00C1066B"/>
    <w:rsid w:val="00C10D52"/>
    <w:rsid w:val="00C11944"/>
    <w:rsid w:val="00C14227"/>
    <w:rsid w:val="00C17364"/>
    <w:rsid w:val="00C20156"/>
    <w:rsid w:val="00C219F6"/>
    <w:rsid w:val="00C21E92"/>
    <w:rsid w:val="00C23BE1"/>
    <w:rsid w:val="00C243FC"/>
    <w:rsid w:val="00C26351"/>
    <w:rsid w:val="00C27657"/>
    <w:rsid w:val="00C27E30"/>
    <w:rsid w:val="00C3089C"/>
    <w:rsid w:val="00C30A33"/>
    <w:rsid w:val="00C30A3D"/>
    <w:rsid w:val="00C33A7C"/>
    <w:rsid w:val="00C41E55"/>
    <w:rsid w:val="00C42BF8"/>
    <w:rsid w:val="00C508FC"/>
    <w:rsid w:val="00C522C2"/>
    <w:rsid w:val="00C55704"/>
    <w:rsid w:val="00C5688C"/>
    <w:rsid w:val="00C6042F"/>
    <w:rsid w:val="00C61ECB"/>
    <w:rsid w:val="00C6524A"/>
    <w:rsid w:val="00C65C60"/>
    <w:rsid w:val="00C66020"/>
    <w:rsid w:val="00C754CA"/>
    <w:rsid w:val="00C826A8"/>
    <w:rsid w:val="00C861F4"/>
    <w:rsid w:val="00C864EF"/>
    <w:rsid w:val="00C873A9"/>
    <w:rsid w:val="00C90440"/>
    <w:rsid w:val="00C91662"/>
    <w:rsid w:val="00C965BF"/>
    <w:rsid w:val="00C97D7F"/>
    <w:rsid w:val="00C97F56"/>
    <w:rsid w:val="00CA12AF"/>
    <w:rsid w:val="00CA1AEF"/>
    <w:rsid w:val="00CA3B82"/>
    <w:rsid w:val="00CB19F5"/>
    <w:rsid w:val="00CC02E4"/>
    <w:rsid w:val="00CC0E81"/>
    <w:rsid w:val="00CC4835"/>
    <w:rsid w:val="00CD20D5"/>
    <w:rsid w:val="00CD2A6D"/>
    <w:rsid w:val="00CD2BC3"/>
    <w:rsid w:val="00CD2D4A"/>
    <w:rsid w:val="00CD35CA"/>
    <w:rsid w:val="00CD410F"/>
    <w:rsid w:val="00CD5074"/>
    <w:rsid w:val="00CD68B9"/>
    <w:rsid w:val="00CE216C"/>
    <w:rsid w:val="00CE307C"/>
    <w:rsid w:val="00CE52BF"/>
    <w:rsid w:val="00CE55F8"/>
    <w:rsid w:val="00CE5D24"/>
    <w:rsid w:val="00CE6D53"/>
    <w:rsid w:val="00CE7848"/>
    <w:rsid w:val="00CE7935"/>
    <w:rsid w:val="00CF33A3"/>
    <w:rsid w:val="00CF48A2"/>
    <w:rsid w:val="00D00204"/>
    <w:rsid w:val="00D02A47"/>
    <w:rsid w:val="00D04369"/>
    <w:rsid w:val="00D06317"/>
    <w:rsid w:val="00D16CD9"/>
    <w:rsid w:val="00D177E5"/>
    <w:rsid w:val="00D25D8A"/>
    <w:rsid w:val="00D35602"/>
    <w:rsid w:val="00D35B8B"/>
    <w:rsid w:val="00D416F6"/>
    <w:rsid w:val="00D47711"/>
    <w:rsid w:val="00D54722"/>
    <w:rsid w:val="00D54A9D"/>
    <w:rsid w:val="00D563CB"/>
    <w:rsid w:val="00D56CB5"/>
    <w:rsid w:val="00D60043"/>
    <w:rsid w:val="00D606D2"/>
    <w:rsid w:val="00D606DB"/>
    <w:rsid w:val="00D620CC"/>
    <w:rsid w:val="00D651EC"/>
    <w:rsid w:val="00D660A8"/>
    <w:rsid w:val="00D661E8"/>
    <w:rsid w:val="00D70D2E"/>
    <w:rsid w:val="00D73D5B"/>
    <w:rsid w:val="00D73D98"/>
    <w:rsid w:val="00D74A61"/>
    <w:rsid w:val="00D76505"/>
    <w:rsid w:val="00D76C25"/>
    <w:rsid w:val="00D77B6B"/>
    <w:rsid w:val="00D806B5"/>
    <w:rsid w:val="00D84805"/>
    <w:rsid w:val="00D930EA"/>
    <w:rsid w:val="00DA187A"/>
    <w:rsid w:val="00DA2C34"/>
    <w:rsid w:val="00DA2DCA"/>
    <w:rsid w:val="00DA3967"/>
    <w:rsid w:val="00DA5171"/>
    <w:rsid w:val="00DA609A"/>
    <w:rsid w:val="00DA7CD1"/>
    <w:rsid w:val="00DB053A"/>
    <w:rsid w:val="00DB23C3"/>
    <w:rsid w:val="00DB323F"/>
    <w:rsid w:val="00DB4A31"/>
    <w:rsid w:val="00DB5A5E"/>
    <w:rsid w:val="00DB5AA7"/>
    <w:rsid w:val="00DB6668"/>
    <w:rsid w:val="00DC00D6"/>
    <w:rsid w:val="00DC1987"/>
    <w:rsid w:val="00DC2BDF"/>
    <w:rsid w:val="00DC4EF6"/>
    <w:rsid w:val="00DC5591"/>
    <w:rsid w:val="00DC71EB"/>
    <w:rsid w:val="00DD4135"/>
    <w:rsid w:val="00DD452B"/>
    <w:rsid w:val="00DD7292"/>
    <w:rsid w:val="00DE11EC"/>
    <w:rsid w:val="00DE1CFF"/>
    <w:rsid w:val="00DE3473"/>
    <w:rsid w:val="00DE5EB8"/>
    <w:rsid w:val="00DF0A07"/>
    <w:rsid w:val="00DF14A5"/>
    <w:rsid w:val="00DF1FD4"/>
    <w:rsid w:val="00E00210"/>
    <w:rsid w:val="00E02077"/>
    <w:rsid w:val="00E02E54"/>
    <w:rsid w:val="00E04AA2"/>
    <w:rsid w:val="00E04F4A"/>
    <w:rsid w:val="00E07959"/>
    <w:rsid w:val="00E131D2"/>
    <w:rsid w:val="00E148A2"/>
    <w:rsid w:val="00E1703E"/>
    <w:rsid w:val="00E21369"/>
    <w:rsid w:val="00E23EE7"/>
    <w:rsid w:val="00E24FD6"/>
    <w:rsid w:val="00E25D4E"/>
    <w:rsid w:val="00E31E84"/>
    <w:rsid w:val="00E34C95"/>
    <w:rsid w:val="00E3614A"/>
    <w:rsid w:val="00E374BE"/>
    <w:rsid w:val="00E41A61"/>
    <w:rsid w:val="00E41F84"/>
    <w:rsid w:val="00E42E4E"/>
    <w:rsid w:val="00E4544A"/>
    <w:rsid w:val="00E46019"/>
    <w:rsid w:val="00E524C9"/>
    <w:rsid w:val="00E55714"/>
    <w:rsid w:val="00E6049C"/>
    <w:rsid w:val="00E60606"/>
    <w:rsid w:val="00E6284A"/>
    <w:rsid w:val="00E650E3"/>
    <w:rsid w:val="00E65FCC"/>
    <w:rsid w:val="00E679C4"/>
    <w:rsid w:val="00E7145F"/>
    <w:rsid w:val="00E754A8"/>
    <w:rsid w:val="00E77030"/>
    <w:rsid w:val="00E82E77"/>
    <w:rsid w:val="00E85E63"/>
    <w:rsid w:val="00E9071B"/>
    <w:rsid w:val="00E9187A"/>
    <w:rsid w:val="00E9327A"/>
    <w:rsid w:val="00E95FA8"/>
    <w:rsid w:val="00E9605D"/>
    <w:rsid w:val="00E963F9"/>
    <w:rsid w:val="00EA226E"/>
    <w:rsid w:val="00EA41D6"/>
    <w:rsid w:val="00EB0F8A"/>
    <w:rsid w:val="00EB20E5"/>
    <w:rsid w:val="00EB3309"/>
    <w:rsid w:val="00EB3BB7"/>
    <w:rsid w:val="00EB3FAE"/>
    <w:rsid w:val="00EB4E2B"/>
    <w:rsid w:val="00EB6853"/>
    <w:rsid w:val="00EC12A8"/>
    <w:rsid w:val="00EC16C1"/>
    <w:rsid w:val="00EC19B5"/>
    <w:rsid w:val="00EC2A44"/>
    <w:rsid w:val="00EC2BCF"/>
    <w:rsid w:val="00EC51E1"/>
    <w:rsid w:val="00EC73CC"/>
    <w:rsid w:val="00EC77F9"/>
    <w:rsid w:val="00ED0002"/>
    <w:rsid w:val="00ED3FC7"/>
    <w:rsid w:val="00EE4E46"/>
    <w:rsid w:val="00EE4E78"/>
    <w:rsid w:val="00EE4FA0"/>
    <w:rsid w:val="00EE4FEF"/>
    <w:rsid w:val="00EE702E"/>
    <w:rsid w:val="00EE7990"/>
    <w:rsid w:val="00EE7C0C"/>
    <w:rsid w:val="00EF1CE1"/>
    <w:rsid w:val="00EF2FCE"/>
    <w:rsid w:val="00EF322E"/>
    <w:rsid w:val="00EF5334"/>
    <w:rsid w:val="00EF73B7"/>
    <w:rsid w:val="00F01EF1"/>
    <w:rsid w:val="00F0529F"/>
    <w:rsid w:val="00F0700E"/>
    <w:rsid w:val="00F10103"/>
    <w:rsid w:val="00F16C81"/>
    <w:rsid w:val="00F16D47"/>
    <w:rsid w:val="00F17AF3"/>
    <w:rsid w:val="00F20B66"/>
    <w:rsid w:val="00F20F00"/>
    <w:rsid w:val="00F22178"/>
    <w:rsid w:val="00F25823"/>
    <w:rsid w:val="00F25BE8"/>
    <w:rsid w:val="00F2634D"/>
    <w:rsid w:val="00F301CA"/>
    <w:rsid w:val="00F33AA4"/>
    <w:rsid w:val="00F35262"/>
    <w:rsid w:val="00F40AA4"/>
    <w:rsid w:val="00F40C4E"/>
    <w:rsid w:val="00F41CA7"/>
    <w:rsid w:val="00F4303C"/>
    <w:rsid w:val="00F436F1"/>
    <w:rsid w:val="00F43C30"/>
    <w:rsid w:val="00F43EA0"/>
    <w:rsid w:val="00F4512D"/>
    <w:rsid w:val="00F459B5"/>
    <w:rsid w:val="00F463A7"/>
    <w:rsid w:val="00F47F71"/>
    <w:rsid w:val="00F50602"/>
    <w:rsid w:val="00F50827"/>
    <w:rsid w:val="00F5470B"/>
    <w:rsid w:val="00F54E03"/>
    <w:rsid w:val="00F5635B"/>
    <w:rsid w:val="00F56A45"/>
    <w:rsid w:val="00F605CF"/>
    <w:rsid w:val="00F61F96"/>
    <w:rsid w:val="00F6207D"/>
    <w:rsid w:val="00F62617"/>
    <w:rsid w:val="00F637C8"/>
    <w:rsid w:val="00F6398C"/>
    <w:rsid w:val="00F63E99"/>
    <w:rsid w:val="00F65EF1"/>
    <w:rsid w:val="00F7004F"/>
    <w:rsid w:val="00F72D21"/>
    <w:rsid w:val="00F766C3"/>
    <w:rsid w:val="00F828B8"/>
    <w:rsid w:val="00F83214"/>
    <w:rsid w:val="00F83D3B"/>
    <w:rsid w:val="00F92501"/>
    <w:rsid w:val="00F928F8"/>
    <w:rsid w:val="00F936D0"/>
    <w:rsid w:val="00F96827"/>
    <w:rsid w:val="00FA1E1A"/>
    <w:rsid w:val="00FA3B1F"/>
    <w:rsid w:val="00FA548B"/>
    <w:rsid w:val="00FA6F61"/>
    <w:rsid w:val="00FA7B21"/>
    <w:rsid w:val="00FB0D5E"/>
    <w:rsid w:val="00FB2257"/>
    <w:rsid w:val="00FB4808"/>
    <w:rsid w:val="00FB6042"/>
    <w:rsid w:val="00FC3B47"/>
    <w:rsid w:val="00FC465D"/>
    <w:rsid w:val="00FC46DF"/>
    <w:rsid w:val="00FD1A10"/>
    <w:rsid w:val="00FD2788"/>
    <w:rsid w:val="00FD62C5"/>
    <w:rsid w:val="00FD7D49"/>
    <w:rsid w:val="00FE0AEC"/>
    <w:rsid w:val="00FE297F"/>
    <w:rsid w:val="00FE30BE"/>
    <w:rsid w:val="00FE3348"/>
    <w:rsid w:val="00FE5F5B"/>
    <w:rsid w:val="00FE7F7C"/>
    <w:rsid w:val="00FF2819"/>
    <w:rsid w:val="0CB373BF"/>
    <w:rsid w:val="42A92FCF"/>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name="page number"/>
    <w:lsdException w:unhideWhenUsed="0" w:uiPriority="0" w:name="endnote reference"/>
    <w:lsdException w:unhideWhenUsed="0"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uiPriority="1" w:name="Default Paragraph Font"/>
    <w:lsdException w:unhideWhenUsed="0" w:uiPriority="0" w:name="Body Text"/>
    <w:lsdException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name="Hyperlink"/>
    <w:lsdException w:uiPriority="99" w:name="FollowedHyperlink"/>
    <w:lsdException w:qFormat="1" w:unhideWhenUsed="0" w:uiPriority="22" w:semiHidden="0" w:name="Strong"/>
    <w:lsdException w:qFormat="1" w:unhideWhenUsed="0" w:uiPriority="20" w:semiHidden="0" w:name="Emphasis"/>
    <w:lsdException w:unhideWhenUsed="0"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textAlignment w:val="center"/>
    </w:pPr>
    <w:rPr>
      <w:rFonts w:ascii="Times New Roman" w:hAnsi="Times New Roman" w:eastAsia="宋体" w:cs="Times New Roman"/>
      <w:kern w:val="2"/>
      <w:sz w:val="18"/>
      <w:lang w:val="en-US" w:eastAsia="zh-CN" w:bidi="ar-SA"/>
    </w:rPr>
  </w:style>
  <w:style w:type="paragraph" w:styleId="2">
    <w:name w:val="heading 1"/>
    <w:basedOn w:val="1"/>
    <w:next w:val="1"/>
    <w:uiPriority w:val="0"/>
    <w:pPr>
      <w:keepNext/>
      <w:outlineLvl w:val="0"/>
    </w:pPr>
    <w:rPr>
      <w:b/>
      <w:bCs/>
    </w:rPr>
  </w:style>
  <w:style w:type="paragraph" w:styleId="3">
    <w:name w:val="heading 2"/>
    <w:basedOn w:val="1"/>
    <w:next w:val="1"/>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uiPriority w:val="0"/>
    <w:pPr>
      <w:keepNext/>
      <w:keepLines/>
      <w:spacing w:before="260" w:after="260" w:line="416" w:lineRule="auto"/>
      <w:outlineLvl w:val="2"/>
    </w:pPr>
    <w:rPr>
      <w:b/>
      <w:bCs/>
      <w:sz w:val="32"/>
      <w:szCs w:val="32"/>
    </w:rPr>
  </w:style>
  <w:style w:type="paragraph" w:styleId="5">
    <w:name w:val="heading 4"/>
    <w:basedOn w:val="1"/>
    <w:next w:val="1"/>
    <w:uiPriority w:val="0"/>
    <w:pPr>
      <w:keepNext/>
      <w:jc w:val="center"/>
      <w:outlineLvl w:val="3"/>
    </w:pPr>
    <w:rPr>
      <w:b/>
      <w:bCs/>
      <w:sz w:val="30"/>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6">
    <w:name w:val="Document Map"/>
    <w:basedOn w:val="1"/>
    <w:semiHidden/>
    <w:uiPriority w:val="0"/>
    <w:pPr>
      <w:shd w:val="clear" w:color="auto" w:fill="000080"/>
    </w:pPr>
  </w:style>
  <w:style w:type="paragraph" w:styleId="7">
    <w:name w:val="Body Text"/>
    <w:basedOn w:val="1"/>
    <w:semiHidden/>
    <w:uiPriority w:val="0"/>
    <w:rPr>
      <w:b/>
      <w:bCs/>
    </w:rPr>
  </w:style>
  <w:style w:type="paragraph" w:styleId="8">
    <w:name w:val="Body Text Indent"/>
    <w:basedOn w:val="1"/>
    <w:semiHidden/>
    <w:uiPriority w:val="0"/>
    <w:pPr>
      <w:ind w:firstLine="359" w:firstLineChars="171"/>
    </w:pPr>
  </w:style>
  <w:style w:type="paragraph" w:styleId="9">
    <w:name w:val="endnote text"/>
    <w:basedOn w:val="1"/>
    <w:semiHidden/>
    <w:uiPriority w:val="0"/>
    <w:pPr>
      <w:snapToGrid w:val="0"/>
      <w:jc w:val="left"/>
    </w:pPr>
  </w:style>
  <w:style w:type="paragraph" w:styleId="10">
    <w:name w:val="Balloon Text"/>
    <w:basedOn w:val="1"/>
    <w:link w:val="29"/>
    <w:semiHidden/>
    <w:unhideWhenUsed/>
    <w:uiPriority w:val="99"/>
    <w:rPr>
      <w:szCs w:val="18"/>
    </w:rPr>
  </w:style>
  <w:style w:type="paragraph" w:styleId="11">
    <w:name w:val="footer"/>
    <w:basedOn w:val="1"/>
    <w:link w:val="28"/>
    <w:unhideWhenUsed/>
    <w:uiPriority w:val="99"/>
    <w:pPr>
      <w:tabs>
        <w:tab w:val="center" w:pos="4153"/>
        <w:tab w:val="right" w:pos="8306"/>
      </w:tabs>
      <w:snapToGrid w:val="0"/>
      <w:jc w:val="left"/>
    </w:pPr>
    <w:rPr>
      <w:szCs w:val="18"/>
    </w:rPr>
  </w:style>
  <w:style w:type="paragraph" w:styleId="12">
    <w:name w:val="header"/>
    <w:basedOn w:val="1"/>
    <w:link w:val="39"/>
    <w:unhideWhenUsed/>
    <w:uiPriority w:val="99"/>
    <w:pPr>
      <w:pBdr>
        <w:bottom w:val="single" w:color="auto" w:sz="6" w:space="1"/>
      </w:pBdr>
      <w:tabs>
        <w:tab w:val="center" w:pos="4153"/>
        <w:tab w:val="right" w:pos="8306"/>
      </w:tabs>
      <w:snapToGrid w:val="0"/>
      <w:jc w:val="center"/>
    </w:pPr>
    <w:rPr>
      <w:szCs w:val="18"/>
    </w:rPr>
  </w:style>
  <w:style w:type="paragraph" w:styleId="13">
    <w:name w:val="Subtitle"/>
    <w:basedOn w:val="1"/>
    <w:next w:val="1"/>
    <w:qFormat/>
    <w:uiPriority w:val="0"/>
    <w:pPr>
      <w:overflowPunct w:val="0"/>
      <w:spacing w:before="320"/>
      <w:outlineLvl w:val="0"/>
    </w:pPr>
    <w:rPr>
      <w:rFonts w:eastAsia="黑体"/>
      <w:sz w:val="36"/>
    </w:rPr>
  </w:style>
  <w:style w:type="paragraph" w:styleId="14">
    <w:name w:val="footnote text"/>
    <w:basedOn w:val="1"/>
    <w:semiHidden/>
    <w:uiPriority w:val="0"/>
    <w:pPr>
      <w:snapToGrid w:val="0"/>
      <w:jc w:val="left"/>
    </w:pPr>
    <w:rPr>
      <w:szCs w:val="18"/>
    </w:rPr>
  </w:style>
  <w:style w:type="paragraph" w:styleId="15">
    <w:name w:val="Title"/>
    <w:basedOn w:val="1"/>
    <w:next w:val="1"/>
    <w:link w:val="38"/>
    <w:uiPriority w:val="10"/>
    <w:pPr>
      <w:spacing w:before="240" w:after="60"/>
      <w:jc w:val="center"/>
      <w:outlineLvl w:val="0"/>
    </w:pPr>
    <w:rPr>
      <w:rFonts w:ascii="等线 Light" w:hAnsi="等线 Light" w:eastAsia="等线 Light" w:cs="Times New Roman"/>
      <w:b/>
      <w:bCs/>
      <w:sz w:val="32"/>
      <w:szCs w:val="32"/>
    </w:rPr>
  </w:style>
  <w:style w:type="table" w:styleId="17">
    <w:name w:val="Table Grid"/>
    <w:basedOn w:val="16"/>
    <w:uiPriority w:val="39"/>
    <w:rPr>
      <w:kern w:val="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qFormat/>
    <w:uiPriority w:val="22"/>
    <w:rPr>
      <w:b/>
      <w:bCs/>
    </w:rPr>
  </w:style>
  <w:style w:type="character" w:styleId="20">
    <w:name w:val="endnote reference"/>
    <w:semiHidden/>
    <w:uiPriority w:val="0"/>
    <w:rPr>
      <w:vertAlign w:val="superscript"/>
    </w:rPr>
  </w:style>
  <w:style w:type="character" w:styleId="21">
    <w:name w:val="page number"/>
    <w:basedOn w:val="18"/>
    <w:semiHidden/>
    <w:uiPriority w:val="0"/>
  </w:style>
  <w:style w:type="character" w:styleId="22">
    <w:name w:val="FollowedHyperlink"/>
    <w:semiHidden/>
    <w:unhideWhenUsed/>
    <w:uiPriority w:val="99"/>
    <w:rPr>
      <w:color w:val="954F72"/>
      <w:u w:val="single"/>
    </w:rPr>
  </w:style>
  <w:style w:type="character" w:styleId="23">
    <w:name w:val="Emphasis"/>
    <w:qFormat/>
    <w:uiPriority w:val="20"/>
    <w:rPr>
      <w:i/>
      <w:iCs/>
    </w:rPr>
  </w:style>
  <w:style w:type="character" w:styleId="24">
    <w:name w:val="Hyperlink"/>
    <w:semiHidden/>
    <w:uiPriority w:val="0"/>
    <w:rPr>
      <w:color w:val="0000FF"/>
      <w:u w:val="single"/>
    </w:rPr>
  </w:style>
  <w:style w:type="character" w:styleId="25">
    <w:name w:val="footnote reference"/>
    <w:semiHidden/>
    <w:uiPriority w:val="0"/>
    <w:rPr>
      <w:vertAlign w:val="superscript"/>
    </w:rPr>
  </w:style>
  <w:style w:type="paragraph" w:customStyle="1" w:styleId="26">
    <w:name w:val="摘要"/>
    <w:basedOn w:val="7"/>
    <w:next w:val="1"/>
    <w:uiPriority w:val="0"/>
    <w:pPr>
      <w:tabs>
        <w:tab w:val="left" w:pos="798"/>
      </w:tabs>
      <w:overflowPunct w:val="0"/>
      <w:adjustRightInd w:val="0"/>
    </w:pPr>
    <w:rPr>
      <w:rFonts w:eastAsia="楷体_GB2312"/>
      <w:b w:val="0"/>
      <w:bCs w:val="0"/>
      <w:snapToGrid/>
    </w:rPr>
  </w:style>
  <w:style w:type="paragraph" w:customStyle="1" w:styleId="27">
    <w:name w:val="关键词"/>
    <w:basedOn w:val="26"/>
    <w:next w:val="1"/>
    <w:uiPriority w:val="0"/>
    <w:pPr>
      <w:ind w:left="429" w:hanging="429" w:hangingChars="429"/>
    </w:pPr>
  </w:style>
  <w:style w:type="character" w:customStyle="1" w:styleId="28">
    <w:name w:val="页脚 字符"/>
    <w:link w:val="11"/>
    <w:uiPriority w:val="99"/>
    <w:rPr>
      <w:kern w:val="2"/>
      <w:sz w:val="18"/>
      <w:szCs w:val="18"/>
    </w:rPr>
  </w:style>
  <w:style w:type="character" w:customStyle="1" w:styleId="29">
    <w:name w:val="批注框文本 字符"/>
    <w:link w:val="10"/>
    <w:semiHidden/>
    <w:uiPriority w:val="99"/>
    <w:rPr>
      <w:kern w:val="2"/>
      <w:sz w:val="18"/>
      <w:szCs w:val="18"/>
    </w:rPr>
  </w:style>
  <w:style w:type="paragraph" w:customStyle="1" w:styleId="30">
    <w:name w:val="彩色列表 - 强调文字颜色 11"/>
    <w:basedOn w:val="1"/>
    <w:qFormat/>
    <w:uiPriority w:val="34"/>
    <w:pPr>
      <w:ind w:firstLine="420" w:firstLineChars="200"/>
    </w:pPr>
  </w:style>
  <w:style w:type="character" w:customStyle="1" w:styleId="31">
    <w:name w:val="中等深浅网格 11"/>
    <w:semiHidden/>
    <w:uiPriority w:val="99"/>
    <w:rPr>
      <w:color w:val="808080"/>
    </w:rPr>
  </w:style>
  <w:style w:type="table" w:customStyle="1" w:styleId="32">
    <w:name w:val="网格型1"/>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3">
    <w:name w:val="网格型2"/>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4">
    <w:name w:val="网格型3"/>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网格型4"/>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网格型5"/>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网格型6"/>
    <w:basedOn w:val="16"/>
    <w:uiPriority w:val="3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8">
    <w:name w:val="标题 字符"/>
    <w:link w:val="15"/>
    <w:uiPriority w:val="10"/>
    <w:rPr>
      <w:rFonts w:ascii="等线 Light" w:hAnsi="等线 Light" w:eastAsia="等线 Light" w:cs="Times New Roman"/>
      <w:b/>
      <w:bCs/>
      <w:kern w:val="2"/>
      <w:sz w:val="32"/>
      <w:szCs w:val="32"/>
    </w:rPr>
  </w:style>
  <w:style w:type="character" w:customStyle="1" w:styleId="39">
    <w:name w:val="页眉 字符"/>
    <w:link w:val="12"/>
    <w:uiPriority w:val="99"/>
    <w:rPr>
      <w:kern w:val="2"/>
      <w:sz w:val="18"/>
      <w:szCs w:val="18"/>
    </w:rPr>
  </w:style>
  <w:style w:type="paragraph" w:customStyle="1" w:styleId="40">
    <w:name w:val="@头部|标题|中文"/>
    <w:next w:val="1"/>
    <w:link w:val="48"/>
    <w:uiPriority w:val="0"/>
    <w:pPr>
      <w:widowControl w:val="0"/>
      <w:spacing w:before="320" w:beforeLines="100" w:line="480" w:lineRule="auto"/>
      <w:ind w:left="454" w:right="454"/>
      <w:jc w:val="center"/>
      <w:textAlignment w:val="center"/>
      <w:outlineLvl w:val="0"/>
    </w:pPr>
    <w:rPr>
      <w:rFonts w:ascii="Arial" w:hAnsi="Arial" w:eastAsia="黑体" w:cs="Times New Roman"/>
      <w:kern w:val="2"/>
      <w:sz w:val="32"/>
      <w:szCs w:val="32"/>
      <w:lang w:val="en-US" w:eastAsia="zh-CN" w:bidi="ar-SA"/>
    </w:rPr>
  </w:style>
  <w:style w:type="paragraph" w:customStyle="1" w:styleId="41">
    <w:name w:val="@头部|作者|中文"/>
    <w:next w:val="1"/>
    <w:link w:val="51"/>
    <w:uiPriority w:val="0"/>
    <w:pPr>
      <w:spacing w:line="480" w:lineRule="auto"/>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2">
    <w:name w:val="@头部|标题|英文"/>
    <w:next w:val="1"/>
    <w:link w:val="47"/>
    <w:uiPriority w:val="0"/>
    <w:pPr>
      <w:widowControl w:val="0"/>
      <w:spacing w:before="320" w:beforeLines="100" w:after="320" w:afterLines="100"/>
      <w:ind w:left="454" w:right="454"/>
      <w:jc w:val="center"/>
      <w:textAlignment w:val="center"/>
    </w:pPr>
    <w:rPr>
      <w:rFonts w:ascii="Times New Roman" w:hAnsi="Times New Roman" w:eastAsia="宋体" w:cs="Times New Roman"/>
      <w:kern w:val="2"/>
      <w:sz w:val="24"/>
      <w:szCs w:val="24"/>
      <w:lang w:val="en-US" w:eastAsia="zh-CN" w:bidi="ar-SA"/>
    </w:rPr>
  </w:style>
  <w:style w:type="paragraph" w:customStyle="1" w:styleId="43">
    <w:name w:val="@头部|机构|单行"/>
    <w:next w:val="1"/>
    <w:link w:val="49"/>
    <w:uiPriority w:val="0"/>
    <w:pPr>
      <w:spacing w:after="160" w:afterLines="50"/>
      <w:ind w:left="454" w:right="454"/>
      <w:jc w:val="center"/>
    </w:pPr>
    <w:rPr>
      <w:rFonts w:ascii="Times New Roman" w:hAnsi="Times New Roman" w:eastAsia="楷体" w:cs="Times New Roman"/>
      <w:kern w:val="2"/>
      <w:sz w:val="18"/>
      <w:szCs w:val="18"/>
      <w:lang w:val="en-US" w:eastAsia="zh-CN" w:bidi="ar-SA"/>
    </w:rPr>
  </w:style>
  <w:style w:type="paragraph" w:customStyle="1" w:styleId="44">
    <w:name w:val="@头部|机构|多行"/>
    <w:next w:val="1"/>
    <w:link w:val="50"/>
    <w:uiPriority w:val="0"/>
    <w:pPr>
      <w:widowControl w:val="0"/>
      <w:spacing w:after="50" w:afterLines="50"/>
      <w:ind w:left="454" w:right="454"/>
      <w:jc w:val="both"/>
      <w:textAlignment w:val="center"/>
    </w:pPr>
    <w:rPr>
      <w:rFonts w:ascii="Times New Roman" w:hAnsi="Times New Roman" w:eastAsia="楷体" w:cs="Times New Roman"/>
      <w:kern w:val="2"/>
      <w:sz w:val="18"/>
      <w:szCs w:val="18"/>
      <w:lang w:val="en-US" w:eastAsia="zh-CN" w:bidi="ar-SA"/>
    </w:rPr>
  </w:style>
  <w:style w:type="paragraph" w:customStyle="1" w:styleId="45">
    <w:name w:val="@头部|摘要|文本"/>
    <w:next w:val="1"/>
    <w:link w:val="52"/>
    <w:uiPriority w:val="0"/>
    <w:pPr>
      <w:widowControl w:val="0"/>
      <w:ind w:left="454" w:right="454"/>
      <w:jc w:val="both"/>
      <w:textAlignment w:val="center"/>
    </w:pPr>
    <w:rPr>
      <w:rFonts w:ascii="Times New Roman" w:hAnsi="Times New Roman" w:eastAsia="楷体" w:cs="Times New Roman"/>
      <w:kern w:val="2"/>
      <w:sz w:val="18"/>
      <w:lang w:val="en-US" w:eastAsia="zh-CN" w:bidi="ar-SA"/>
    </w:rPr>
  </w:style>
  <w:style w:type="character" w:customStyle="1" w:styleId="46">
    <w:name w:val="@头部|摘要|中文标志"/>
    <w:uiPriority w:val="1"/>
    <w:rPr>
      <w:rFonts w:ascii="Times New Roman" w:hAnsi="Times New Roman" w:eastAsia="黑体"/>
      <w:sz w:val="18"/>
    </w:rPr>
  </w:style>
  <w:style w:type="character" w:customStyle="1" w:styleId="47">
    <w:name w:val="@头部|标题|英文 字符"/>
    <w:link w:val="42"/>
    <w:uiPriority w:val="0"/>
    <w:rPr>
      <w:kern w:val="2"/>
      <w:sz w:val="24"/>
      <w:szCs w:val="24"/>
    </w:rPr>
  </w:style>
  <w:style w:type="character" w:customStyle="1" w:styleId="48">
    <w:name w:val="@头部|标题|中文 字符"/>
    <w:link w:val="40"/>
    <w:uiPriority w:val="0"/>
    <w:rPr>
      <w:rFonts w:ascii="Arial" w:hAnsi="Arial" w:eastAsia="黑体"/>
      <w:kern w:val="2"/>
      <w:sz w:val="32"/>
      <w:szCs w:val="32"/>
    </w:rPr>
  </w:style>
  <w:style w:type="character" w:customStyle="1" w:styleId="49">
    <w:name w:val="@头部|机构|单行 字符"/>
    <w:link w:val="43"/>
    <w:uiPriority w:val="0"/>
    <w:rPr>
      <w:rFonts w:eastAsia="楷体"/>
      <w:kern w:val="2"/>
      <w:sz w:val="18"/>
      <w:szCs w:val="18"/>
    </w:rPr>
  </w:style>
  <w:style w:type="character" w:customStyle="1" w:styleId="50">
    <w:name w:val="@头部|机构|多行 字符"/>
    <w:link w:val="44"/>
    <w:uiPriority w:val="0"/>
    <w:rPr>
      <w:rFonts w:eastAsia="楷体"/>
      <w:kern w:val="2"/>
      <w:sz w:val="18"/>
      <w:szCs w:val="18"/>
    </w:rPr>
  </w:style>
  <w:style w:type="character" w:customStyle="1" w:styleId="51">
    <w:name w:val="@头部|作者|中文 字符"/>
    <w:link w:val="41"/>
    <w:uiPriority w:val="0"/>
    <w:rPr>
      <w:kern w:val="2"/>
      <w:sz w:val="24"/>
      <w:szCs w:val="24"/>
    </w:rPr>
  </w:style>
  <w:style w:type="character" w:customStyle="1" w:styleId="52">
    <w:name w:val="@头部|摘要|文本 字符"/>
    <w:link w:val="45"/>
    <w:uiPriority w:val="0"/>
    <w:rPr>
      <w:rFonts w:eastAsia="楷体"/>
      <w:kern w:val="2"/>
      <w:sz w:val="18"/>
    </w:rPr>
  </w:style>
  <w:style w:type="character" w:customStyle="1" w:styleId="53">
    <w:name w:val="@头部|机构|斜体"/>
    <w:uiPriority w:val="1"/>
    <w:rPr>
      <w:i/>
    </w:rPr>
  </w:style>
  <w:style w:type="character" w:customStyle="1" w:styleId="54">
    <w:name w:val="@头部|标题|标志"/>
    <w:uiPriority w:val="1"/>
    <w:rPr>
      <w:rFonts w:ascii="Arial" w:hAnsi="Arial" w:eastAsia="黑体"/>
      <w:kern w:val="2"/>
      <w:sz w:val="32"/>
      <w:szCs w:val="32"/>
      <w:vertAlign w:val="superscript"/>
    </w:rPr>
  </w:style>
  <w:style w:type="character" w:customStyle="1" w:styleId="55">
    <w:name w:val="@头部|作者|中文标志"/>
    <w:uiPriority w:val="1"/>
    <w:rPr>
      <w:kern w:val="2"/>
      <w:sz w:val="24"/>
      <w:szCs w:val="24"/>
      <w:vertAlign w:val="superscript"/>
    </w:rPr>
  </w:style>
  <w:style w:type="paragraph" w:customStyle="1" w:styleId="56">
    <w:name w:val="@头部|作者|英文"/>
    <w:next w:val="1"/>
    <w:link w:val="57"/>
    <w:uiPriority w:val="0"/>
    <w:pPr>
      <w:widowControl w:val="0"/>
      <w:jc w:val="center"/>
      <w:textAlignment w:val="center"/>
    </w:pPr>
    <w:rPr>
      <w:rFonts w:ascii="Times New Roman" w:hAnsi="Times New Roman" w:eastAsia="宋体" w:cs="Times New Roman"/>
      <w:kern w:val="2"/>
      <w:sz w:val="21"/>
      <w:szCs w:val="21"/>
      <w:lang w:val="en-US" w:eastAsia="zh-CN" w:bidi="ar-SA"/>
    </w:rPr>
  </w:style>
  <w:style w:type="character" w:customStyle="1" w:styleId="57">
    <w:name w:val="@头部|作者|英文 字符"/>
    <w:link w:val="56"/>
    <w:uiPriority w:val="0"/>
    <w:rPr>
      <w:kern w:val="2"/>
      <w:sz w:val="21"/>
      <w:szCs w:val="21"/>
    </w:rPr>
  </w:style>
  <w:style w:type="character" w:customStyle="1" w:styleId="58">
    <w:name w:val="@头部|作者|英文标志"/>
    <w:uiPriority w:val="1"/>
    <w:rPr>
      <w:kern w:val="2"/>
      <w:sz w:val="21"/>
      <w:szCs w:val="21"/>
      <w:vertAlign w:val="superscript"/>
    </w:rPr>
  </w:style>
  <w:style w:type="character" w:customStyle="1" w:styleId="59">
    <w:name w:val="@头部|摘要|英文标志"/>
    <w:uiPriority w:val="1"/>
    <w:rPr>
      <w:rFonts w:ascii="Times New Roman" w:hAnsi="Times New Roman" w:eastAsia="楷体"/>
      <w:b/>
      <w:kern w:val="2"/>
      <w:sz w:val="18"/>
    </w:rPr>
  </w:style>
  <w:style w:type="paragraph" w:customStyle="1" w:styleId="60">
    <w:name w:val="@头部|页眉"/>
    <w:link w:val="62"/>
    <w:qFormat/>
    <w:uiPriority w:val="0"/>
    <w:pPr>
      <w:widowControl w:val="0"/>
      <w:pBdr>
        <w:bottom w:val="single" w:color="auto" w:sz="6" w:space="2"/>
      </w:pBdr>
      <w:tabs>
        <w:tab w:val="center" w:pos="5130"/>
        <w:tab w:val="right" w:pos="10170"/>
      </w:tabs>
      <w:spacing w:line="240" w:lineRule="exact"/>
      <w:jc w:val="both"/>
      <w:textAlignment w:val="center"/>
    </w:pPr>
    <w:rPr>
      <w:rFonts w:ascii="Times New Roman" w:hAnsi="Times New Roman" w:eastAsia="楷体" w:cs="Times New Roman"/>
      <w:kern w:val="2"/>
      <w:sz w:val="15"/>
      <w:szCs w:val="15"/>
      <w:lang w:val="en-US" w:eastAsia="zh-CN" w:bidi="ar-SA"/>
    </w:rPr>
  </w:style>
  <w:style w:type="paragraph" w:customStyle="1" w:styleId="61">
    <w:name w:val="@头部|页脚"/>
    <w:link w:val="64"/>
    <w:qFormat/>
    <w:uiPriority w:val="0"/>
    <w:pPr>
      <w:widowControl w:val="0"/>
      <w:spacing w:line="240" w:lineRule="exact"/>
      <w:jc w:val="both"/>
    </w:pPr>
    <w:rPr>
      <w:rFonts w:ascii="Times New Roman" w:hAnsi="Times New Roman" w:eastAsia="楷体" w:cs="Times New Roman"/>
      <w:kern w:val="2"/>
      <w:sz w:val="15"/>
      <w:szCs w:val="15"/>
      <w:lang w:val="en-US" w:eastAsia="zh-CN" w:bidi="ar-SA"/>
    </w:rPr>
  </w:style>
  <w:style w:type="character" w:customStyle="1" w:styleId="62">
    <w:name w:val="@头部|页眉 字符"/>
    <w:link w:val="60"/>
    <w:qFormat/>
    <w:uiPriority w:val="0"/>
    <w:rPr>
      <w:rFonts w:eastAsia="楷体"/>
      <w:kern w:val="2"/>
      <w:sz w:val="15"/>
      <w:szCs w:val="15"/>
    </w:rPr>
  </w:style>
  <w:style w:type="character" w:customStyle="1" w:styleId="63">
    <w:name w:val="@头部|页脚|标志"/>
    <w:qFormat/>
    <w:uiPriority w:val="1"/>
    <w:rPr>
      <w:rFonts w:eastAsia="黑体"/>
      <w:kern w:val="2"/>
      <w:sz w:val="15"/>
      <w:szCs w:val="15"/>
    </w:rPr>
  </w:style>
  <w:style w:type="character" w:customStyle="1" w:styleId="64">
    <w:name w:val="@头部|页脚 字符"/>
    <w:link w:val="61"/>
    <w:qFormat/>
    <w:uiPriority w:val="0"/>
    <w:rPr>
      <w:rFonts w:eastAsia="楷体"/>
      <w:kern w:val="2"/>
      <w:sz w:val="15"/>
      <w:szCs w:val="15"/>
    </w:rPr>
  </w:style>
  <w:style w:type="paragraph" w:customStyle="1" w:styleId="65">
    <w:name w:val="@正文|标题1"/>
    <w:next w:val="1"/>
    <w:link w:val="67"/>
    <w:qFormat/>
    <w:uiPriority w:val="0"/>
    <w:pPr>
      <w:keepNext/>
      <w:keepLines/>
      <w:widowControl w:val="0"/>
      <w:numPr>
        <w:ilvl w:val="0"/>
        <w:numId w:val="1"/>
      </w:numPr>
      <w:pBdr>
        <w:top w:val="single" w:color="FFFFFF" w:sz="8" w:space="7"/>
        <w:bottom w:val="single" w:color="FFFFFF" w:sz="8" w:space="7"/>
      </w:pBdr>
      <w:spacing w:line="320" w:lineRule="exact"/>
      <w:jc w:val="both"/>
      <w:textAlignment w:val="center"/>
      <w:outlineLvl w:val="0"/>
    </w:pPr>
    <w:rPr>
      <w:rFonts w:ascii="Arial" w:hAnsi="Arial" w:eastAsia="黑体" w:cs="Times New Roman"/>
      <w:kern w:val="2"/>
      <w:sz w:val="21"/>
      <w:lang w:val="en-US" w:eastAsia="zh-CN" w:bidi="ar-SA"/>
    </w:rPr>
  </w:style>
  <w:style w:type="paragraph" w:customStyle="1" w:styleId="66">
    <w:name w:val="@正文|标题2"/>
    <w:next w:val="1"/>
    <w:link w:val="69"/>
    <w:qFormat/>
    <w:uiPriority w:val="0"/>
    <w:pPr>
      <w:keepNext/>
      <w:keepLines/>
      <w:widowControl w:val="0"/>
      <w:numPr>
        <w:ilvl w:val="1"/>
        <w:numId w:val="1"/>
      </w:numPr>
      <w:jc w:val="both"/>
      <w:textAlignment w:val="center"/>
      <w:outlineLvl w:val="1"/>
    </w:pPr>
    <w:rPr>
      <w:rFonts w:ascii="Arial" w:hAnsi="Arial" w:eastAsia="黑体" w:cs="Times New Roman"/>
      <w:kern w:val="2"/>
      <w:sz w:val="18"/>
      <w:szCs w:val="18"/>
      <w:lang w:val="en-US" w:eastAsia="zh-CN" w:bidi="ar-SA"/>
    </w:rPr>
  </w:style>
  <w:style w:type="character" w:customStyle="1" w:styleId="67">
    <w:name w:val="@正文|标题1 字符"/>
    <w:link w:val="65"/>
    <w:qFormat/>
    <w:uiPriority w:val="0"/>
    <w:rPr>
      <w:rFonts w:ascii="Arial" w:hAnsi="Arial" w:eastAsia="黑体"/>
      <w:kern w:val="2"/>
      <w:sz w:val="21"/>
    </w:rPr>
  </w:style>
  <w:style w:type="paragraph" w:customStyle="1" w:styleId="68">
    <w:name w:val="@正文|标题3"/>
    <w:next w:val="1"/>
    <w:link w:val="70"/>
    <w:qFormat/>
    <w:uiPriority w:val="0"/>
    <w:pPr>
      <w:keepNext/>
      <w:keepLines/>
      <w:widowControl w:val="0"/>
      <w:numPr>
        <w:ilvl w:val="2"/>
        <w:numId w:val="1"/>
      </w:numPr>
      <w:jc w:val="both"/>
      <w:textAlignment w:val="center"/>
      <w:outlineLvl w:val="2"/>
    </w:pPr>
    <w:rPr>
      <w:rFonts w:ascii="Times New Roman" w:hAnsi="Times New Roman" w:eastAsia="楷体" w:cs="Times New Roman"/>
      <w:kern w:val="2"/>
      <w:sz w:val="18"/>
      <w:lang w:val="en-US" w:eastAsia="zh-CN" w:bidi="ar-SA"/>
    </w:rPr>
  </w:style>
  <w:style w:type="character" w:customStyle="1" w:styleId="69">
    <w:name w:val="@正文|标题2 字符"/>
    <w:link w:val="66"/>
    <w:qFormat/>
    <w:uiPriority w:val="0"/>
    <w:rPr>
      <w:rFonts w:ascii="Arial" w:hAnsi="Arial" w:eastAsia="黑体"/>
      <w:kern w:val="2"/>
      <w:sz w:val="18"/>
      <w:szCs w:val="18"/>
    </w:rPr>
  </w:style>
  <w:style w:type="character" w:customStyle="1" w:styleId="70">
    <w:name w:val="@正文|标题3 字符"/>
    <w:link w:val="68"/>
    <w:qFormat/>
    <w:uiPriority w:val="0"/>
    <w:rPr>
      <w:rFonts w:eastAsia="楷体"/>
      <w:kern w:val="2"/>
      <w:sz w:val="18"/>
    </w:rPr>
  </w:style>
  <w:style w:type="paragraph" w:customStyle="1" w:styleId="71">
    <w:name w:val="@正文|段落文本"/>
    <w:link w:val="73"/>
    <w:qFormat/>
    <w:uiPriority w:val="0"/>
    <w:pPr>
      <w:widowControl w:val="0"/>
      <w:ind w:firstLine="200" w:firstLineChars="200"/>
      <w:jc w:val="both"/>
      <w:textAlignment w:val="center"/>
    </w:pPr>
    <w:rPr>
      <w:rFonts w:ascii="Times New Roman" w:hAnsi="Times New Roman" w:eastAsia="宋体" w:cs="Times New Roman"/>
      <w:kern w:val="2"/>
      <w:sz w:val="18"/>
      <w:lang w:val="en-US" w:eastAsia="zh-CN" w:bidi="ar-SA"/>
    </w:rPr>
  </w:style>
  <w:style w:type="paragraph" w:customStyle="1" w:styleId="72">
    <w:name w:val="@正文|表格"/>
    <w:link w:val="75"/>
    <w:qFormat/>
    <w:uiPriority w:val="0"/>
    <w:pPr>
      <w:widowControl w:val="0"/>
      <w:jc w:val="center"/>
      <w:textAlignment w:val="center"/>
    </w:pPr>
    <w:rPr>
      <w:rFonts w:ascii="Times New Roman" w:hAnsi="Times New Roman" w:eastAsia="宋体" w:cs="Times New Roman"/>
      <w:kern w:val="2"/>
      <w:sz w:val="16"/>
      <w:lang w:val="en-US" w:eastAsia="zh-CN" w:bidi="ar-SA"/>
    </w:rPr>
  </w:style>
  <w:style w:type="character" w:customStyle="1" w:styleId="73">
    <w:name w:val="@正文|段落文本 字符"/>
    <w:link w:val="71"/>
    <w:qFormat/>
    <w:uiPriority w:val="0"/>
    <w:rPr>
      <w:kern w:val="2"/>
      <w:sz w:val="18"/>
    </w:rPr>
  </w:style>
  <w:style w:type="paragraph" w:customStyle="1" w:styleId="74">
    <w:name w:val="@正文|独行公式"/>
    <w:next w:val="71"/>
    <w:link w:val="76"/>
    <w:qFormat/>
    <w:uiPriority w:val="0"/>
    <w:pPr>
      <w:widowControl w:val="0"/>
      <w:tabs>
        <w:tab w:val="center" w:pos="2548"/>
        <w:tab w:val="right" w:pos="4914"/>
      </w:tabs>
      <w:jc w:val="both"/>
      <w:textAlignment w:val="center"/>
    </w:pPr>
    <w:rPr>
      <w:rFonts w:ascii="Cambria Math" w:hAnsi="Cambria Math" w:eastAsia="宋体" w:cs="Times New Roman"/>
      <w:kern w:val="2"/>
      <w:sz w:val="18"/>
      <w:lang w:val="en-US" w:eastAsia="zh-CN" w:bidi="ar-SA"/>
    </w:rPr>
  </w:style>
  <w:style w:type="character" w:customStyle="1" w:styleId="75">
    <w:name w:val="@正文|表格 字符"/>
    <w:link w:val="72"/>
    <w:qFormat/>
    <w:uiPriority w:val="0"/>
    <w:rPr>
      <w:kern w:val="2"/>
      <w:sz w:val="16"/>
    </w:rPr>
  </w:style>
  <w:style w:type="character" w:customStyle="1" w:styleId="76">
    <w:name w:val="@正文|独行公式 字符"/>
    <w:link w:val="74"/>
    <w:qFormat/>
    <w:uiPriority w:val="0"/>
    <w:rPr>
      <w:kern w:val="2"/>
      <w:sz w:val="18"/>
    </w:rPr>
  </w:style>
  <w:style w:type="paragraph" w:customStyle="1" w:styleId="77">
    <w:name w:val="@正文|图表|1列"/>
    <w:next w:val="71"/>
    <w:link w:val="79"/>
    <w:qFormat/>
    <w:uiPriority w:val="0"/>
    <w:pPr>
      <w:widowControl w:val="0"/>
      <w:jc w:val="center"/>
      <w:textAlignment w:val="center"/>
    </w:pPr>
    <w:rPr>
      <w:rFonts w:ascii="Times New Roman" w:hAnsi="Times New Roman" w:eastAsia="宋体" w:cs="Times New Roman"/>
      <w:kern w:val="2"/>
      <w:sz w:val="16"/>
      <w:szCs w:val="16"/>
      <w:lang w:val="en-US" w:eastAsia="zh-CN" w:bidi="ar-SA"/>
    </w:rPr>
  </w:style>
  <w:style w:type="paragraph" w:customStyle="1" w:styleId="78">
    <w:name w:val="@正文|图表|2列"/>
    <w:next w:val="71"/>
    <w:link w:val="81"/>
    <w:qFormat/>
    <w:uiPriority w:val="0"/>
    <w:pPr>
      <w:widowControl w:val="0"/>
      <w:tabs>
        <w:tab w:val="center" w:pos="1229"/>
        <w:tab w:val="center" w:pos="3686"/>
      </w:tabs>
      <w:textAlignment w:val="center"/>
    </w:pPr>
    <w:rPr>
      <w:rFonts w:ascii="Times New Roman" w:hAnsi="Times New Roman" w:eastAsia="宋体" w:cs="Times New Roman"/>
      <w:kern w:val="2"/>
      <w:sz w:val="16"/>
      <w:szCs w:val="16"/>
      <w:lang w:val="en-US" w:eastAsia="zh-CN" w:bidi="ar-SA"/>
    </w:rPr>
  </w:style>
  <w:style w:type="character" w:customStyle="1" w:styleId="79">
    <w:name w:val="@正文|图表|1列 字符"/>
    <w:link w:val="77"/>
    <w:qFormat/>
    <w:uiPriority w:val="0"/>
    <w:rPr>
      <w:kern w:val="2"/>
      <w:sz w:val="16"/>
      <w:szCs w:val="16"/>
    </w:rPr>
  </w:style>
  <w:style w:type="paragraph" w:customStyle="1" w:styleId="80">
    <w:name w:val="@正文|图表|3列"/>
    <w:next w:val="71"/>
    <w:link w:val="83"/>
    <w:qFormat/>
    <w:uiPriority w:val="0"/>
    <w:pPr>
      <w:widowControl w:val="0"/>
      <w:tabs>
        <w:tab w:val="center" w:pos="819"/>
        <w:tab w:val="center" w:pos="2457"/>
        <w:tab w:val="center" w:pos="4095"/>
      </w:tabs>
      <w:jc w:val="both"/>
      <w:textAlignment w:val="center"/>
    </w:pPr>
    <w:rPr>
      <w:rFonts w:ascii="Times New Roman" w:hAnsi="Times New Roman" w:eastAsia="宋体" w:cs="Times New Roman"/>
      <w:kern w:val="2"/>
      <w:sz w:val="15"/>
      <w:szCs w:val="16"/>
      <w:lang w:val="en-US" w:eastAsia="zh-CN" w:bidi="ar-SA"/>
    </w:rPr>
  </w:style>
  <w:style w:type="character" w:customStyle="1" w:styleId="81">
    <w:name w:val="@正文|图表|2列 字符"/>
    <w:link w:val="78"/>
    <w:qFormat/>
    <w:uiPriority w:val="0"/>
    <w:rPr>
      <w:kern w:val="2"/>
      <w:sz w:val="16"/>
      <w:szCs w:val="16"/>
    </w:rPr>
  </w:style>
  <w:style w:type="paragraph" w:customStyle="1" w:styleId="82">
    <w:name w:val="@正文|标题参考文献"/>
    <w:next w:val="1"/>
    <w:link w:val="85"/>
    <w:qFormat/>
    <w:uiPriority w:val="0"/>
    <w:pPr>
      <w:keepNext/>
      <w:keepLines/>
      <w:widowControl w:val="0"/>
      <w:pBdr>
        <w:top w:val="single" w:color="FFFFFF" w:sz="8" w:space="7"/>
        <w:bottom w:val="single" w:color="FFFFFF" w:sz="8" w:space="7"/>
      </w:pBdr>
      <w:spacing w:line="320" w:lineRule="exact"/>
      <w:textAlignment w:val="center"/>
      <w:outlineLvl w:val="0"/>
    </w:pPr>
    <w:rPr>
      <w:rFonts w:ascii="Arial" w:hAnsi="Arial" w:eastAsia="黑体" w:cs="Times New Roman"/>
      <w:kern w:val="2"/>
      <w:sz w:val="21"/>
      <w:lang w:val="en-US" w:eastAsia="zh-CN" w:bidi="ar-SA"/>
    </w:rPr>
  </w:style>
  <w:style w:type="character" w:customStyle="1" w:styleId="83">
    <w:name w:val="@正文|图表|3列 字符"/>
    <w:link w:val="80"/>
    <w:qFormat/>
    <w:uiPriority w:val="0"/>
    <w:rPr>
      <w:kern w:val="2"/>
      <w:sz w:val="16"/>
      <w:szCs w:val="16"/>
    </w:rPr>
  </w:style>
  <w:style w:type="paragraph" w:customStyle="1" w:styleId="84">
    <w:name w:val="@正文|参考文献"/>
    <w:link w:val="86"/>
    <w:qFormat/>
    <w:uiPriority w:val="0"/>
    <w:pPr>
      <w:widowControl w:val="0"/>
      <w:numPr>
        <w:ilvl w:val="0"/>
        <w:numId w:val="2"/>
      </w:numPr>
      <w:ind w:left="304" w:hanging="304" w:hangingChars="200"/>
      <w:jc w:val="both"/>
      <w:textAlignment w:val="baseline"/>
    </w:pPr>
    <w:rPr>
      <w:rFonts w:ascii="Times New Roman" w:hAnsi="Times New Roman" w:eastAsia="楷体" w:cs="Times New Roman"/>
      <w:kern w:val="2"/>
      <w:sz w:val="16"/>
      <w:szCs w:val="15"/>
      <w:lang w:val="en-US" w:eastAsia="zh-CN" w:bidi="ar-SA"/>
    </w:rPr>
  </w:style>
  <w:style w:type="character" w:customStyle="1" w:styleId="85">
    <w:name w:val="@正文|标题参考文献 字符"/>
    <w:link w:val="82"/>
    <w:qFormat/>
    <w:uiPriority w:val="0"/>
    <w:rPr>
      <w:rFonts w:ascii="Arial" w:hAnsi="Arial" w:eastAsia="黑体"/>
      <w:kern w:val="2"/>
      <w:sz w:val="21"/>
    </w:rPr>
  </w:style>
  <w:style w:type="character" w:customStyle="1" w:styleId="86">
    <w:name w:val="@正文|参考文献 字符"/>
    <w:link w:val="84"/>
    <w:qFormat/>
    <w:uiPriority w:val="0"/>
    <w:rPr>
      <w:rFonts w:eastAsia="楷体"/>
      <w:kern w:val="2"/>
      <w:sz w:val="15"/>
      <w:szCs w:val="15"/>
    </w:rPr>
  </w:style>
  <w:style w:type="paragraph" w:customStyle="1" w:styleId="87">
    <w:name w:val="@正文|代码"/>
    <w:basedOn w:val="71"/>
    <w:next w:val="1"/>
    <w:link w:val="88"/>
    <w:qFormat/>
    <w:uiPriority w:val="0"/>
    <w:pPr>
      <w:ind w:left="182" w:leftChars="100" w:firstLine="0" w:firstLineChars="0"/>
    </w:pPr>
    <w:rPr>
      <w:rFonts w:ascii="Consolas" w:hAnsi="Consolas"/>
      <w:sz w:val="15"/>
    </w:rPr>
  </w:style>
  <w:style w:type="character" w:customStyle="1" w:styleId="88">
    <w:name w:val="@正文|代码 字符"/>
    <w:link w:val="87"/>
    <w:qFormat/>
    <w:uiPriority w:val="0"/>
    <w:rPr>
      <w:rFonts w:ascii="Consolas" w:hAnsi="Consolas"/>
      <w:kern w:val="2"/>
      <w:sz w:val="15"/>
    </w:rPr>
  </w:style>
  <w:style w:type="character" w:customStyle="1" w:styleId="89">
    <w:name w:val="@正文|参考文献etal"/>
    <w:qFormat/>
    <w:uiPriority w:val="1"/>
    <w:rPr>
      <w:rFonts w:ascii="Times New Roman" w:hAnsi="Times New Roman" w:eastAsia="楷体"/>
      <w:i/>
      <w:kern w:val="2"/>
      <w:sz w:val="15"/>
      <w:szCs w:val="15"/>
    </w:rPr>
  </w:style>
  <w:style w:type="character" w:customStyle="1" w:styleId="90">
    <w:name w:val="@正文|参考文献黑体"/>
    <w:qFormat/>
    <w:uiPriority w:val="1"/>
    <w:rPr>
      <w:rFonts w:ascii="Arial" w:hAnsi="Arial" w:eastAsia="楷体"/>
      <w:kern w:val="2"/>
      <w:sz w:val="15"/>
      <w:szCs w:val="15"/>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app</Company>
  <Pages>6</Pages>
  <Words>4794</Words>
  <Characters>6343</Characters>
  <Lines>34</Lines>
  <Paragraphs>9</Paragraphs>
  <TotalTime>20</TotalTime>
  <ScaleCrop>false</ScaleCrop>
  <LinksUpToDate>false</LinksUpToDate>
  <CharactersWithSpaces>6632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2018-10-18T02:03:00Z</dcterms:created>
  <dc:creator>Anonymous Author(s)</dc:creator>
  <dc:description>部分更新工作稿：第1至6章已按作者确认稿替换；正文结构为0至6章，不单列讨论章节。前文与整体排版仍待审查，非最终可投稿版本。</dc:description>
  <cp:keywords>K-Waay; batch admission; distinct-party condition; Tamarin; formal verification</cp:keywords>
  <cp:lastModifiedBy>甘安辰</cp:lastModifiedBy>
  <cp:lastPrinted>2018-04-10T16:55:00Z</cp:lastPrinted>
  <dcterms:modified xsi:type="dcterms:W3CDTF">2026-10-13T16:55:28Z</dcterms:modified>
  <dc:subject>AROCMAG partial working manuscript, approved chapters 1 and 2 updated</dc:subject>
  <dc:title>Formal Analysis of the Distinct-Party Condition in K-Waay Batch Admission</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tringCn">
    <vt:lpwstr>黄文明{1|2},卫万成{1},邓珍荣{1|2}</vt:lpwstr>
  </property>
  <property fmtid="{D5CDD505-2E9C-101B-9397-08002B2CF9AE}" pid="3" name="AuthorStringEn">
    <vt:lpwstr>Huang Wenming{1|2},Wei Wancheng{1},Deng Zhenrong{1|2}</vt:lpwstr>
  </property>
  <property fmtid="{D5CDD505-2E9C-101B-9397-08002B2CF9AE}" pid="4" name="KSOProductBuildVer">
    <vt:lpwstr>2052-12.1.0.28505</vt:lpwstr>
  </property>
  <property fmtid="{D5CDD505-2E9C-101B-9397-08002B2CF9AE}" pid="5" name="ICV">
    <vt:lpwstr>075E05FFD89D4CBE9241D7DE63462BF7_13</vt:lpwstr>
  </property>
  <property fmtid="{D5CDD505-2E9C-101B-9397-08002B2CF9AE}" pid="6" name="KSOTemplateDocerSaveRecord">
    <vt:lpwstr>eyJoZGlkIjoiY2Q2N2RiZTQ2ZjQyZmJiZTI1MTE1MmI3YzEyNzFjZmQiLCJ1c2VySWQiOiIxNzE2Njg0MTE0In0=</vt:lpwstr>
  </property>
</Properties>
</file>