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752"/>
        <w:tblBorders>
          <w:top w:val="nil"/>
          <w:left w:val="nil"/>
          <w:bottom w:val="nil"/>
          <w:right w:val="nil"/>
          <w:insideH w:val="nil"/>
          <w:insideV w:val="nil"/>
        </w:tblBorders>
        <w:tblLayout w:type="fixed"/>
        <w:tblCellMar>
          <w:top w:w="500" w:type="dxa"/>
          <w:left w:w="500" w:type="dxa"/>
          <w:bottom w:w="500" w:type="dxa"/>
          <w:right w:w="500" w:type="dxa"/>
        </w:tblCellMar>
        <w:tblLook w:firstColumn="1" w:firstRow="1" w:lastColumn="0" w:lastRow="0" w:noHBand="0" w:noVBand="1" w:val="04A0"/>
      </w:tblPr>
      <w:tblGrid>
        <w:gridCol w:w="9752"/>
      </w:tblGrid>
      <w:tr>
        <w:trPr>
          <w:trHeight w:val="13891" w:hRule="exact"/>
        </w:trPr>
        <w:tc>
          <w:tcPr>
            <w:tcW w:type="dxa" w:w="9751"/>
            <w:shd w:val="clear" w:color="auto" w:fill="1C2530"/>
          </w:tcPr>
          <w:p>
            <w:pPr>
              <w:spacing w:after="1400"/>
            </w:pPr>
            <w:r>
              <w:rPr>
                <w:b/>
                <w:i w:val="0"/>
                <w:color w:val="E9B866"/>
                <w:sz w:val="21"/>
              </w:rPr>
              <w:t>MAISON LUMEN · ORACLE EPM PLANNING (EPBCS)</w:t>
            </w:r>
          </w:p>
          <w:p>
            <w:pPr>
              <w:pStyle w:val="Title"/>
            </w:pPr>
            <w:r>
              <w:t>Solution Design Document</w:t>
            </w:r>
          </w:p>
          <w:p>
            <w:pPr>
              <w:spacing w:after="3000"/>
            </w:pPr>
            <w:r>
              <w:rPr>
                <w:b w:val="0"/>
                <w:i w:val="0"/>
                <w:color w:val="D6DCE3"/>
                <w:sz w:val="27"/>
              </w:rPr>
              <w:t>Lumen Plan: driver-based forecast and FY27 budget for the French sites</w:t>
            </w:r>
          </w:p>
          <w:p>
            <w:pPr>
              <w:spacing w:after="60"/>
            </w:pPr>
            <w:r>
              <w:rPr>
                <w:b w:val="0"/>
                <w:i w:val="0"/>
                <w:color w:val="9AA6B2"/>
                <w:sz w:val="20"/>
              </w:rPr>
              <w:t xml:space="preserve">Project   </w:t>
            </w:r>
            <w:r>
              <w:rPr>
                <w:b w:val="0"/>
                <w:i w:val="0"/>
                <w:color w:val="E6EAEE"/>
                <w:sz w:val="20"/>
              </w:rPr>
              <w:t>Oracle EPM rollout (Lumen Rollout) · Planning workstream</w:t>
            </w:r>
          </w:p>
          <w:p>
            <w:pPr>
              <w:spacing w:after="60"/>
            </w:pPr>
            <w:r>
              <w:rPr>
                <w:b w:val="0"/>
                <w:i w:val="0"/>
                <w:color w:val="9AA6B2"/>
                <w:sz w:val="20"/>
              </w:rPr>
              <w:t xml:space="preserve">Document   </w:t>
            </w:r>
            <w:r>
              <w:rPr>
                <w:b w:val="0"/>
                <w:i w:val="0"/>
                <w:color w:val="E6EAEE"/>
                <w:sz w:val="20"/>
              </w:rPr>
              <w:t>LR-DES-EPBCS-001 · version 1.0 · approved</w:t>
            </w:r>
          </w:p>
          <w:p>
            <w:pPr>
              <w:spacing w:after="60"/>
            </w:pPr>
            <w:r>
              <w:rPr>
                <w:b w:val="0"/>
                <w:i w:val="0"/>
                <w:color w:val="9AA6B2"/>
                <w:sz w:val="20"/>
              </w:rPr>
              <w:t xml:space="preserve">Date   </w:t>
            </w:r>
            <w:r>
              <w:rPr>
                <w:b w:val="0"/>
                <w:i w:val="0"/>
                <w:color w:val="E6EAEE"/>
                <w:sz w:val="20"/>
              </w:rPr>
              <w:t>15 May 2026 (design sign-off)</w:t>
            </w:r>
          </w:p>
          <w:p>
            <w:pPr>
              <w:spacing w:after="60"/>
            </w:pPr>
            <w:r>
              <w:rPr>
                <w:b w:val="0"/>
                <w:i w:val="0"/>
                <w:color w:val="9AA6B2"/>
                <w:sz w:val="20"/>
              </w:rPr>
              <w:t xml:space="preserve">Prepared by   </w:t>
            </w:r>
            <w:r>
              <w:rPr>
                <w:b w:val="0"/>
                <w:i w:val="0"/>
                <w:color w:val="E6EAEE"/>
                <w:sz w:val="20"/>
              </w:rPr>
              <w:t>Gaurav Sharma, EPM consultant</w:t>
            </w:r>
          </w:p>
          <w:p>
            <w:pPr>
              <w:spacing w:after="60"/>
            </w:pPr>
            <w:r>
              <w:rPr>
                <w:b w:val="0"/>
                <w:i w:val="0"/>
                <w:color w:val="9AA6B2"/>
                <w:sz w:val="20"/>
              </w:rPr>
              <w:t xml:space="preserve">Approved by   </w:t>
            </w:r>
            <w:r>
              <w:rPr>
                <w:b w:val="0"/>
                <w:i w:val="0"/>
                <w:color w:val="E6EAEE"/>
                <w:sz w:val="20"/>
              </w:rPr>
              <w:t>Marc Dubois, CFO and project sponsor</w:t>
            </w:r>
          </w:p>
          <w:p>
            <w:pPr>
              <w:spacing w:before="280"/>
            </w:pPr>
            <w:r>
              <w:rPr>
                <w:b w:val="0"/>
                <w:i/>
                <w:color w:val="9AA6B2"/>
                <w:sz w:val="18"/>
              </w:rPr>
              <w:t>Portfolio sample. Maison Lumen, its people and all figures are fictional. Oracle and EPBCS are trademarks of Oracle Corporation; this document is not affiliated with Oracle.</w:t>
            </w:r>
          </w:p>
        </w:tc>
      </w:tr>
    </w:tbl>
    <w:p>
      <w:r>
        <w:br w:type="page"/>
      </w:r>
    </w:p>
    <w:p>
      <w:pPr>
        <w:pStyle w:val="Heading1"/>
      </w:pPr>
      <w:r>
        <w:t>Document control</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925"/>
        <w:gridCol w:w="6826"/>
      </w:tblGrid>
      <w:tr>
        <w:trPr>
          <w:cantSplit w:val="true"/>
        </w:trPr>
        <w:tc>
          <w:tcPr>
            <w:tcW w:type="dxa" w:w="2925"/>
            <w:shd w:val="clear" w:color="auto" w:fill="F3F4F6"/>
          </w:tcPr>
          <w:p>
            <w:pPr>
              <w:spacing w:after="0"/>
            </w:pPr>
            <w:r>
              <w:rPr>
                <w:b/>
                <w:i w:val="0"/>
                <w:sz w:val="18"/>
              </w:rPr>
              <w:t>Document ID</w:t>
            </w:r>
          </w:p>
        </w:tc>
        <w:tc>
          <w:tcPr>
            <w:tcW w:type="dxa" w:w="6826"/>
          </w:tcPr>
          <w:p>
            <w:pPr>
              <w:spacing w:after="0"/>
            </w:pPr>
            <w:r>
              <w:rPr>
                <w:b w:val="0"/>
                <w:i w:val="0"/>
                <w:sz w:val="18"/>
              </w:rPr>
              <w:t>LR-DES-EPBCS-001</w:t>
            </w:r>
          </w:p>
        </w:tc>
      </w:tr>
      <w:tr>
        <w:trPr>
          <w:cantSplit w:val="true"/>
        </w:trPr>
        <w:tc>
          <w:tcPr>
            <w:tcW w:type="dxa" w:w="2925"/>
            <w:shd w:val="clear" w:color="auto" w:fill="F3F4F6"/>
          </w:tcPr>
          <w:p>
            <w:pPr>
              <w:spacing w:after="0"/>
            </w:pPr>
            <w:r>
              <w:rPr>
                <w:b/>
                <w:i w:val="0"/>
                <w:sz w:val="18"/>
              </w:rPr>
              <w:t>Status</w:t>
            </w:r>
          </w:p>
        </w:tc>
        <w:tc>
          <w:tcPr>
            <w:tcW w:type="dxa" w:w="6826"/>
          </w:tcPr>
          <w:p>
            <w:pPr>
              <w:spacing w:after="0"/>
            </w:pPr>
            <w:r>
              <w:rPr>
                <w:b w:val="0"/>
                <w:i w:val="0"/>
                <w:sz w:val="18"/>
              </w:rPr>
              <w:t>Approved at the design sign-off (steering committee, 15 May 2026)</w:t>
            </w:r>
          </w:p>
        </w:tc>
      </w:tr>
      <w:tr>
        <w:trPr>
          <w:cantSplit w:val="true"/>
        </w:trPr>
        <w:tc>
          <w:tcPr>
            <w:tcW w:type="dxa" w:w="2925"/>
            <w:shd w:val="clear" w:color="auto" w:fill="F3F4F6"/>
          </w:tcPr>
          <w:p>
            <w:pPr>
              <w:spacing w:after="0"/>
            </w:pPr>
            <w:r>
              <w:rPr>
                <w:b/>
                <w:i w:val="0"/>
                <w:sz w:val="18"/>
              </w:rPr>
              <w:t>Scope</w:t>
            </w:r>
          </w:p>
        </w:tc>
        <w:tc>
          <w:tcPr>
            <w:tcW w:type="dxa" w:w="6826"/>
          </w:tcPr>
          <w:p>
            <w:pPr>
              <w:spacing w:after="0"/>
            </w:pPr>
            <w:r>
              <w:rPr>
                <w:b w:val="0"/>
                <w:i w:val="0"/>
                <w:sz w:val="18"/>
              </w:rPr>
              <w:t>Oracle EPM Planning application for Maison Lumen SAS: sites of Lyon, Paris and Lille</w:t>
            </w:r>
          </w:p>
        </w:tc>
      </w:tr>
      <w:tr>
        <w:trPr>
          <w:cantSplit w:val="true"/>
        </w:trPr>
        <w:tc>
          <w:tcPr>
            <w:tcW w:type="dxa" w:w="2925"/>
            <w:shd w:val="clear" w:color="auto" w:fill="F3F4F6"/>
          </w:tcPr>
          <w:p>
            <w:pPr>
              <w:spacing w:after="0"/>
            </w:pPr>
            <w:r>
              <w:rPr>
                <w:b/>
                <w:i w:val="0"/>
                <w:sz w:val="18"/>
              </w:rPr>
              <w:t>Related documents</w:t>
            </w:r>
          </w:p>
        </w:tc>
        <w:tc>
          <w:tcPr>
            <w:tcW w:type="dxa" w:w="6826"/>
          </w:tcPr>
          <w:p>
            <w:pPr>
              <w:spacing w:after="0"/>
            </w:pPr>
            <w:r>
              <w:rPr>
                <w:b w:val="0"/>
                <w:i w:val="0"/>
                <w:sz w:val="18"/>
              </w:rPr>
              <w:t>Project Initiation Documentation (LR-PID-001) · FP&amp;A workshop minutes (30 March to 24 April 2026) · Consolidation design (LR-DES-FCCS-001) · Project control workbook (UAT test plan)</w:t>
            </w:r>
          </w:p>
        </w:tc>
      </w:tr>
    </w:tbl>
    <w:p>
      <w:pPr>
        <w:spacing w:after="40"/>
      </w:pPr>
    </w:p>
    <w:p>
      <w:pPr>
        <w:pStyle w:val="Heading2"/>
      </w:pPr>
      <w:r>
        <w:t>Version history</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975"/>
        <w:gridCol w:w="1560"/>
        <w:gridCol w:w="1755"/>
        <w:gridCol w:w="5461"/>
      </w:tblGrid>
      <w:tr>
        <w:trPr>
          <w:tblHeader w:val="true"/>
        </w:trPr>
        <w:tc>
          <w:tcPr>
            <w:tcW w:type="dxa" w:w="975"/>
            <w:shd w:val="clear" w:color="auto" w:fill="2F5D62"/>
          </w:tcPr>
          <w:p>
            <w:r>
              <w:rPr>
                <w:b/>
                <w:i w:val="0"/>
                <w:color w:val="FFFFFF"/>
                <w:sz w:val="18"/>
              </w:rPr>
              <w:t>Version</w:t>
            </w:r>
          </w:p>
        </w:tc>
        <w:tc>
          <w:tcPr>
            <w:tcW w:type="dxa" w:w="1560"/>
            <w:shd w:val="clear" w:color="auto" w:fill="2F5D62"/>
          </w:tcPr>
          <w:p>
            <w:r>
              <w:rPr>
                <w:b/>
                <w:i w:val="0"/>
                <w:color w:val="FFFFFF"/>
                <w:sz w:val="18"/>
              </w:rPr>
              <w:t>Date</w:t>
            </w:r>
          </w:p>
        </w:tc>
        <w:tc>
          <w:tcPr>
            <w:tcW w:type="dxa" w:w="1755"/>
            <w:shd w:val="clear" w:color="auto" w:fill="2F5D62"/>
          </w:tcPr>
          <w:p>
            <w:r>
              <w:rPr>
                <w:b/>
                <w:i w:val="0"/>
                <w:color w:val="FFFFFF"/>
                <w:sz w:val="18"/>
              </w:rPr>
              <w:t>Author</w:t>
            </w:r>
          </w:p>
        </w:tc>
        <w:tc>
          <w:tcPr>
            <w:tcW w:type="dxa" w:w="5461"/>
            <w:shd w:val="clear" w:color="auto" w:fill="2F5D62"/>
          </w:tcPr>
          <w:p>
            <w:r>
              <w:rPr>
                <w:b/>
                <w:i w:val="0"/>
                <w:color w:val="FFFFFF"/>
                <w:sz w:val="18"/>
              </w:rPr>
              <w:t>Changes</w:t>
            </w:r>
          </w:p>
        </w:tc>
      </w:tr>
      <w:tr>
        <w:trPr>
          <w:cantSplit w:val="true"/>
        </w:trPr>
        <w:tc>
          <w:tcPr>
            <w:tcW w:type="dxa" w:w="975"/>
          </w:tcPr>
          <w:p>
            <w:pPr>
              <w:spacing w:after="0"/>
            </w:pPr>
            <w:r>
              <w:rPr>
                <w:b w:val="0"/>
                <w:i w:val="0"/>
                <w:sz w:val="18"/>
              </w:rPr>
              <w:t>0.1</w:t>
            </w:r>
          </w:p>
        </w:tc>
        <w:tc>
          <w:tcPr>
            <w:tcW w:type="dxa" w:w="1560"/>
          </w:tcPr>
          <w:p>
            <w:pPr>
              <w:spacing w:after="0"/>
            </w:pPr>
            <w:r>
              <w:rPr>
                <w:b w:val="0"/>
                <w:i w:val="0"/>
                <w:sz w:val="18"/>
              </w:rPr>
              <w:t>24 Apr 2026</w:t>
            </w:r>
          </w:p>
        </w:tc>
        <w:tc>
          <w:tcPr>
            <w:tcW w:type="dxa" w:w="1755"/>
          </w:tcPr>
          <w:p>
            <w:pPr>
              <w:spacing w:after="0"/>
            </w:pPr>
            <w:r>
              <w:rPr>
                <w:b w:val="0"/>
                <w:i w:val="0"/>
                <w:sz w:val="18"/>
              </w:rPr>
              <w:t>G. Sharma</w:t>
            </w:r>
          </w:p>
        </w:tc>
        <w:tc>
          <w:tcPr>
            <w:tcW w:type="dxa" w:w="5461"/>
          </w:tcPr>
          <w:p>
            <w:pPr>
              <w:spacing w:after="0"/>
            </w:pPr>
            <w:r>
              <w:rPr>
                <w:b w:val="0"/>
                <w:i w:val="0"/>
                <w:sz w:val="18"/>
              </w:rPr>
              <w:t>First draft after the four FP&amp;A design workshops</w:t>
            </w:r>
          </w:p>
        </w:tc>
      </w:tr>
      <w:tr>
        <w:trPr>
          <w:cantSplit w:val="true"/>
        </w:trPr>
        <w:tc>
          <w:tcPr>
            <w:tcW w:type="dxa" w:w="975"/>
            <w:shd w:val="clear" w:color="auto" w:fill="F7F8FA"/>
          </w:tcPr>
          <w:p>
            <w:pPr>
              <w:spacing w:after="0"/>
            </w:pPr>
            <w:r>
              <w:rPr>
                <w:b w:val="0"/>
                <w:i w:val="0"/>
                <w:sz w:val="18"/>
              </w:rPr>
              <w:t>0.5</w:t>
            </w:r>
          </w:p>
        </w:tc>
        <w:tc>
          <w:tcPr>
            <w:tcW w:type="dxa" w:w="1560"/>
            <w:shd w:val="clear" w:color="auto" w:fill="F7F8FA"/>
          </w:tcPr>
          <w:p>
            <w:pPr>
              <w:spacing w:after="0"/>
            </w:pPr>
            <w:r>
              <w:rPr>
                <w:b w:val="0"/>
                <w:i w:val="0"/>
                <w:sz w:val="18"/>
              </w:rPr>
              <w:t>6 May 2026</w:t>
            </w:r>
          </w:p>
        </w:tc>
        <w:tc>
          <w:tcPr>
            <w:tcW w:type="dxa" w:w="1755"/>
            <w:shd w:val="clear" w:color="auto" w:fill="F7F8FA"/>
          </w:tcPr>
          <w:p>
            <w:pPr>
              <w:spacing w:after="0"/>
            </w:pPr>
            <w:r>
              <w:rPr>
                <w:b w:val="0"/>
                <w:i w:val="0"/>
                <w:sz w:val="18"/>
              </w:rPr>
              <w:t>G. Sharma</w:t>
            </w:r>
          </w:p>
        </w:tc>
        <w:tc>
          <w:tcPr>
            <w:tcW w:type="dxa" w:w="5461"/>
            <w:shd w:val="clear" w:color="auto" w:fill="F7F8FA"/>
          </w:tcPr>
          <w:p>
            <w:pPr>
              <w:spacing w:after="0"/>
            </w:pPr>
            <w:r>
              <w:rPr>
                <w:b w:val="0"/>
                <w:i w:val="0"/>
                <w:sz w:val="18"/>
              </w:rPr>
              <w:t>Review comments from FP&amp;A and IT; head-office allocation key changed from revenue to headcount (DD-03)</w:t>
            </w:r>
          </w:p>
        </w:tc>
      </w:tr>
      <w:tr>
        <w:trPr>
          <w:cantSplit w:val="true"/>
        </w:trPr>
        <w:tc>
          <w:tcPr>
            <w:tcW w:type="dxa" w:w="975"/>
          </w:tcPr>
          <w:p>
            <w:pPr>
              <w:spacing w:after="0"/>
            </w:pPr>
            <w:r>
              <w:rPr>
                <w:b w:val="0"/>
                <w:i w:val="0"/>
                <w:sz w:val="18"/>
              </w:rPr>
              <w:t>1.0</w:t>
            </w:r>
          </w:p>
        </w:tc>
        <w:tc>
          <w:tcPr>
            <w:tcW w:type="dxa" w:w="1560"/>
          </w:tcPr>
          <w:p>
            <w:pPr>
              <w:spacing w:after="0"/>
            </w:pPr>
            <w:r>
              <w:rPr>
                <w:b w:val="0"/>
                <w:i w:val="0"/>
                <w:sz w:val="18"/>
              </w:rPr>
              <w:t>15 May 2026</w:t>
            </w:r>
          </w:p>
        </w:tc>
        <w:tc>
          <w:tcPr>
            <w:tcW w:type="dxa" w:w="1755"/>
          </w:tcPr>
          <w:p>
            <w:pPr>
              <w:spacing w:after="0"/>
            </w:pPr>
            <w:r>
              <w:rPr>
                <w:b w:val="0"/>
                <w:i w:val="0"/>
                <w:sz w:val="18"/>
              </w:rPr>
              <w:t>G. Sharma</w:t>
            </w:r>
          </w:p>
        </w:tc>
        <w:tc>
          <w:tcPr>
            <w:tcW w:type="dxa" w:w="5461"/>
          </w:tcPr>
          <w:p>
            <w:pPr>
              <w:spacing w:after="0"/>
            </w:pPr>
            <w:r>
              <w:rPr>
                <w:b w:val="0"/>
                <w:i w:val="0"/>
                <w:sz w:val="18"/>
              </w:rPr>
              <w:t>Approved at the design sign-off (milestone M2)</w:t>
            </w:r>
          </w:p>
        </w:tc>
      </w:tr>
    </w:tbl>
    <w:p>
      <w:pPr>
        <w:spacing w:after="40"/>
      </w:pPr>
    </w:p>
    <w:p>
      <w:pPr>
        <w:pStyle w:val="Heading2"/>
      </w:pPr>
      <w:r>
        <w:t>Review and approval</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3900"/>
        <w:gridCol w:w="2145"/>
        <w:gridCol w:w="1755"/>
        <w:gridCol w:w="1950"/>
      </w:tblGrid>
      <w:tr>
        <w:trPr>
          <w:tblHeader w:val="true"/>
        </w:trPr>
        <w:tc>
          <w:tcPr>
            <w:tcW w:type="dxa" w:w="3900"/>
            <w:shd w:val="clear" w:color="auto" w:fill="2F5D62"/>
          </w:tcPr>
          <w:p>
            <w:r>
              <w:rPr>
                <w:b/>
                <w:i w:val="0"/>
                <w:color w:val="FFFFFF"/>
                <w:sz w:val="18"/>
              </w:rPr>
              <w:t>Role</w:t>
            </w:r>
          </w:p>
        </w:tc>
        <w:tc>
          <w:tcPr>
            <w:tcW w:type="dxa" w:w="2145"/>
            <w:shd w:val="clear" w:color="auto" w:fill="2F5D62"/>
          </w:tcPr>
          <w:p>
            <w:r>
              <w:rPr>
                <w:b/>
                <w:i w:val="0"/>
                <w:color w:val="FFFFFF"/>
                <w:sz w:val="18"/>
              </w:rPr>
              <w:t>Name</w:t>
            </w:r>
          </w:p>
        </w:tc>
        <w:tc>
          <w:tcPr>
            <w:tcW w:type="dxa" w:w="1755"/>
            <w:shd w:val="clear" w:color="auto" w:fill="2F5D62"/>
          </w:tcPr>
          <w:p>
            <w:r>
              <w:rPr>
                <w:b/>
                <w:i w:val="0"/>
                <w:color w:val="FFFFFF"/>
                <w:sz w:val="18"/>
              </w:rPr>
              <w:t>Decision</w:t>
            </w:r>
          </w:p>
        </w:tc>
        <w:tc>
          <w:tcPr>
            <w:tcW w:type="dxa" w:w="1950"/>
            <w:shd w:val="clear" w:color="auto" w:fill="2F5D62"/>
          </w:tcPr>
          <w:p>
            <w:r>
              <w:rPr>
                <w:b/>
                <w:i w:val="0"/>
                <w:color w:val="FFFFFF"/>
                <w:sz w:val="18"/>
              </w:rPr>
              <w:t>Date</w:t>
            </w:r>
          </w:p>
        </w:tc>
      </w:tr>
      <w:tr>
        <w:trPr>
          <w:cantSplit w:val="true"/>
        </w:trPr>
        <w:tc>
          <w:tcPr>
            <w:tcW w:type="dxa" w:w="3900"/>
          </w:tcPr>
          <w:p>
            <w:pPr>
              <w:spacing w:after="0"/>
            </w:pPr>
            <w:r>
              <w:rPr>
                <w:b w:val="0"/>
                <w:i w:val="0"/>
                <w:sz w:val="18"/>
              </w:rPr>
              <w:t>Paris site controller, FP&amp;A key user</w:t>
            </w:r>
          </w:p>
        </w:tc>
        <w:tc>
          <w:tcPr>
            <w:tcW w:type="dxa" w:w="2145"/>
          </w:tcPr>
          <w:p>
            <w:pPr>
              <w:spacing w:after="0"/>
            </w:pPr>
            <w:r>
              <w:rPr>
                <w:b w:val="0"/>
                <w:i w:val="0"/>
                <w:sz w:val="18"/>
              </w:rPr>
              <w:t>Claire Martin</w:t>
            </w:r>
          </w:p>
        </w:tc>
        <w:tc>
          <w:tcPr>
            <w:tcW w:type="dxa" w:w="1755"/>
          </w:tcPr>
          <w:p>
            <w:pPr>
              <w:spacing w:after="0"/>
            </w:pPr>
            <w:r>
              <w:rPr>
                <w:b w:val="0"/>
                <w:i w:val="0"/>
                <w:sz w:val="18"/>
              </w:rPr>
              <w:t>Reviewed</w:t>
            </w:r>
          </w:p>
        </w:tc>
        <w:tc>
          <w:tcPr>
            <w:tcW w:type="dxa" w:w="1950"/>
          </w:tcPr>
          <w:p>
            <w:pPr>
              <w:spacing w:after="0"/>
            </w:pPr>
            <w:r>
              <w:rPr>
                <w:b w:val="0"/>
                <w:i w:val="0"/>
                <w:sz w:val="18"/>
              </w:rPr>
              <w:t>12 May 2026</w:t>
            </w:r>
          </w:p>
        </w:tc>
      </w:tr>
      <w:tr>
        <w:trPr>
          <w:cantSplit w:val="true"/>
        </w:trPr>
        <w:tc>
          <w:tcPr>
            <w:tcW w:type="dxa" w:w="3900"/>
            <w:shd w:val="clear" w:color="auto" w:fill="F7F8FA"/>
          </w:tcPr>
          <w:p>
            <w:pPr>
              <w:spacing w:after="0"/>
            </w:pPr>
            <w:r>
              <w:rPr>
                <w:b w:val="0"/>
                <w:i w:val="0"/>
                <w:sz w:val="18"/>
              </w:rPr>
              <w:t>Head-office controller, Lyon</w:t>
            </w:r>
          </w:p>
        </w:tc>
        <w:tc>
          <w:tcPr>
            <w:tcW w:type="dxa" w:w="2145"/>
            <w:shd w:val="clear" w:color="auto" w:fill="F7F8FA"/>
          </w:tcPr>
          <w:p>
            <w:pPr>
              <w:spacing w:after="0"/>
            </w:pPr>
            <w:r>
              <w:rPr>
                <w:b w:val="0"/>
                <w:i w:val="0"/>
                <w:sz w:val="18"/>
              </w:rPr>
              <w:t>Sophie Bernard</w:t>
            </w:r>
          </w:p>
        </w:tc>
        <w:tc>
          <w:tcPr>
            <w:tcW w:type="dxa" w:w="1755"/>
            <w:shd w:val="clear" w:color="auto" w:fill="F7F8FA"/>
          </w:tcPr>
          <w:p>
            <w:pPr>
              <w:spacing w:after="0"/>
            </w:pPr>
            <w:r>
              <w:rPr>
                <w:b w:val="0"/>
                <w:i w:val="0"/>
                <w:sz w:val="18"/>
              </w:rPr>
              <w:t>Reviewed</w:t>
            </w:r>
          </w:p>
        </w:tc>
        <w:tc>
          <w:tcPr>
            <w:tcW w:type="dxa" w:w="1950"/>
            <w:shd w:val="clear" w:color="auto" w:fill="F7F8FA"/>
          </w:tcPr>
          <w:p>
            <w:pPr>
              <w:spacing w:after="0"/>
            </w:pPr>
            <w:r>
              <w:rPr>
                <w:b w:val="0"/>
                <w:i w:val="0"/>
                <w:sz w:val="18"/>
              </w:rPr>
              <w:t>12 May 2026</w:t>
            </w:r>
          </w:p>
        </w:tc>
      </w:tr>
      <w:tr>
        <w:trPr>
          <w:cantSplit w:val="true"/>
        </w:trPr>
        <w:tc>
          <w:tcPr>
            <w:tcW w:type="dxa" w:w="3900"/>
          </w:tcPr>
          <w:p>
            <w:pPr>
              <w:spacing w:after="0"/>
            </w:pPr>
            <w:r>
              <w:rPr>
                <w:b w:val="0"/>
                <w:i w:val="0"/>
                <w:sz w:val="18"/>
              </w:rPr>
              <w:t>IT and ERP lead</w:t>
            </w:r>
          </w:p>
        </w:tc>
        <w:tc>
          <w:tcPr>
            <w:tcW w:type="dxa" w:w="2145"/>
          </w:tcPr>
          <w:p>
            <w:pPr>
              <w:spacing w:after="0"/>
            </w:pPr>
            <w:r>
              <w:rPr>
                <w:b w:val="0"/>
                <w:i w:val="0"/>
                <w:sz w:val="18"/>
              </w:rPr>
              <w:t>Nicolas Petit</w:t>
            </w:r>
          </w:p>
        </w:tc>
        <w:tc>
          <w:tcPr>
            <w:tcW w:type="dxa" w:w="1755"/>
          </w:tcPr>
          <w:p>
            <w:pPr>
              <w:spacing w:after="0"/>
            </w:pPr>
            <w:r>
              <w:rPr>
                <w:b w:val="0"/>
                <w:i w:val="0"/>
                <w:sz w:val="18"/>
              </w:rPr>
              <w:t>Reviewed</w:t>
            </w:r>
          </w:p>
        </w:tc>
        <w:tc>
          <w:tcPr>
            <w:tcW w:type="dxa" w:w="1950"/>
          </w:tcPr>
          <w:p>
            <w:pPr>
              <w:spacing w:after="0"/>
            </w:pPr>
            <w:r>
              <w:rPr>
                <w:b w:val="0"/>
                <w:i w:val="0"/>
                <w:sz w:val="18"/>
              </w:rPr>
              <w:t>13 May 2026</w:t>
            </w:r>
          </w:p>
        </w:tc>
      </w:tr>
      <w:tr>
        <w:trPr>
          <w:cantSplit w:val="true"/>
        </w:trPr>
        <w:tc>
          <w:tcPr>
            <w:tcW w:type="dxa" w:w="3900"/>
            <w:shd w:val="clear" w:color="auto" w:fill="F7F8FA"/>
          </w:tcPr>
          <w:p>
            <w:pPr>
              <w:spacing w:after="0"/>
            </w:pPr>
            <w:r>
              <w:rPr>
                <w:b w:val="0"/>
                <w:i w:val="0"/>
                <w:sz w:val="18"/>
              </w:rPr>
              <w:t>CFO, project sponsor</w:t>
            </w:r>
          </w:p>
        </w:tc>
        <w:tc>
          <w:tcPr>
            <w:tcW w:type="dxa" w:w="2145"/>
            <w:shd w:val="clear" w:color="auto" w:fill="F7F8FA"/>
          </w:tcPr>
          <w:p>
            <w:pPr>
              <w:spacing w:after="0"/>
            </w:pPr>
            <w:r>
              <w:rPr>
                <w:b w:val="0"/>
                <w:i w:val="0"/>
                <w:sz w:val="18"/>
              </w:rPr>
              <w:t>Marc Dubois</w:t>
            </w:r>
          </w:p>
        </w:tc>
        <w:tc>
          <w:tcPr>
            <w:tcW w:type="dxa" w:w="1755"/>
            <w:shd w:val="clear" w:color="auto" w:fill="F7F8FA"/>
          </w:tcPr>
          <w:p>
            <w:pPr>
              <w:spacing w:after="0"/>
            </w:pPr>
            <w:r>
              <w:rPr>
                <w:b/>
                <w:i w:val="0"/>
                <w:sz w:val="18"/>
              </w:rPr>
              <w:t>Approved</w:t>
            </w:r>
          </w:p>
        </w:tc>
        <w:tc>
          <w:tcPr>
            <w:tcW w:type="dxa" w:w="1950"/>
            <w:shd w:val="clear" w:color="auto" w:fill="F7F8FA"/>
          </w:tcPr>
          <w:p>
            <w:pPr>
              <w:spacing w:after="0"/>
            </w:pPr>
            <w:r>
              <w:rPr>
                <w:b w:val="0"/>
                <w:i w:val="0"/>
                <w:sz w:val="18"/>
              </w:rPr>
              <w:t>15 May 2026</w:t>
            </w:r>
          </w:p>
        </w:tc>
      </w:tr>
    </w:tbl>
    <w:p>
      <w:pPr>
        <w:spacing w:after="40"/>
      </w:pPr>
    </w:p>
    <w:p>
      <w:pPr>
        <w:pStyle w:val="Heading2"/>
      </w:pPr>
      <w:r>
        <w:t>Contents</w:t>
      </w:r>
    </w:p>
    <w:p>
      <w:pPr>
        <w:pStyle w:val="ListBullet"/>
      </w:pPr>
      <w:r>
        <w:rPr>
          <w:b w:val="0"/>
          <w:i w:val="0"/>
        </w:rPr>
        <w:t>1. Introduction</w:t>
      </w:r>
    </w:p>
    <w:p>
      <w:pPr>
        <w:pStyle w:val="ListBullet"/>
      </w:pPr>
      <w:r>
        <w:rPr>
          <w:b w:val="0"/>
          <w:i w:val="0"/>
        </w:rPr>
        <w:t>2. Requirements and traceability</w:t>
      </w:r>
    </w:p>
    <w:p>
      <w:pPr>
        <w:pStyle w:val="ListBullet"/>
      </w:pPr>
      <w:r>
        <w:rPr>
          <w:b w:val="0"/>
          <w:i w:val="0"/>
        </w:rPr>
        <w:t>3. Solution overview</w:t>
      </w:r>
    </w:p>
    <w:p>
      <w:pPr>
        <w:pStyle w:val="ListBullet"/>
      </w:pPr>
      <w:r>
        <w:rPr>
          <w:b w:val="0"/>
          <w:i w:val="0"/>
        </w:rPr>
        <w:t>4. Application design</w:t>
      </w:r>
    </w:p>
    <w:p>
      <w:pPr>
        <w:pStyle w:val="ListBullet"/>
      </w:pPr>
      <w:r>
        <w:rPr>
          <w:b w:val="0"/>
          <w:i w:val="0"/>
        </w:rPr>
        <w:t>5. Forms and data entry</w:t>
      </w:r>
    </w:p>
    <w:p>
      <w:pPr>
        <w:pStyle w:val="ListBullet"/>
      </w:pPr>
      <w:r>
        <w:rPr>
          <w:b w:val="0"/>
          <w:i w:val="0"/>
        </w:rPr>
        <w:t>6. Business rules</w:t>
      </w:r>
    </w:p>
    <w:p>
      <w:pPr>
        <w:pStyle w:val="ListBullet"/>
      </w:pPr>
      <w:r>
        <w:rPr>
          <w:b w:val="0"/>
          <w:i w:val="0"/>
        </w:rPr>
        <w:t>7. Data integration</w:t>
      </w:r>
    </w:p>
    <w:p>
      <w:pPr>
        <w:pStyle w:val="ListBullet"/>
      </w:pPr>
      <w:r>
        <w:rPr>
          <w:b w:val="0"/>
          <w:i w:val="0"/>
        </w:rPr>
        <w:t>8. Workflow and approvals</w:t>
      </w:r>
    </w:p>
    <w:p>
      <w:pPr>
        <w:pStyle w:val="ListBullet"/>
      </w:pPr>
      <w:r>
        <w:rPr>
          <w:b w:val="0"/>
          <w:i w:val="0"/>
        </w:rPr>
        <w:t>9. Security</w:t>
      </w:r>
    </w:p>
    <w:p>
      <w:pPr>
        <w:pStyle w:val="ListBullet"/>
      </w:pPr>
      <w:r>
        <w:rPr>
          <w:b w:val="0"/>
          <w:i w:val="0"/>
        </w:rPr>
        <w:t>10. Reporting and analysis</w:t>
      </w:r>
    </w:p>
    <w:p>
      <w:pPr>
        <w:pStyle w:val="ListBullet"/>
      </w:pPr>
      <w:r>
        <w:rPr>
          <w:b w:val="0"/>
          <w:i w:val="0"/>
        </w:rPr>
        <w:t>11. Non-functional requirements</w:t>
      </w:r>
    </w:p>
    <w:p>
      <w:pPr>
        <w:pStyle w:val="ListBullet"/>
      </w:pPr>
      <w:r>
        <w:rPr>
          <w:b w:val="0"/>
          <w:i w:val="0"/>
        </w:rPr>
        <w:t>12. Design decisions</w:t>
      </w:r>
    </w:p>
    <w:p>
      <w:r>
        <w:br w:type="page"/>
      </w:r>
    </w:p>
    <w:p>
      <w:pPr>
        <w:pStyle w:val="Heading1"/>
      </w:pPr>
      <w:r>
        <w:t>1. Introduction</w:t>
      </w:r>
    </w:p>
    <w:p>
      <w:pPr>
        <w:pStyle w:val="Heading2"/>
      </w:pPr>
      <w:r>
        <w:t>1.1 Purpose</w:t>
      </w:r>
    </w:p>
    <w:p>
      <w:r>
        <w:rPr>
          <w:b w:val="0"/>
          <w:i w:val="0"/>
        </w:rPr>
        <w:t>This document describes how Oracle EPM Planning is configured for the forecast and budget process of Maison Lumen SAS. It turns the requirements gathered in the FP&amp;A workshops into a design that the build team configures and the key users test against. Once approved, any change to it goes through the project's change control.</w:t>
      </w:r>
    </w:p>
    <w:p>
      <w:pPr>
        <w:pStyle w:val="Heading2"/>
      </w:pPr>
      <w:r>
        <w:t>1.2 Scope</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4876"/>
        <w:gridCol w:w="4876"/>
      </w:tblGrid>
      <w:tr>
        <w:trPr>
          <w:tblHeader w:val="true"/>
        </w:trPr>
        <w:tc>
          <w:tcPr>
            <w:tcW w:type="dxa" w:w="4876"/>
            <w:shd w:val="clear" w:color="auto" w:fill="2F5D62"/>
          </w:tcPr>
          <w:p>
            <w:r>
              <w:rPr>
                <w:b/>
                <w:i w:val="0"/>
                <w:color w:val="FFFFFF"/>
                <w:sz w:val="18"/>
              </w:rPr>
              <w:t>In scope</w:t>
            </w:r>
          </w:p>
        </w:tc>
        <w:tc>
          <w:tcPr>
            <w:tcW w:type="dxa" w:w="4876"/>
            <w:shd w:val="clear" w:color="auto" w:fill="2F5D62"/>
          </w:tcPr>
          <w:p>
            <w:r>
              <w:rPr>
                <w:b/>
                <w:i w:val="0"/>
                <w:color w:val="FFFFFF"/>
                <w:sz w:val="18"/>
              </w:rPr>
              <w:t>Out of scope (phase 2 or another workstream)</w:t>
            </w:r>
          </w:p>
        </w:tc>
      </w:tr>
      <w:tr>
        <w:trPr>
          <w:cantSplit w:val="true"/>
        </w:trPr>
        <w:tc>
          <w:tcPr>
            <w:tcW w:type="dxa" w:w="4876"/>
          </w:tcPr>
          <w:p>
            <w:pPr>
              <w:spacing w:after="0"/>
            </w:pPr>
            <w:r>
              <w:rPr>
                <w:b w:val="0"/>
                <w:i w:val="0"/>
                <w:sz w:val="18"/>
              </w:rPr>
              <w:t>Monthly rolling forecast of the current year (FY26)</w:t>
            </w:r>
          </w:p>
        </w:tc>
        <w:tc>
          <w:tcPr>
            <w:tcW w:type="dxa" w:w="4876"/>
          </w:tcPr>
          <w:p>
            <w:pPr>
              <w:spacing w:after="0"/>
            </w:pPr>
            <w:r>
              <w:rPr>
                <w:b w:val="0"/>
                <w:i w:val="0"/>
                <w:sz w:val="18"/>
              </w:rPr>
              <w:t>Employee-level workforce planning (request CR-05, phase 2)</w:t>
            </w:r>
          </w:p>
        </w:tc>
      </w:tr>
      <w:tr>
        <w:trPr>
          <w:cantSplit w:val="true"/>
        </w:trPr>
        <w:tc>
          <w:tcPr>
            <w:tcW w:type="dxa" w:w="4876"/>
            <w:shd w:val="clear" w:color="auto" w:fill="F7F8FA"/>
          </w:tcPr>
          <w:p>
            <w:pPr>
              <w:spacing w:after="0"/>
            </w:pPr>
            <w:r>
              <w:rPr>
                <w:b w:val="0"/>
                <w:i w:val="0"/>
                <w:sz w:val="18"/>
              </w:rPr>
              <w:t>FY27 budget with submission and approval by site</w:t>
            </w:r>
          </w:p>
        </w:tc>
        <w:tc>
          <w:tcPr>
            <w:tcW w:type="dxa" w:w="4876"/>
            <w:shd w:val="clear" w:color="auto" w:fill="F7F8FA"/>
          </w:tcPr>
          <w:p>
            <w:pPr>
              <w:spacing w:after="0"/>
            </w:pPr>
            <w:r>
              <w:rPr>
                <w:b w:val="0"/>
                <w:i w:val="0"/>
                <w:sz w:val="18"/>
              </w:rPr>
              <w:t>Capital expenditure, balance sheet and cash-flow planning</w:t>
            </w:r>
          </w:p>
        </w:tc>
      </w:tr>
      <w:tr>
        <w:trPr>
          <w:cantSplit w:val="true"/>
        </w:trPr>
        <w:tc>
          <w:tcPr>
            <w:tcW w:type="dxa" w:w="4876"/>
          </w:tcPr>
          <w:p>
            <w:pPr>
              <w:spacing w:after="0"/>
            </w:pPr>
            <w:r>
              <w:rPr>
                <w:b w:val="0"/>
                <w:i w:val="0"/>
                <w:sz w:val="18"/>
              </w:rPr>
              <w:t>Driver-based revenue and payroll, head-office cost allocation</w:t>
            </w:r>
          </w:p>
        </w:tc>
        <w:tc>
          <w:tcPr>
            <w:tcW w:type="dxa" w:w="4876"/>
          </w:tcPr>
          <w:p>
            <w:pPr>
              <w:spacing w:after="0"/>
            </w:pPr>
            <w:r>
              <w:rPr>
                <w:b w:val="0"/>
                <w:i w:val="0"/>
                <w:sz w:val="18"/>
              </w:rPr>
              <w:t>Subsidiaries in the UK, the US and India (consolidated in FCCS)</w:t>
            </w:r>
          </w:p>
        </w:tc>
      </w:tr>
      <w:tr>
        <w:trPr>
          <w:cantSplit w:val="true"/>
        </w:trPr>
        <w:tc>
          <w:tcPr>
            <w:tcW w:type="dxa" w:w="4876"/>
            <w:shd w:val="clear" w:color="auto" w:fill="F7F8FA"/>
          </w:tcPr>
          <w:p>
            <w:pPr>
              <w:spacing w:after="0"/>
            </w:pPr>
            <w:r>
              <w:rPr>
                <w:b w:val="0"/>
                <w:i w:val="0"/>
                <w:sz w:val="18"/>
              </w:rPr>
              <w:t>Monthly load of actuals from the ERP</w:t>
            </w:r>
          </w:p>
        </w:tc>
        <w:tc>
          <w:tcPr>
            <w:tcW w:type="dxa" w:w="4876"/>
            <w:shd w:val="clear" w:color="auto" w:fill="F7F8FA"/>
          </w:tcPr>
          <w:p>
            <w:pPr>
              <w:spacing w:after="0"/>
            </w:pPr>
            <w:r>
              <w:rPr>
                <w:b w:val="0"/>
                <w:i w:val="0"/>
                <w:sz w:val="18"/>
              </w:rPr>
              <w:t>Integration with the payroll system</w:t>
            </w:r>
          </w:p>
        </w:tc>
      </w:tr>
      <w:tr>
        <w:trPr>
          <w:cantSplit w:val="true"/>
        </w:trPr>
        <w:tc>
          <w:tcPr>
            <w:tcW w:type="dxa" w:w="4876"/>
          </w:tcPr>
          <w:p>
            <w:pPr>
              <w:spacing w:after="0"/>
            </w:pPr>
            <w:r>
              <w:rPr>
                <w:b w:val="0"/>
                <w:i w:val="0"/>
                <w:sz w:val="18"/>
              </w:rPr>
              <w:t>What-if simulation and variance analysis</w:t>
            </w:r>
          </w:p>
        </w:tc>
        <w:tc>
          <w:tcPr>
            <w:tcW w:type="dxa" w:w="4876"/>
          </w:tcPr>
          <w:p>
            <w:pPr>
              <w:spacing w:after="0"/>
            </w:pPr>
            <w:r>
              <w:rPr>
                <w:b w:val="0"/>
                <w:i w:val="0"/>
                <w:sz w:val="18"/>
              </w:rPr>
              <w:t>Management reporting packs (Narrative Reporting)</w:t>
            </w:r>
          </w:p>
        </w:tc>
      </w:tr>
    </w:tbl>
    <w:p>
      <w:pPr>
        <w:spacing w:after="40"/>
      </w:pPr>
    </w:p>
    <w:p>
      <w:pPr>
        <w:pStyle w:val="Heading2"/>
      </w:pPr>
      <w:r>
        <w:t>1.3 Planning calendar</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950"/>
        <w:gridCol w:w="1950"/>
        <w:gridCol w:w="2633"/>
        <w:gridCol w:w="3218"/>
      </w:tblGrid>
      <w:tr>
        <w:trPr>
          <w:tblHeader w:val="true"/>
        </w:trPr>
        <w:tc>
          <w:tcPr>
            <w:tcW w:type="dxa" w:w="1950"/>
            <w:shd w:val="clear" w:color="auto" w:fill="2F5D62"/>
          </w:tcPr>
          <w:p>
            <w:r>
              <w:rPr>
                <w:b/>
                <w:i w:val="0"/>
                <w:color w:val="FFFFFF"/>
                <w:sz w:val="18"/>
              </w:rPr>
              <w:t>Cycle</w:t>
            </w:r>
          </w:p>
        </w:tc>
        <w:tc>
          <w:tcPr>
            <w:tcW w:type="dxa" w:w="1950"/>
            <w:shd w:val="clear" w:color="auto" w:fill="2F5D62"/>
          </w:tcPr>
          <w:p>
            <w:r>
              <w:rPr>
                <w:b/>
                <w:i w:val="0"/>
                <w:color w:val="FFFFFF"/>
                <w:sz w:val="18"/>
              </w:rPr>
              <w:t>Frequency</w:t>
            </w:r>
          </w:p>
        </w:tc>
        <w:tc>
          <w:tcPr>
            <w:tcW w:type="dxa" w:w="2633"/>
            <w:shd w:val="clear" w:color="auto" w:fill="2F5D62"/>
          </w:tcPr>
          <w:p>
            <w:r>
              <w:rPr>
                <w:b/>
                <w:i w:val="0"/>
                <w:color w:val="FFFFFF"/>
                <w:sz w:val="18"/>
              </w:rPr>
              <w:t>Horizon</w:t>
            </w:r>
          </w:p>
        </w:tc>
        <w:tc>
          <w:tcPr>
            <w:tcW w:type="dxa" w:w="3218"/>
            <w:shd w:val="clear" w:color="auto" w:fill="2F5D62"/>
          </w:tcPr>
          <w:p>
            <w:r>
              <w:rPr>
                <w:b/>
                <w:i w:val="0"/>
                <w:color w:val="FFFFFF"/>
                <w:sz w:val="18"/>
              </w:rPr>
              <w:t>Key dates</w:t>
            </w:r>
          </w:p>
        </w:tc>
      </w:tr>
      <w:tr>
        <w:trPr>
          <w:cantSplit w:val="true"/>
        </w:trPr>
        <w:tc>
          <w:tcPr>
            <w:tcW w:type="dxa" w:w="1950"/>
          </w:tcPr>
          <w:p>
            <w:pPr>
              <w:spacing w:after="0"/>
            </w:pPr>
            <w:r>
              <w:rPr>
                <w:b w:val="0"/>
                <w:i w:val="0"/>
                <w:sz w:val="18"/>
              </w:rPr>
              <w:t>Rolling forecast</w:t>
            </w:r>
          </w:p>
        </w:tc>
        <w:tc>
          <w:tcPr>
            <w:tcW w:type="dxa" w:w="1950"/>
          </w:tcPr>
          <w:p>
            <w:pPr>
              <w:spacing w:after="0"/>
            </w:pPr>
            <w:r>
              <w:rPr>
                <w:b w:val="0"/>
                <w:i w:val="0"/>
                <w:sz w:val="18"/>
              </w:rPr>
              <w:t>Monthly, after the ERP close</w:t>
            </w:r>
          </w:p>
        </w:tc>
        <w:tc>
          <w:tcPr>
            <w:tcW w:type="dxa" w:w="2633"/>
          </w:tcPr>
          <w:p>
            <w:pPr>
              <w:spacing w:after="0"/>
            </w:pPr>
            <w:r>
              <w:rPr>
                <w:b w:val="0"/>
                <w:i w:val="0"/>
                <w:sz w:val="18"/>
              </w:rPr>
              <w:t>Current year: closed months as actual, the rest forecast (8+4 in September)</w:t>
            </w:r>
          </w:p>
        </w:tc>
        <w:tc>
          <w:tcPr>
            <w:tcW w:type="dxa" w:w="3218"/>
          </w:tcPr>
          <w:p>
            <w:pPr>
              <w:spacing w:after="0"/>
            </w:pPr>
            <w:r>
              <w:rPr>
                <w:b w:val="0"/>
                <w:i w:val="0"/>
                <w:sz w:val="18"/>
              </w:rPr>
              <w:t>Actuals loaded on working day 3, forecast updated days 5 to 8, CFO review day 10</w:t>
            </w:r>
          </w:p>
        </w:tc>
      </w:tr>
      <w:tr>
        <w:trPr>
          <w:cantSplit w:val="true"/>
        </w:trPr>
        <w:tc>
          <w:tcPr>
            <w:tcW w:type="dxa" w:w="1950"/>
            <w:shd w:val="clear" w:color="auto" w:fill="F7F8FA"/>
          </w:tcPr>
          <w:p>
            <w:pPr>
              <w:spacing w:after="0"/>
            </w:pPr>
            <w:r>
              <w:rPr>
                <w:b w:val="0"/>
                <w:i w:val="0"/>
                <w:sz w:val="18"/>
              </w:rPr>
              <w:t>Budget FY27</w:t>
            </w:r>
          </w:p>
        </w:tc>
        <w:tc>
          <w:tcPr>
            <w:tcW w:type="dxa" w:w="1950"/>
            <w:shd w:val="clear" w:color="auto" w:fill="F7F8FA"/>
          </w:tcPr>
          <w:p>
            <w:pPr>
              <w:spacing w:after="0"/>
            </w:pPr>
            <w:r>
              <w:rPr>
                <w:b w:val="0"/>
                <w:i w:val="0"/>
                <w:sz w:val="18"/>
              </w:rPr>
              <w:t>Yearly</w:t>
            </w:r>
          </w:p>
        </w:tc>
        <w:tc>
          <w:tcPr>
            <w:tcW w:type="dxa" w:w="2633"/>
            <w:shd w:val="clear" w:color="auto" w:fill="F7F8FA"/>
          </w:tcPr>
          <w:p>
            <w:pPr>
              <w:spacing w:after="0"/>
            </w:pPr>
            <w:r>
              <w:rPr>
                <w:b w:val="0"/>
                <w:i w:val="0"/>
                <w:sz w:val="18"/>
              </w:rPr>
              <w:t>12 months of FY27</w:t>
            </w:r>
          </w:p>
        </w:tc>
        <w:tc>
          <w:tcPr>
            <w:tcW w:type="dxa" w:w="3218"/>
            <w:shd w:val="clear" w:color="auto" w:fill="F7F8FA"/>
          </w:tcPr>
          <w:p>
            <w:pPr>
              <w:spacing w:after="0"/>
            </w:pPr>
            <w:r>
              <w:rPr>
                <w:b w:val="0"/>
                <w:i w:val="0"/>
                <w:sz w:val="18"/>
              </w:rPr>
              <w:t>Launch at the EPBCS go-live (2 November 2026), submission by 27 November, approval by 11 December</w:t>
            </w:r>
          </w:p>
        </w:tc>
      </w:tr>
    </w:tbl>
    <w:p>
      <w:pPr>
        <w:spacing w:after="40"/>
      </w:pPr>
    </w:p>
    <w:p>
      <w:pPr>
        <w:pStyle w:val="Heading2"/>
      </w:pPr>
      <w:r>
        <w:t>1.4 Glossary</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340"/>
        <w:gridCol w:w="7411"/>
      </w:tblGrid>
      <w:tr>
        <w:trPr>
          <w:tblHeader w:val="true"/>
        </w:trPr>
        <w:tc>
          <w:tcPr>
            <w:tcW w:type="dxa" w:w="2340"/>
            <w:shd w:val="clear" w:color="auto" w:fill="2F5D62"/>
          </w:tcPr>
          <w:p>
            <w:r>
              <w:rPr>
                <w:b/>
                <w:i w:val="0"/>
                <w:color w:val="FFFFFF"/>
                <w:sz w:val="18"/>
              </w:rPr>
              <w:t>Term</w:t>
            </w:r>
          </w:p>
        </w:tc>
        <w:tc>
          <w:tcPr>
            <w:tcW w:type="dxa" w:w="7411"/>
            <w:shd w:val="clear" w:color="auto" w:fill="2F5D62"/>
          </w:tcPr>
          <w:p>
            <w:r>
              <w:rPr>
                <w:b/>
                <w:i w:val="0"/>
                <w:color w:val="FFFFFF"/>
                <w:sz w:val="18"/>
              </w:rPr>
              <w:t>Meaning</w:t>
            </w:r>
          </w:p>
        </w:tc>
      </w:tr>
      <w:tr>
        <w:trPr>
          <w:cantSplit w:val="true"/>
        </w:trPr>
        <w:tc>
          <w:tcPr>
            <w:tcW w:type="dxa" w:w="2340"/>
          </w:tcPr>
          <w:p>
            <w:pPr>
              <w:spacing w:after="0"/>
            </w:pPr>
            <w:r>
              <w:rPr>
                <w:b w:val="0"/>
                <w:i w:val="0"/>
                <w:sz w:val="18"/>
              </w:rPr>
              <w:t>Driver</w:t>
            </w:r>
          </w:p>
        </w:tc>
        <w:tc>
          <w:tcPr>
            <w:tcW w:type="dxa" w:w="7411"/>
          </w:tcPr>
          <w:p>
            <w:pPr>
              <w:spacing w:after="0"/>
            </w:pPr>
            <w:r>
              <w:rPr>
                <w:b w:val="0"/>
                <w:i w:val="0"/>
                <w:sz w:val="18"/>
              </w:rPr>
              <w:t>An operational quantity (units, price, headcount, salary) from which amounts are calculated</w:t>
            </w:r>
          </w:p>
        </w:tc>
      </w:tr>
      <w:tr>
        <w:trPr>
          <w:cantSplit w:val="true"/>
        </w:trPr>
        <w:tc>
          <w:tcPr>
            <w:tcW w:type="dxa" w:w="2340"/>
            <w:shd w:val="clear" w:color="auto" w:fill="F7F8FA"/>
          </w:tcPr>
          <w:p>
            <w:pPr>
              <w:spacing w:after="0"/>
            </w:pPr>
            <w:r>
              <w:rPr>
                <w:b w:val="0"/>
                <w:i w:val="0"/>
                <w:sz w:val="18"/>
              </w:rPr>
              <w:t>Planning unit</w:t>
            </w:r>
          </w:p>
        </w:tc>
        <w:tc>
          <w:tcPr>
            <w:tcW w:type="dxa" w:w="7411"/>
            <w:shd w:val="clear" w:color="auto" w:fill="F7F8FA"/>
          </w:tcPr>
          <w:p>
            <w:pPr>
              <w:spacing w:after="0"/>
            </w:pPr>
            <w:r>
              <w:rPr>
                <w:b w:val="0"/>
                <w:i w:val="0"/>
                <w:sz w:val="18"/>
              </w:rPr>
              <w:t>A site's budget, which moves through the approval workflow as one block</w:t>
            </w:r>
          </w:p>
        </w:tc>
      </w:tr>
      <w:tr>
        <w:trPr>
          <w:cantSplit w:val="true"/>
        </w:trPr>
        <w:tc>
          <w:tcPr>
            <w:tcW w:type="dxa" w:w="2340"/>
          </w:tcPr>
          <w:p>
            <w:pPr>
              <w:spacing w:after="0"/>
            </w:pPr>
            <w:r>
              <w:rPr>
                <w:b w:val="0"/>
                <w:i w:val="0"/>
                <w:sz w:val="18"/>
              </w:rPr>
              <w:t>Substitution variable</w:t>
            </w:r>
          </w:p>
        </w:tc>
        <w:tc>
          <w:tcPr>
            <w:tcW w:type="dxa" w:w="7411"/>
          </w:tcPr>
          <w:p>
            <w:pPr>
              <w:spacing w:after="0"/>
            </w:pPr>
            <w:r>
              <w:rPr>
                <w:b w:val="0"/>
                <w:i w:val="0"/>
                <w:sz w:val="18"/>
              </w:rPr>
              <w:t>An application-wide value (for example the closed months) used by forms and rules</w:t>
            </w:r>
          </w:p>
        </w:tc>
      </w:tr>
      <w:tr>
        <w:trPr>
          <w:cantSplit w:val="true"/>
        </w:trPr>
        <w:tc>
          <w:tcPr>
            <w:tcW w:type="dxa" w:w="2340"/>
            <w:shd w:val="clear" w:color="auto" w:fill="F7F8FA"/>
          </w:tcPr>
          <w:p>
            <w:pPr>
              <w:spacing w:after="0"/>
            </w:pPr>
            <w:r>
              <w:rPr>
                <w:b w:val="0"/>
                <w:i w:val="0"/>
                <w:sz w:val="18"/>
              </w:rPr>
              <w:t>Business rule</w:t>
            </w:r>
          </w:p>
        </w:tc>
        <w:tc>
          <w:tcPr>
            <w:tcW w:type="dxa" w:w="7411"/>
            <w:shd w:val="clear" w:color="auto" w:fill="F7F8FA"/>
          </w:tcPr>
          <w:p>
            <w:pPr>
              <w:spacing w:after="0"/>
            </w:pPr>
            <w:r>
              <w:rPr>
                <w:b w:val="0"/>
                <w:i w:val="0"/>
                <w:sz w:val="18"/>
              </w:rPr>
              <w:t>A calculation script run on save or on demand (for example revenue = units × price)</w:t>
            </w:r>
          </w:p>
        </w:tc>
      </w:tr>
      <w:tr>
        <w:trPr>
          <w:cantSplit w:val="true"/>
        </w:trPr>
        <w:tc>
          <w:tcPr>
            <w:tcW w:type="dxa" w:w="2340"/>
          </w:tcPr>
          <w:p>
            <w:pPr>
              <w:spacing w:after="0"/>
            </w:pPr>
            <w:r>
              <w:rPr>
                <w:b w:val="0"/>
                <w:i w:val="0"/>
                <w:sz w:val="18"/>
              </w:rPr>
              <w:t>Working / Final</w:t>
            </w:r>
          </w:p>
        </w:tc>
        <w:tc>
          <w:tcPr>
            <w:tcW w:type="dxa" w:w="7411"/>
          </w:tcPr>
          <w:p>
            <w:pPr>
              <w:spacing w:after="0"/>
            </w:pPr>
            <w:r>
              <w:rPr>
                <w:b w:val="0"/>
                <w:i w:val="0"/>
                <w:sz w:val="18"/>
              </w:rPr>
              <w:t>The editable version of a plan, and its frozen copy once approved</w:t>
            </w:r>
          </w:p>
        </w:tc>
      </w:tr>
      <w:tr>
        <w:trPr>
          <w:cantSplit w:val="true"/>
        </w:trPr>
        <w:tc>
          <w:tcPr>
            <w:tcW w:type="dxa" w:w="2340"/>
            <w:shd w:val="clear" w:color="auto" w:fill="F7F8FA"/>
          </w:tcPr>
          <w:p>
            <w:pPr>
              <w:spacing w:after="0"/>
            </w:pPr>
            <w:r>
              <w:rPr>
                <w:b w:val="0"/>
                <w:i w:val="0"/>
                <w:sz w:val="18"/>
              </w:rPr>
              <w:t>Dense / sparse</w:t>
            </w:r>
          </w:p>
        </w:tc>
        <w:tc>
          <w:tcPr>
            <w:tcW w:type="dxa" w:w="7411"/>
            <w:shd w:val="clear" w:color="auto" w:fill="F7F8FA"/>
          </w:tcPr>
          <w:p>
            <w:pPr>
              <w:spacing w:after="0"/>
            </w:pPr>
            <w:r>
              <w:rPr>
                <w:b w:val="0"/>
                <w:i w:val="0"/>
                <w:sz w:val="18"/>
              </w:rPr>
              <w:t>Storage setting: dense dimensions are mostly filled (accounts, months), sparse ones are not</w:t>
            </w:r>
          </w:p>
        </w:tc>
      </w:tr>
    </w:tbl>
    <w:p>
      <w:pPr>
        <w:spacing w:after="40"/>
      </w:pPr>
    </w:p>
    <w:p>
      <w:pPr>
        <w:pStyle w:val="Heading1"/>
      </w:pPr>
      <w:r>
        <w:t>2. Requirements and traceability</w:t>
      </w:r>
    </w:p>
    <w:p>
      <w:r>
        <w:rPr>
          <w:b w:val="0"/>
          <w:i w:val="0"/>
        </w:rPr>
        <w:t>The requirements come from four FP&amp;A workshops held between 30 March and 24 April 2026. Each one is traced to the design section that answers it, and to the user acceptance test (UAT) case that proves it in the project control workbook.</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877"/>
        <w:gridCol w:w="5363"/>
        <w:gridCol w:w="1072"/>
        <w:gridCol w:w="1072"/>
        <w:gridCol w:w="1365"/>
      </w:tblGrid>
      <w:tr>
        <w:trPr>
          <w:tblHeader w:val="true"/>
        </w:trPr>
        <w:tc>
          <w:tcPr>
            <w:tcW w:type="dxa" w:w="878"/>
            <w:shd w:val="clear" w:color="auto" w:fill="2F5D62"/>
          </w:tcPr>
          <w:p>
            <w:r>
              <w:rPr>
                <w:b/>
                <w:i w:val="0"/>
                <w:color w:val="FFFFFF"/>
                <w:sz w:val="18"/>
              </w:rPr>
              <w:t>ID</w:t>
            </w:r>
          </w:p>
        </w:tc>
        <w:tc>
          <w:tcPr>
            <w:tcW w:type="dxa" w:w="5363"/>
            <w:shd w:val="clear" w:color="auto" w:fill="2F5D62"/>
          </w:tcPr>
          <w:p>
            <w:r>
              <w:rPr>
                <w:b/>
                <w:i w:val="0"/>
                <w:color w:val="FFFFFF"/>
                <w:sz w:val="18"/>
              </w:rPr>
              <w:t>Requirement</w:t>
            </w:r>
          </w:p>
        </w:tc>
        <w:tc>
          <w:tcPr>
            <w:tcW w:type="dxa" w:w="1073"/>
            <w:shd w:val="clear" w:color="auto" w:fill="2F5D62"/>
          </w:tcPr>
          <w:p>
            <w:r>
              <w:rPr>
                <w:b/>
                <w:i w:val="0"/>
                <w:color w:val="FFFFFF"/>
                <w:sz w:val="18"/>
              </w:rPr>
              <w:t>Priority</w:t>
            </w:r>
          </w:p>
        </w:tc>
        <w:tc>
          <w:tcPr>
            <w:tcW w:type="dxa" w:w="1073"/>
            <w:shd w:val="clear" w:color="auto" w:fill="2F5D62"/>
          </w:tcPr>
          <w:p>
            <w:r>
              <w:rPr>
                <w:b/>
                <w:i w:val="0"/>
                <w:color w:val="FFFFFF"/>
                <w:sz w:val="18"/>
              </w:rPr>
              <w:t>Design</w:t>
            </w:r>
          </w:p>
        </w:tc>
        <w:tc>
          <w:tcPr>
            <w:tcW w:type="dxa" w:w="1365"/>
            <w:shd w:val="clear" w:color="auto" w:fill="2F5D62"/>
          </w:tcPr>
          <w:p>
            <w:r>
              <w:rPr>
                <w:b/>
                <w:i w:val="0"/>
                <w:color w:val="FFFFFF"/>
                <w:sz w:val="18"/>
              </w:rPr>
              <w:t>UAT</w:t>
            </w:r>
          </w:p>
        </w:tc>
      </w:tr>
      <w:tr>
        <w:trPr>
          <w:cantSplit w:val="true"/>
        </w:trPr>
        <w:tc>
          <w:tcPr>
            <w:tcW w:type="dxa" w:w="878"/>
          </w:tcPr>
          <w:p>
            <w:pPr>
              <w:spacing w:after="0"/>
            </w:pPr>
            <w:r>
              <w:rPr>
                <w:b w:val="0"/>
                <w:i w:val="0"/>
                <w:sz w:val="18"/>
              </w:rPr>
              <w:t>REQ-01</w:t>
            </w:r>
          </w:p>
        </w:tc>
        <w:tc>
          <w:tcPr>
            <w:tcW w:type="dxa" w:w="5363"/>
          </w:tcPr>
          <w:p>
            <w:pPr>
              <w:spacing w:after="0"/>
            </w:pPr>
            <w:r>
              <w:rPr>
                <w:b w:val="0"/>
                <w:i w:val="0"/>
                <w:sz w:val="18"/>
              </w:rPr>
              <w:t>Forecast the current year monthly, keeping closed months as actuals</w:t>
            </w:r>
          </w:p>
        </w:tc>
        <w:tc>
          <w:tcPr>
            <w:tcW w:type="dxa" w:w="1073"/>
          </w:tcPr>
          <w:p>
            <w:pPr>
              <w:spacing w:after="0"/>
            </w:pPr>
            <w:r>
              <w:rPr>
                <w:b w:val="0"/>
                <w:i w:val="0"/>
                <w:sz w:val="18"/>
              </w:rPr>
              <w:t>Must</w:t>
            </w:r>
          </w:p>
        </w:tc>
        <w:tc>
          <w:tcPr>
            <w:tcW w:type="dxa" w:w="1073"/>
          </w:tcPr>
          <w:p>
            <w:pPr>
              <w:spacing w:after="0"/>
            </w:pPr>
            <w:r>
              <w:rPr>
                <w:b w:val="0"/>
                <w:i w:val="0"/>
                <w:sz w:val="18"/>
              </w:rPr>
              <w:t>4.4, 7.3</w:t>
            </w:r>
          </w:p>
        </w:tc>
        <w:tc>
          <w:tcPr>
            <w:tcW w:type="dxa" w:w="1365"/>
          </w:tcPr>
          <w:p>
            <w:pPr>
              <w:spacing w:after="0"/>
            </w:pPr>
            <w:r>
              <w:rPr>
                <w:b w:val="0"/>
                <w:i w:val="0"/>
                <w:sz w:val="18"/>
              </w:rPr>
              <w:t>U08</w:t>
            </w:r>
          </w:p>
        </w:tc>
      </w:tr>
      <w:tr>
        <w:trPr>
          <w:cantSplit w:val="true"/>
        </w:trPr>
        <w:tc>
          <w:tcPr>
            <w:tcW w:type="dxa" w:w="878"/>
            <w:shd w:val="clear" w:color="auto" w:fill="F7F8FA"/>
          </w:tcPr>
          <w:p>
            <w:pPr>
              <w:spacing w:after="0"/>
            </w:pPr>
            <w:r>
              <w:rPr>
                <w:b w:val="0"/>
                <w:i w:val="0"/>
                <w:sz w:val="18"/>
              </w:rPr>
              <w:t>REQ-02</w:t>
            </w:r>
          </w:p>
        </w:tc>
        <w:tc>
          <w:tcPr>
            <w:tcW w:type="dxa" w:w="5363"/>
            <w:shd w:val="clear" w:color="auto" w:fill="F7F8FA"/>
          </w:tcPr>
          <w:p>
            <w:pPr>
              <w:spacing w:after="0"/>
            </w:pPr>
            <w:r>
              <w:rPr>
                <w:b w:val="0"/>
                <w:i w:val="0"/>
                <w:sz w:val="18"/>
              </w:rPr>
              <w:t>Build revenue from units sold and the average selling price of each site</w:t>
            </w:r>
          </w:p>
        </w:tc>
        <w:tc>
          <w:tcPr>
            <w:tcW w:type="dxa" w:w="1073"/>
            <w:shd w:val="clear" w:color="auto" w:fill="F7F8FA"/>
          </w:tcPr>
          <w:p>
            <w:pPr>
              <w:spacing w:after="0"/>
            </w:pPr>
            <w:r>
              <w:rPr>
                <w:b w:val="0"/>
                <w:i w:val="0"/>
                <w:sz w:val="18"/>
              </w:rPr>
              <w:t>Must</w:t>
            </w:r>
          </w:p>
        </w:tc>
        <w:tc>
          <w:tcPr>
            <w:tcW w:type="dxa" w:w="1073"/>
            <w:shd w:val="clear" w:color="auto" w:fill="F7F8FA"/>
          </w:tcPr>
          <w:p>
            <w:pPr>
              <w:spacing w:after="0"/>
            </w:pPr>
            <w:r>
              <w:rPr>
                <w:b w:val="0"/>
                <w:i w:val="0"/>
                <w:sz w:val="18"/>
              </w:rPr>
              <w:t>6</w:t>
            </w:r>
          </w:p>
        </w:tc>
        <w:tc>
          <w:tcPr>
            <w:tcW w:type="dxa" w:w="1365"/>
            <w:shd w:val="clear" w:color="auto" w:fill="F7F8FA"/>
          </w:tcPr>
          <w:p>
            <w:pPr>
              <w:spacing w:after="0"/>
            </w:pPr>
            <w:r>
              <w:rPr>
                <w:b w:val="0"/>
                <w:i w:val="0"/>
                <w:sz w:val="18"/>
              </w:rPr>
              <w:t>U01, U02</w:t>
            </w:r>
          </w:p>
        </w:tc>
      </w:tr>
      <w:tr>
        <w:trPr>
          <w:cantSplit w:val="true"/>
        </w:trPr>
        <w:tc>
          <w:tcPr>
            <w:tcW w:type="dxa" w:w="878"/>
          </w:tcPr>
          <w:p>
            <w:pPr>
              <w:spacing w:after="0"/>
            </w:pPr>
            <w:r>
              <w:rPr>
                <w:b w:val="0"/>
                <w:i w:val="0"/>
                <w:sz w:val="18"/>
              </w:rPr>
              <w:t>REQ-03</w:t>
            </w:r>
          </w:p>
        </w:tc>
        <w:tc>
          <w:tcPr>
            <w:tcW w:type="dxa" w:w="5363"/>
          </w:tcPr>
          <w:p>
            <w:pPr>
              <w:spacing w:after="0"/>
            </w:pPr>
            <w:r>
              <w:rPr>
                <w:b w:val="0"/>
                <w:i w:val="0"/>
                <w:sz w:val="18"/>
              </w:rPr>
              <w:t>Calculate payroll from headcount and average salary, with the 13th month in December</w:t>
            </w:r>
          </w:p>
        </w:tc>
        <w:tc>
          <w:tcPr>
            <w:tcW w:type="dxa" w:w="1073"/>
          </w:tcPr>
          <w:p>
            <w:pPr>
              <w:spacing w:after="0"/>
            </w:pPr>
            <w:r>
              <w:rPr>
                <w:b w:val="0"/>
                <w:i w:val="0"/>
                <w:sz w:val="18"/>
              </w:rPr>
              <w:t>Must</w:t>
            </w:r>
          </w:p>
        </w:tc>
        <w:tc>
          <w:tcPr>
            <w:tcW w:type="dxa" w:w="1073"/>
          </w:tcPr>
          <w:p>
            <w:pPr>
              <w:spacing w:after="0"/>
            </w:pPr>
            <w:r>
              <w:rPr>
                <w:b w:val="0"/>
                <w:i w:val="0"/>
                <w:sz w:val="18"/>
              </w:rPr>
              <w:t>6</w:t>
            </w:r>
          </w:p>
        </w:tc>
        <w:tc>
          <w:tcPr>
            <w:tcW w:type="dxa" w:w="1365"/>
          </w:tcPr>
          <w:p>
            <w:pPr>
              <w:spacing w:after="0"/>
            </w:pPr>
            <w:r>
              <w:rPr>
                <w:b w:val="0"/>
                <w:i w:val="0"/>
                <w:sz w:val="18"/>
              </w:rPr>
              <w:t>U03</w:t>
            </w:r>
          </w:p>
        </w:tc>
      </w:tr>
      <w:tr>
        <w:trPr>
          <w:cantSplit w:val="true"/>
        </w:trPr>
        <w:tc>
          <w:tcPr>
            <w:tcW w:type="dxa" w:w="878"/>
            <w:shd w:val="clear" w:color="auto" w:fill="F7F8FA"/>
          </w:tcPr>
          <w:p>
            <w:pPr>
              <w:spacing w:after="0"/>
            </w:pPr>
            <w:r>
              <w:rPr>
                <w:b w:val="0"/>
                <w:i w:val="0"/>
                <w:sz w:val="18"/>
              </w:rPr>
              <w:t>REQ-04</w:t>
            </w:r>
          </w:p>
        </w:tc>
        <w:tc>
          <w:tcPr>
            <w:tcW w:type="dxa" w:w="5363"/>
            <w:shd w:val="clear" w:color="auto" w:fill="F7F8FA"/>
          </w:tcPr>
          <w:p>
            <w:pPr>
              <w:spacing w:after="0"/>
            </w:pPr>
            <w:r>
              <w:rPr>
                <w:b w:val="0"/>
                <w:i w:val="0"/>
                <w:sz w:val="18"/>
              </w:rPr>
              <w:t>Allocate Lyon head-office costs to the Paris and Lille sites</w:t>
            </w:r>
          </w:p>
        </w:tc>
        <w:tc>
          <w:tcPr>
            <w:tcW w:type="dxa" w:w="1073"/>
            <w:shd w:val="clear" w:color="auto" w:fill="F7F8FA"/>
          </w:tcPr>
          <w:p>
            <w:pPr>
              <w:spacing w:after="0"/>
            </w:pPr>
            <w:r>
              <w:rPr>
                <w:b w:val="0"/>
                <w:i w:val="0"/>
                <w:sz w:val="18"/>
              </w:rPr>
              <w:t>Must</w:t>
            </w:r>
          </w:p>
        </w:tc>
        <w:tc>
          <w:tcPr>
            <w:tcW w:type="dxa" w:w="1073"/>
            <w:shd w:val="clear" w:color="auto" w:fill="F7F8FA"/>
          </w:tcPr>
          <w:p>
            <w:pPr>
              <w:spacing w:after="0"/>
            </w:pPr>
            <w:r>
              <w:rPr>
                <w:b w:val="0"/>
                <w:i w:val="0"/>
                <w:sz w:val="18"/>
              </w:rPr>
              <w:t>6</w:t>
            </w:r>
          </w:p>
        </w:tc>
        <w:tc>
          <w:tcPr>
            <w:tcW w:type="dxa" w:w="1365"/>
            <w:shd w:val="clear" w:color="auto" w:fill="F7F8FA"/>
          </w:tcPr>
          <w:p>
            <w:pPr>
              <w:spacing w:after="0"/>
            </w:pPr>
            <w:r>
              <w:rPr>
                <w:b w:val="0"/>
                <w:i w:val="0"/>
                <w:sz w:val="18"/>
              </w:rPr>
              <w:t>U04</w:t>
            </w:r>
          </w:p>
        </w:tc>
      </w:tr>
      <w:tr>
        <w:trPr>
          <w:cantSplit w:val="true"/>
        </w:trPr>
        <w:tc>
          <w:tcPr>
            <w:tcW w:type="dxa" w:w="878"/>
          </w:tcPr>
          <w:p>
            <w:pPr>
              <w:spacing w:after="0"/>
            </w:pPr>
            <w:r>
              <w:rPr>
                <w:b w:val="0"/>
                <w:i w:val="0"/>
                <w:sz w:val="18"/>
              </w:rPr>
              <w:t>REQ-05</w:t>
            </w:r>
          </w:p>
        </w:tc>
        <w:tc>
          <w:tcPr>
            <w:tcW w:type="dxa" w:w="5363"/>
          </w:tcPr>
          <w:p>
            <w:pPr>
              <w:spacing w:after="0"/>
            </w:pPr>
            <w:r>
              <w:rPr>
                <w:b w:val="0"/>
                <w:i w:val="0"/>
                <w:sz w:val="18"/>
              </w:rPr>
              <w:t>Enter an annual total and spread it over the months</w:t>
            </w:r>
          </w:p>
        </w:tc>
        <w:tc>
          <w:tcPr>
            <w:tcW w:type="dxa" w:w="1073"/>
          </w:tcPr>
          <w:p>
            <w:pPr>
              <w:spacing w:after="0"/>
            </w:pPr>
            <w:r>
              <w:rPr>
                <w:b w:val="0"/>
                <w:i w:val="0"/>
                <w:sz w:val="18"/>
              </w:rPr>
              <w:t>Should</w:t>
            </w:r>
          </w:p>
        </w:tc>
        <w:tc>
          <w:tcPr>
            <w:tcW w:type="dxa" w:w="1073"/>
          </w:tcPr>
          <w:p>
            <w:pPr>
              <w:spacing w:after="0"/>
            </w:pPr>
            <w:r>
              <w:rPr>
                <w:b w:val="0"/>
                <w:i w:val="0"/>
                <w:sz w:val="18"/>
              </w:rPr>
              <w:t>5.2</w:t>
            </w:r>
          </w:p>
        </w:tc>
        <w:tc>
          <w:tcPr>
            <w:tcW w:type="dxa" w:w="1365"/>
          </w:tcPr>
          <w:p>
            <w:pPr>
              <w:spacing w:after="0"/>
            </w:pPr>
            <w:r>
              <w:rPr>
                <w:b w:val="0"/>
                <w:i w:val="0"/>
                <w:sz w:val="18"/>
              </w:rPr>
              <w:t>U05</w:t>
            </w:r>
          </w:p>
        </w:tc>
      </w:tr>
      <w:tr>
        <w:trPr>
          <w:cantSplit w:val="true"/>
        </w:trPr>
        <w:tc>
          <w:tcPr>
            <w:tcW w:type="dxa" w:w="878"/>
            <w:shd w:val="clear" w:color="auto" w:fill="F7F8FA"/>
          </w:tcPr>
          <w:p>
            <w:pPr>
              <w:spacing w:after="0"/>
            </w:pPr>
            <w:r>
              <w:rPr>
                <w:b w:val="0"/>
                <w:i w:val="0"/>
                <w:sz w:val="18"/>
              </w:rPr>
              <w:t>REQ-06</w:t>
            </w:r>
          </w:p>
        </w:tc>
        <w:tc>
          <w:tcPr>
            <w:tcW w:type="dxa" w:w="5363"/>
            <w:shd w:val="clear" w:color="auto" w:fill="F7F8FA"/>
          </w:tcPr>
          <w:p>
            <w:pPr>
              <w:spacing w:after="0"/>
            </w:pPr>
            <w:r>
              <w:rPr>
                <w:b w:val="0"/>
                <w:i w:val="0"/>
                <w:sz w:val="18"/>
              </w:rPr>
              <w:t>Submit and approve each site's budget, keeping a frozen approved version</w:t>
            </w:r>
          </w:p>
        </w:tc>
        <w:tc>
          <w:tcPr>
            <w:tcW w:type="dxa" w:w="1073"/>
            <w:shd w:val="clear" w:color="auto" w:fill="F7F8FA"/>
          </w:tcPr>
          <w:p>
            <w:pPr>
              <w:spacing w:after="0"/>
            </w:pPr>
            <w:r>
              <w:rPr>
                <w:b w:val="0"/>
                <w:i w:val="0"/>
                <w:sz w:val="18"/>
              </w:rPr>
              <w:t>Must</w:t>
            </w:r>
          </w:p>
        </w:tc>
        <w:tc>
          <w:tcPr>
            <w:tcW w:type="dxa" w:w="1073"/>
            <w:shd w:val="clear" w:color="auto" w:fill="F7F8FA"/>
          </w:tcPr>
          <w:p>
            <w:pPr>
              <w:spacing w:after="0"/>
            </w:pPr>
            <w:r>
              <w:rPr>
                <w:b w:val="0"/>
                <w:i w:val="0"/>
                <w:sz w:val="18"/>
              </w:rPr>
              <w:t>8</w:t>
            </w:r>
          </w:p>
        </w:tc>
        <w:tc>
          <w:tcPr>
            <w:tcW w:type="dxa" w:w="1365"/>
            <w:shd w:val="clear" w:color="auto" w:fill="F7F8FA"/>
          </w:tcPr>
          <w:p>
            <w:pPr>
              <w:spacing w:after="0"/>
            </w:pPr>
            <w:r>
              <w:rPr>
                <w:b w:val="0"/>
                <w:i w:val="0"/>
                <w:sz w:val="18"/>
              </w:rPr>
              <w:t>U06</w:t>
            </w:r>
          </w:p>
        </w:tc>
      </w:tr>
      <w:tr>
        <w:trPr>
          <w:cantSplit w:val="true"/>
        </w:trPr>
        <w:tc>
          <w:tcPr>
            <w:tcW w:type="dxa" w:w="878"/>
          </w:tcPr>
          <w:p>
            <w:pPr>
              <w:spacing w:after="0"/>
            </w:pPr>
            <w:r>
              <w:rPr>
                <w:b w:val="0"/>
                <w:i w:val="0"/>
                <w:sz w:val="18"/>
              </w:rPr>
              <w:t>REQ-07</w:t>
            </w:r>
          </w:p>
        </w:tc>
        <w:tc>
          <w:tcPr>
            <w:tcW w:type="dxa" w:w="5363"/>
          </w:tcPr>
          <w:p>
            <w:pPr>
              <w:spacing w:after="0"/>
            </w:pPr>
            <w:r>
              <w:rPr>
                <w:b w:val="0"/>
                <w:i w:val="0"/>
                <w:sz w:val="18"/>
              </w:rPr>
              <w:t>Simulate what-if scenarios without changing the plan</w:t>
            </w:r>
          </w:p>
        </w:tc>
        <w:tc>
          <w:tcPr>
            <w:tcW w:type="dxa" w:w="1073"/>
          </w:tcPr>
          <w:p>
            <w:pPr>
              <w:spacing w:after="0"/>
            </w:pPr>
            <w:r>
              <w:rPr>
                <w:b w:val="0"/>
                <w:i w:val="0"/>
                <w:sz w:val="18"/>
              </w:rPr>
              <w:t>Should</w:t>
            </w:r>
          </w:p>
        </w:tc>
        <w:tc>
          <w:tcPr>
            <w:tcW w:type="dxa" w:w="1073"/>
          </w:tcPr>
          <w:p>
            <w:pPr>
              <w:spacing w:after="0"/>
            </w:pPr>
            <w:r>
              <w:rPr>
                <w:b w:val="0"/>
                <w:i w:val="0"/>
                <w:sz w:val="18"/>
              </w:rPr>
              <w:t>5.3</w:t>
            </w:r>
          </w:p>
        </w:tc>
        <w:tc>
          <w:tcPr>
            <w:tcW w:type="dxa" w:w="1365"/>
          </w:tcPr>
          <w:p>
            <w:pPr>
              <w:spacing w:after="0"/>
            </w:pPr>
            <w:r>
              <w:rPr>
                <w:b w:val="0"/>
                <w:i w:val="0"/>
                <w:sz w:val="18"/>
              </w:rPr>
              <w:t>U07</w:t>
            </w:r>
          </w:p>
        </w:tc>
      </w:tr>
      <w:tr>
        <w:trPr>
          <w:cantSplit w:val="true"/>
        </w:trPr>
        <w:tc>
          <w:tcPr>
            <w:tcW w:type="dxa" w:w="878"/>
            <w:shd w:val="clear" w:color="auto" w:fill="F7F8FA"/>
          </w:tcPr>
          <w:p>
            <w:pPr>
              <w:spacing w:after="0"/>
            </w:pPr>
            <w:r>
              <w:rPr>
                <w:b w:val="0"/>
                <w:i w:val="0"/>
                <w:sz w:val="18"/>
              </w:rPr>
              <w:t>REQ-08</w:t>
            </w:r>
          </w:p>
        </w:tc>
        <w:tc>
          <w:tcPr>
            <w:tcW w:type="dxa" w:w="5363"/>
            <w:shd w:val="clear" w:color="auto" w:fill="F7F8FA"/>
          </w:tcPr>
          <w:p>
            <w:pPr>
              <w:spacing w:after="0"/>
            </w:pPr>
            <w:r>
              <w:rPr>
                <w:b w:val="0"/>
                <w:i w:val="0"/>
                <w:sz w:val="18"/>
              </w:rPr>
              <w:t>Load monthly actuals from the ERP and reject unmapped accounts</w:t>
            </w:r>
          </w:p>
        </w:tc>
        <w:tc>
          <w:tcPr>
            <w:tcW w:type="dxa" w:w="1073"/>
            <w:shd w:val="clear" w:color="auto" w:fill="F7F8FA"/>
          </w:tcPr>
          <w:p>
            <w:pPr>
              <w:spacing w:after="0"/>
            </w:pPr>
            <w:r>
              <w:rPr>
                <w:b w:val="0"/>
                <w:i w:val="0"/>
                <w:sz w:val="18"/>
              </w:rPr>
              <w:t>Must</w:t>
            </w:r>
          </w:p>
        </w:tc>
        <w:tc>
          <w:tcPr>
            <w:tcW w:type="dxa" w:w="1073"/>
            <w:shd w:val="clear" w:color="auto" w:fill="F7F8FA"/>
          </w:tcPr>
          <w:p>
            <w:pPr>
              <w:spacing w:after="0"/>
            </w:pPr>
            <w:r>
              <w:rPr>
                <w:b w:val="0"/>
                <w:i w:val="0"/>
                <w:sz w:val="18"/>
              </w:rPr>
              <w:t>7</w:t>
            </w:r>
          </w:p>
        </w:tc>
        <w:tc>
          <w:tcPr>
            <w:tcW w:type="dxa" w:w="1365"/>
            <w:shd w:val="clear" w:color="auto" w:fill="F7F8FA"/>
          </w:tcPr>
          <w:p>
            <w:pPr>
              <w:spacing w:after="0"/>
            </w:pPr>
            <w:r>
              <w:rPr>
                <w:b w:val="0"/>
                <w:i w:val="0"/>
                <w:sz w:val="18"/>
              </w:rPr>
              <w:t>U16, U17</w:t>
            </w:r>
          </w:p>
        </w:tc>
      </w:tr>
      <w:tr>
        <w:trPr>
          <w:cantSplit w:val="true"/>
        </w:trPr>
        <w:tc>
          <w:tcPr>
            <w:tcW w:type="dxa" w:w="878"/>
          </w:tcPr>
          <w:p>
            <w:pPr>
              <w:spacing w:after="0"/>
            </w:pPr>
            <w:r>
              <w:rPr>
                <w:b w:val="0"/>
                <w:i w:val="0"/>
                <w:sz w:val="18"/>
              </w:rPr>
              <w:t>REQ-09</w:t>
            </w:r>
          </w:p>
        </w:tc>
        <w:tc>
          <w:tcPr>
            <w:tcW w:type="dxa" w:w="5363"/>
          </w:tcPr>
          <w:p>
            <w:pPr>
              <w:spacing w:after="0"/>
            </w:pPr>
            <w:r>
              <w:rPr>
                <w:b w:val="0"/>
                <w:i w:val="0"/>
                <w:sz w:val="18"/>
              </w:rPr>
              <w:t>Compare forecast, budget and actuals, with a price, volume and mix analysis</w:t>
            </w:r>
          </w:p>
        </w:tc>
        <w:tc>
          <w:tcPr>
            <w:tcW w:type="dxa" w:w="1073"/>
          </w:tcPr>
          <w:p>
            <w:pPr>
              <w:spacing w:after="0"/>
            </w:pPr>
            <w:r>
              <w:rPr>
                <w:b w:val="0"/>
                <w:i w:val="0"/>
                <w:sz w:val="18"/>
              </w:rPr>
              <w:t>Must</w:t>
            </w:r>
          </w:p>
        </w:tc>
        <w:tc>
          <w:tcPr>
            <w:tcW w:type="dxa" w:w="1073"/>
          </w:tcPr>
          <w:p>
            <w:pPr>
              <w:spacing w:after="0"/>
            </w:pPr>
            <w:r>
              <w:rPr>
                <w:b w:val="0"/>
                <w:i w:val="0"/>
                <w:sz w:val="18"/>
              </w:rPr>
              <w:t>10</w:t>
            </w:r>
          </w:p>
        </w:tc>
        <w:tc>
          <w:tcPr>
            <w:tcW w:type="dxa" w:w="1365"/>
          </w:tcPr>
          <w:p>
            <w:pPr>
              <w:spacing w:after="0"/>
            </w:pPr>
            <w:r>
              <w:rPr>
                <w:b w:val="0"/>
                <w:i w:val="0"/>
                <w:sz w:val="18"/>
              </w:rPr>
              <w:t>U20</w:t>
            </w:r>
          </w:p>
        </w:tc>
      </w:tr>
      <w:tr>
        <w:trPr>
          <w:cantSplit w:val="true"/>
        </w:trPr>
        <w:tc>
          <w:tcPr>
            <w:tcW w:type="dxa" w:w="878"/>
            <w:shd w:val="clear" w:color="auto" w:fill="F7F8FA"/>
          </w:tcPr>
          <w:p>
            <w:pPr>
              <w:spacing w:after="0"/>
            </w:pPr>
            <w:r>
              <w:rPr>
                <w:b w:val="0"/>
                <w:i w:val="0"/>
                <w:sz w:val="18"/>
              </w:rPr>
              <w:t>REQ-10</w:t>
            </w:r>
          </w:p>
        </w:tc>
        <w:tc>
          <w:tcPr>
            <w:tcW w:type="dxa" w:w="5363"/>
            <w:shd w:val="clear" w:color="auto" w:fill="F7F8FA"/>
          </w:tcPr>
          <w:p>
            <w:pPr>
              <w:spacing w:after="0"/>
            </w:pPr>
            <w:r>
              <w:rPr>
                <w:b w:val="0"/>
                <w:i w:val="0"/>
                <w:sz w:val="18"/>
              </w:rPr>
              <w:t>Restrict each site controller to their own site</w:t>
            </w:r>
          </w:p>
        </w:tc>
        <w:tc>
          <w:tcPr>
            <w:tcW w:type="dxa" w:w="1073"/>
            <w:shd w:val="clear" w:color="auto" w:fill="F7F8FA"/>
          </w:tcPr>
          <w:p>
            <w:pPr>
              <w:spacing w:after="0"/>
            </w:pPr>
            <w:r>
              <w:rPr>
                <w:b w:val="0"/>
                <w:i w:val="0"/>
                <w:sz w:val="18"/>
              </w:rPr>
              <w:t>Must</w:t>
            </w:r>
          </w:p>
        </w:tc>
        <w:tc>
          <w:tcPr>
            <w:tcW w:type="dxa" w:w="1073"/>
            <w:shd w:val="clear" w:color="auto" w:fill="F7F8FA"/>
          </w:tcPr>
          <w:p>
            <w:pPr>
              <w:spacing w:after="0"/>
            </w:pPr>
            <w:r>
              <w:rPr>
                <w:b w:val="0"/>
                <w:i w:val="0"/>
                <w:sz w:val="18"/>
              </w:rPr>
              <w:t>9</w:t>
            </w:r>
          </w:p>
        </w:tc>
        <w:tc>
          <w:tcPr>
            <w:tcW w:type="dxa" w:w="1365"/>
            <w:shd w:val="clear" w:color="auto" w:fill="F7F8FA"/>
          </w:tcPr>
          <w:p>
            <w:pPr>
              <w:spacing w:after="0"/>
            </w:pPr>
            <w:r>
              <w:rPr>
                <w:b w:val="0"/>
                <w:i w:val="0"/>
                <w:sz w:val="18"/>
              </w:rPr>
              <w:t>U23, U24</w:t>
            </w:r>
          </w:p>
        </w:tc>
      </w:tr>
      <w:tr>
        <w:trPr>
          <w:cantSplit w:val="true"/>
        </w:trPr>
        <w:tc>
          <w:tcPr>
            <w:tcW w:type="dxa" w:w="878"/>
          </w:tcPr>
          <w:p>
            <w:pPr>
              <w:spacing w:after="0"/>
            </w:pPr>
            <w:r>
              <w:rPr>
                <w:b w:val="0"/>
                <w:i w:val="0"/>
                <w:sz w:val="18"/>
              </w:rPr>
              <w:t>REQ-11</w:t>
            </w:r>
          </w:p>
        </w:tc>
        <w:tc>
          <w:tcPr>
            <w:tcW w:type="dxa" w:w="5363"/>
          </w:tcPr>
          <w:p>
            <w:pPr>
              <w:spacing w:after="0"/>
            </w:pPr>
            <w:r>
              <w:rPr>
                <w:b w:val="0"/>
                <w:i w:val="0"/>
                <w:sz w:val="18"/>
              </w:rPr>
              <w:t>Keep an audit trail of changes and comments by cell</w:t>
            </w:r>
          </w:p>
        </w:tc>
        <w:tc>
          <w:tcPr>
            <w:tcW w:type="dxa" w:w="1073"/>
          </w:tcPr>
          <w:p>
            <w:pPr>
              <w:spacing w:after="0"/>
            </w:pPr>
            <w:r>
              <w:rPr>
                <w:b w:val="0"/>
                <w:i w:val="0"/>
                <w:sz w:val="18"/>
              </w:rPr>
              <w:t>Should</w:t>
            </w:r>
          </w:p>
        </w:tc>
        <w:tc>
          <w:tcPr>
            <w:tcW w:type="dxa" w:w="1073"/>
          </w:tcPr>
          <w:p>
            <w:pPr>
              <w:spacing w:after="0"/>
            </w:pPr>
            <w:r>
              <w:rPr>
                <w:b w:val="0"/>
                <w:i w:val="0"/>
                <w:sz w:val="18"/>
              </w:rPr>
              <w:t>5.4</w:t>
            </w:r>
          </w:p>
        </w:tc>
        <w:tc>
          <w:tcPr>
            <w:tcW w:type="dxa" w:w="1365"/>
          </w:tcPr>
          <w:p>
            <w:pPr>
              <w:spacing w:after="0"/>
            </w:pPr>
            <w:r>
              <w:rPr>
                <w:b w:val="0"/>
                <w:i w:val="0"/>
                <w:sz w:val="18"/>
              </w:rPr>
              <w:t>U06</w:t>
            </w:r>
          </w:p>
        </w:tc>
      </w:tr>
      <w:tr>
        <w:trPr>
          <w:cantSplit w:val="true"/>
        </w:trPr>
        <w:tc>
          <w:tcPr>
            <w:tcW w:type="dxa" w:w="878"/>
            <w:shd w:val="clear" w:color="auto" w:fill="F7F8FA"/>
          </w:tcPr>
          <w:p>
            <w:pPr>
              <w:spacing w:after="0"/>
            </w:pPr>
            <w:r>
              <w:rPr>
                <w:b w:val="0"/>
                <w:i w:val="0"/>
                <w:sz w:val="18"/>
              </w:rPr>
              <w:t>REQ-12</w:t>
            </w:r>
          </w:p>
        </w:tc>
        <w:tc>
          <w:tcPr>
            <w:tcW w:type="dxa" w:w="5363"/>
            <w:shd w:val="clear" w:color="auto" w:fill="F7F8FA"/>
          </w:tcPr>
          <w:p>
            <w:pPr>
              <w:spacing w:after="0"/>
            </w:pPr>
            <w:r>
              <w:rPr>
                <w:b w:val="0"/>
                <w:i w:val="0"/>
                <w:sz w:val="18"/>
              </w:rPr>
              <w:t>Provide a CFO dashboard</w:t>
            </w:r>
          </w:p>
        </w:tc>
        <w:tc>
          <w:tcPr>
            <w:tcW w:type="dxa" w:w="1073"/>
            <w:shd w:val="clear" w:color="auto" w:fill="F7F8FA"/>
          </w:tcPr>
          <w:p>
            <w:pPr>
              <w:spacing w:after="0"/>
            </w:pPr>
            <w:r>
              <w:rPr>
                <w:b w:val="0"/>
                <w:i w:val="0"/>
                <w:sz w:val="18"/>
              </w:rPr>
              <w:t>Could</w:t>
            </w:r>
          </w:p>
        </w:tc>
        <w:tc>
          <w:tcPr>
            <w:tcW w:type="dxa" w:w="1073"/>
            <w:shd w:val="clear" w:color="auto" w:fill="F7F8FA"/>
          </w:tcPr>
          <w:p>
            <w:pPr>
              <w:spacing w:after="0"/>
            </w:pPr>
            <w:r>
              <w:rPr>
                <w:b w:val="0"/>
                <w:i w:val="0"/>
                <w:sz w:val="18"/>
              </w:rPr>
              <w:t>10</w:t>
            </w:r>
          </w:p>
        </w:tc>
        <w:tc>
          <w:tcPr>
            <w:tcW w:type="dxa" w:w="1365"/>
            <w:shd w:val="clear" w:color="auto" w:fill="F7F8FA"/>
          </w:tcPr>
          <w:p>
            <w:pPr>
              <w:spacing w:after="0"/>
            </w:pPr>
            <w:r>
              <w:rPr>
                <w:b w:val="0"/>
                <w:i w:val="0"/>
                <w:sz w:val="18"/>
              </w:rPr>
              <w:t>U22</w:t>
            </w:r>
          </w:p>
        </w:tc>
      </w:tr>
    </w:tbl>
    <w:p>
      <w:pPr>
        <w:spacing w:after="40"/>
      </w:pPr>
    </w:p>
    <w:tbl>
      <w:tblPr>
        <w:tblW w:type="dxa" w:w="9752"/>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752"/>
      </w:tblGrid>
      <w:tr>
        <w:tc>
          <w:tcPr>
            <w:tcW w:type="dxa" w:w="9751"/>
            <w:shd w:val="clear" w:color="auto" w:fill="FBF3E4"/>
          </w:tcPr>
          <w:p>
            <w:pPr>
              <w:spacing w:after="40"/>
            </w:pPr>
            <w:r>
              <w:rPr>
                <w:b/>
                <w:i w:val="0"/>
                <w:color w:val="8A5410"/>
                <w:sz w:val="21"/>
              </w:rPr>
              <w:t>Prioritisation</w:t>
            </w:r>
          </w:p>
          <w:p>
            <w:r>
              <w:rPr>
                <w:b w:val="0"/>
                <w:i w:val="0"/>
              </w:rPr>
              <w:t xml:space="preserve">Priorities use MoSCoW: </w:t>
            </w:r>
            <w:r>
              <w:rPr>
                <w:b/>
                <w:i w:val="0"/>
              </w:rPr>
              <w:t>Must</w:t>
            </w:r>
            <w:r>
              <w:rPr>
                <w:b w:val="0"/>
                <w:i w:val="0"/>
              </w:rPr>
              <w:t xml:space="preserve"> items are required for the go-live, </w:t>
            </w:r>
            <w:r>
              <w:rPr>
                <w:b/>
                <w:i w:val="0"/>
              </w:rPr>
              <w:t>Should</w:t>
            </w:r>
            <w:r>
              <w:rPr>
                <w:b w:val="0"/>
                <w:i w:val="0"/>
              </w:rPr>
              <w:t xml:space="preserve"> items are expected but could move to a later release, </w:t>
            </w:r>
            <w:r>
              <w:rPr>
                <w:b/>
                <w:i w:val="0"/>
              </w:rPr>
              <w:t>Could</w:t>
            </w:r>
            <w:r>
              <w:rPr>
                <w:b w:val="0"/>
                <w:i w:val="0"/>
              </w:rPr>
              <w:t xml:space="preserve"> items are included only if time allows.</w:t>
            </w:r>
          </w:p>
        </w:tc>
      </w:tr>
    </w:tbl>
    <w:p>
      <w:pPr>
        <w:spacing w:after="40"/>
      </w:pPr>
    </w:p>
    <w:p>
      <w:pPr>
        <w:pStyle w:val="Heading1"/>
      </w:pPr>
      <w:r>
        <w:t>3. Solution overview</w:t>
      </w:r>
    </w:p>
    <w:p>
      <w:r>
        <w:rPr>
          <w:b w:val="0"/>
          <w:i w:val="0"/>
        </w:rPr>
        <w:t>One Oracle EPM Planning application holds actuals, the rolling forecast and the budget of the three French sites of Maison Lumen SAS. Actuals come from the ERP every month; site controllers plan drivers and costs in forms; business rules calculate revenue, payroll and the head-office allocation; the CFO approves each site's budget, which freezes a Final copy.</w:t>
      </w:r>
    </w:p>
    <w:p>
      <w:r>
        <w:drawing>
          <wp:inline xmlns:a="http://schemas.openxmlformats.org/drawingml/2006/main" xmlns:pic="http://schemas.openxmlformats.org/drawingml/2006/picture">
            <wp:extent cx="6192000" cy="2614400"/>
            <wp:docPr id="1" name="Picture 1"/>
            <wp:cNvGraphicFramePr>
              <a:graphicFrameLocks noChangeAspect="1"/>
            </wp:cNvGraphicFramePr>
            <a:graphic>
              <a:graphicData uri="http://schemas.openxmlformats.org/drawingml/2006/picture">
                <pic:pic>
                  <pic:nvPicPr>
                    <pic:cNvPr id="0" name="Lumen-Plan-Solution-Design-Document-fig1.png"/>
                    <pic:cNvPicPr/>
                  </pic:nvPicPr>
                  <pic:blipFill>
                    <a:blip r:embed="rId11"/>
                    <a:stretch>
                      <a:fillRect/>
                    </a:stretch>
                  </pic:blipFill>
                  <pic:spPr>
                    <a:xfrm>
                      <a:off x="0" y="0"/>
                      <a:ext cx="6192000" cy="2614400"/>
                    </a:xfrm>
                    <a:prstGeom prst="rect"/>
                  </pic:spPr>
                </pic:pic>
              </a:graphicData>
            </a:graphic>
          </wp:inline>
        </w:drawing>
      </w:r>
    </w:p>
    <w:p>
      <w:r>
        <w:rPr>
          <w:b w:val="0"/>
          <w:i/>
          <w:color w:val="5B6673"/>
          <w:sz w:val="18"/>
        </w:rPr>
        <w:t>Figure 1. Data flow of the planning solution</w:t>
      </w:r>
    </w:p>
    <w:p>
      <w:pPr>
        <w:pStyle w:val="ListBullet"/>
      </w:pPr>
      <w:r>
        <w:rPr>
          <w:b/>
          <w:i w:val="0"/>
        </w:rPr>
        <w:t>Actuals.</w:t>
      </w:r>
      <w:r>
        <w:rPr>
          <w:b w:val="0"/>
          <w:i w:val="0"/>
        </w:rPr>
        <w:t xml:space="preserve"> The ERP's monthly general-ledger extract is mapped to planning accounts and loaded into Actual FY26.</w:t>
      </w:r>
    </w:p>
    <w:p>
      <w:pPr>
        <w:pStyle w:val="ListBullet"/>
      </w:pPr>
      <w:r>
        <w:rPr>
          <w:b/>
          <w:i w:val="0"/>
        </w:rPr>
        <w:t>Forecast.</w:t>
      </w:r>
      <w:r>
        <w:rPr>
          <w:b w:val="0"/>
          <w:i w:val="0"/>
        </w:rPr>
        <w:t xml:space="preserve"> Closed months of Forecast FY26 take the actuals (substitution variable &amp;ActMonths); open months are planned.</w:t>
      </w:r>
    </w:p>
    <w:p>
      <w:pPr>
        <w:pStyle w:val="ListBullet"/>
      </w:pPr>
      <w:r>
        <w:rPr>
          <w:b/>
          <w:i w:val="0"/>
        </w:rPr>
        <w:t>Budget.</w:t>
      </w:r>
      <w:r>
        <w:rPr>
          <w:b w:val="0"/>
          <w:i w:val="0"/>
        </w:rPr>
        <w:t xml:space="preserve"> Budget FY27 Working is seeded from the forecast, planned by each site, then approved and copied to Final.</w:t>
      </w:r>
    </w:p>
    <w:p>
      <w:pPr>
        <w:pStyle w:val="ListBullet"/>
      </w:pPr>
      <w:r>
        <w:rPr>
          <w:b/>
          <w:i w:val="0"/>
        </w:rPr>
        <w:t>Analysis.</w:t>
      </w:r>
      <w:r>
        <w:rPr>
          <w:b w:val="0"/>
          <w:i w:val="0"/>
        </w:rPr>
        <w:t xml:space="preserve"> Variance analysis compares any two plans, with revenue split into price, volume and mix effects.</w:t>
      </w:r>
    </w:p>
    <w:p>
      <w:pPr>
        <w:pStyle w:val="Heading1"/>
      </w:pPr>
      <w:r>
        <w:t>4. Application design</w:t>
      </w:r>
    </w:p>
    <w:p>
      <w:pPr>
        <w:pStyle w:val="Heading2"/>
      </w:pPr>
      <w:r>
        <w:t>4.1 Dimensions</w:t>
      </w:r>
    </w:p>
    <w:p>
      <w:r>
        <w:rPr>
          <w:b w:val="0"/>
          <w:i w:val="0"/>
        </w:rPr>
        <w:t>The application uses the six dimensions that every EPM Planning application requires, plus a Plan Element dimension that records where each amount comes from. The Currency dimension is not enabled: all three sites report in euros.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560"/>
        <w:gridCol w:w="3705"/>
        <w:gridCol w:w="1170"/>
        <w:gridCol w:w="3315"/>
      </w:tblGrid>
      <w:tr>
        <w:trPr>
          <w:tblHeader w:val="true"/>
        </w:trPr>
        <w:tc>
          <w:tcPr>
            <w:tcW w:type="dxa" w:w="1560"/>
            <w:shd w:val="clear" w:color="auto" w:fill="2F5D62"/>
          </w:tcPr>
          <w:p>
            <w:r>
              <w:rPr>
                <w:b/>
                <w:i w:val="0"/>
                <w:color w:val="FFFFFF"/>
                <w:sz w:val="18"/>
              </w:rPr>
              <w:t>Dimension</w:t>
            </w:r>
          </w:p>
        </w:tc>
        <w:tc>
          <w:tcPr>
            <w:tcW w:type="dxa" w:w="3705"/>
            <w:shd w:val="clear" w:color="auto" w:fill="2F5D62"/>
          </w:tcPr>
          <w:p>
            <w:r>
              <w:rPr>
                <w:b/>
                <w:i w:val="0"/>
                <w:color w:val="FFFFFF"/>
                <w:sz w:val="18"/>
              </w:rPr>
              <w:t>Members (examples)</w:t>
            </w:r>
          </w:p>
        </w:tc>
        <w:tc>
          <w:tcPr>
            <w:tcW w:type="dxa" w:w="1170"/>
            <w:shd w:val="clear" w:color="auto" w:fill="2F5D62"/>
          </w:tcPr>
          <w:p>
            <w:r>
              <w:rPr>
                <w:b/>
                <w:i w:val="0"/>
                <w:color w:val="FFFFFF"/>
                <w:sz w:val="18"/>
              </w:rPr>
              <w:t>Storage</w:t>
            </w:r>
          </w:p>
        </w:tc>
        <w:tc>
          <w:tcPr>
            <w:tcW w:type="dxa" w:w="3315"/>
            <w:shd w:val="clear" w:color="auto" w:fill="2F5D62"/>
          </w:tcPr>
          <w:p>
            <w:r>
              <w:rPr>
                <w:b/>
                <w:i w:val="0"/>
                <w:color w:val="FFFFFF"/>
                <w:sz w:val="18"/>
              </w:rPr>
              <w:t>Notes</w:t>
            </w:r>
          </w:p>
        </w:tc>
      </w:tr>
      <w:tr>
        <w:trPr>
          <w:cantSplit w:val="true"/>
        </w:trPr>
        <w:tc>
          <w:tcPr>
            <w:tcW w:type="dxa" w:w="1560"/>
          </w:tcPr>
          <w:p>
            <w:pPr>
              <w:spacing w:after="0"/>
            </w:pPr>
            <w:r>
              <w:rPr>
                <w:b w:val="0"/>
                <w:i w:val="0"/>
                <w:sz w:val="18"/>
              </w:rPr>
              <w:t>Account</w:t>
            </w:r>
          </w:p>
        </w:tc>
        <w:tc>
          <w:tcPr>
            <w:tcW w:type="dxa" w:w="3705"/>
          </w:tcPr>
          <w:p>
            <w:pPr>
              <w:spacing w:after="0"/>
            </w:pPr>
            <w:r>
              <w:rPr>
                <w:b w:val="0"/>
                <w:i w:val="0"/>
                <w:sz w:val="18"/>
              </w:rPr>
              <w:t>UNITS, PRICE, 706, 607, MB, HC, SAL, 641, 645, 61, 62, 63, ALLOC, EBE, 681, REX</w:t>
            </w:r>
          </w:p>
        </w:tc>
        <w:tc>
          <w:tcPr>
            <w:tcW w:type="dxa" w:w="1170"/>
          </w:tcPr>
          <w:p>
            <w:pPr>
              <w:spacing w:after="0"/>
            </w:pPr>
            <w:r>
              <w:rPr>
                <w:b w:val="0"/>
                <w:i w:val="0"/>
                <w:sz w:val="18"/>
              </w:rPr>
              <w:t>Dense</w:t>
            </w:r>
          </w:p>
        </w:tc>
        <w:tc>
          <w:tcPr>
            <w:tcW w:type="dxa" w:w="3315"/>
          </w:tcPr>
          <w:p>
            <w:pPr>
              <w:spacing w:after="0"/>
            </w:pPr>
            <w:r>
              <w:rPr>
                <w:b w:val="0"/>
                <w:i w:val="0"/>
                <w:sz w:val="18"/>
              </w:rPr>
              <w:t>French chart-of-accounts codes; subtotals are dynamic calculations</w:t>
            </w:r>
          </w:p>
        </w:tc>
      </w:tr>
      <w:tr>
        <w:trPr>
          <w:cantSplit w:val="true"/>
        </w:trPr>
        <w:tc>
          <w:tcPr>
            <w:tcW w:type="dxa" w:w="1560"/>
            <w:shd w:val="clear" w:color="auto" w:fill="F7F8FA"/>
          </w:tcPr>
          <w:p>
            <w:pPr>
              <w:spacing w:after="0"/>
            </w:pPr>
            <w:r>
              <w:rPr>
                <w:b w:val="0"/>
                <w:i w:val="0"/>
                <w:sz w:val="18"/>
              </w:rPr>
              <w:t>Period</w:t>
            </w:r>
          </w:p>
        </w:tc>
        <w:tc>
          <w:tcPr>
            <w:tcW w:type="dxa" w:w="3705"/>
            <w:shd w:val="clear" w:color="auto" w:fill="F7F8FA"/>
          </w:tcPr>
          <w:p>
            <w:pPr>
              <w:spacing w:after="0"/>
            </w:pPr>
            <w:r>
              <w:rPr>
                <w:b w:val="0"/>
                <w:i w:val="0"/>
                <w:sz w:val="18"/>
              </w:rPr>
              <w:t>Jan to Dec, Q1 to Q4, YearTotal</w:t>
            </w:r>
          </w:p>
        </w:tc>
        <w:tc>
          <w:tcPr>
            <w:tcW w:type="dxa" w:w="1170"/>
            <w:shd w:val="clear" w:color="auto" w:fill="F7F8FA"/>
          </w:tcPr>
          <w:p>
            <w:pPr>
              <w:spacing w:after="0"/>
            </w:pPr>
            <w:r>
              <w:rPr>
                <w:b w:val="0"/>
                <w:i w:val="0"/>
                <w:sz w:val="18"/>
              </w:rPr>
              <w:t>Dense</w:t>
            </w:r>
          </w:p>
        </w:tc>
        <w:tc>
          <w:tcPr>
            <w:tcW w:type="dxa" w:w="3315"/>
            <w:shd w:val="clear" w:color="auto" w:fill="F7F8FA"/>
          </w:tcPr>
          <w:p>
            <w:pPr>
              <w:spacing w:after="0"/>
            </w:pPr>
            <w:r>
              <w:rPr>
                <w:b w:val="0"/>
                <w:i w:val="0"/>
                <w:sz w:val="18"/>
              </w:rPr>
              <w:t>Quarters and year total are dynamic calculations</w:t>
            </w:r>
          </w:p>
        </w:tc>
      </w:tr>
      <w:tr>
        <w:trPr>
          <w:cantSplit w:val="true"/>
        </w:trPr>
        <w:tc>
          <w:tcPr>
            <w:tcW w:type="dxa" w:w="1560"/>
          </w:tcPr>
          <w:p>
            <w:pPr>
              <w:spacing w:after="0"/>
            </w:pPr>
            <w:r>
              <w:rPr>
                <w:b w:val="0"/>
                <w:i w:val="0"/>
                <w:sz w:val="18"/>
              </w:rPr>
              <w:t>Entity</w:t>
            </w:r>
          </w:p>
        </w:tc>
        <w:tc>
          <w:tcPr>
            <w:tcW w:type="dxa" w:w="3705"/>
          </w:tcPr>
          <w:p>
            <w:pPr>
              <w:spacing w:after="0"/>
            </w:pPr>
            <w:r>
              <w:rPr>
                <w:b w:val="0"/>
                <w:i w:val="0"/>
                <w:sz w:val="18"/>
              </w:rPr>
              <w:t>Total entities &gt; LYO, PAR, LIL</w:t>
            </w:r>
          </w:p>
        </w:tc>
        <w:tc>
          <w:tcPr>
            <w:tcW w:type="dxa" w:w="1170"/>
          </w:tcPr>
          <w:p>
            <w:pPr>
              <w:spacing w:after="0"/>
            </w:pPr>
            <w:r>
              <w:rPr>
                <w:b w:val="0"/>
                <w:i w:val="0"/>
                <w:sz w:val="18"/>
              </w:rPr>
              <w:t>Sparse</w:t>
            </w:r>
          </w:p>
        </w:tc>
        <w:tc>
          <w:tcPr>
            <w:tcW w:type="dxa" w:w="3315"/>
          </w:tcPr>
          <w:p>
            <w:pPr>
              <w:spacing w:after="0"/>
            </w:pPr>
            <w:r>
              <w:rPr>
                <w:b w:val="0"/>
                <w:i w:val="0"/>
                <w:sz w:val="18"/>
              </w:rPr>
              <w:t>Each site is a workflow planning unit</w:t>
            </w:r>
          </w:p>
        </w:tc>
      </w:tr>
      <w:tr>
        <w:trPr>
          <w:cantSplit w:val="true"/>
        </w:trPr>
        <w:tc>
          <w:tcPr>
            <w:tcW w:type="dxa" w:w="1560"/>
            <w:shd w:val="clear" w:color="auto" w:fill="F7F8FA"/>
          </w:tcPr>
          <w:p>
            <w:pPr>
              <w:spacing w:after="0"/>
            </w:pPr>
            <w:r>
              <w:rPr>
                <w:b w:val="0"/>
                <w:i w:val="0"/>
                <w:sz w:val="18"/>
              </w:rPr>
              <w:t>Years</w:t>
            </w:r>
          </w:p>
        </w:tc>
        <w:tc>
          <w:tcPr>
            <w:tcW w:type="dxa" w:w="3705"/>
            <w:shd w:val="clear" w:color="auto" w:fill="F7F8FA"/>
          </w:tcPr>
          <w:p>
            <w:pPr>
              <w:spacing w:after="0"/>
            </w:pPr>
            <w:r>
              <w:rPr>
                <w:b w:val="0"/>
                <w:i w:val="0"/>
                <w:sz w:val="18"/>
              </w:rPr>
              <w:t>FY26, FY27</w:t>
            </w:r>
          </w:p>
        </w:tc>
        <w:tc>
          <w:tcPr>
            <w:tcW w:type="dxa" w:w="1170"/>
            <w:shd w:val="clear" w:color="auto" w:fill="F7F8FA"/>
          </w:tcPr>
          <w:p>
            <w:pPr>
              <w:spacing w:after="0"/>
            </w:pPr>
            <w:r>
              <w:rPr>
                <w:b w:val="0"/>
                <w:i w:val="0"/>
                <w:sz w:val="18"/>
              </w:rPr>
              <w:t>Sparse</w:t>
            </w:r>
          </w:p>
        </w:tc>
        <w:tc>
          <w:tcPr>
            <w:tcW w:type="dxa" w:w="3315"/>
            <w:shd w:val="clear" w:color="auto" w:fill="F7F8FA"/>
          </w:tcPr>
          <w:p>
            <w:pPr>
              <w:spacing w:after="0"/>
            </w:pPr>
            <w:r>
              <w:rPr>
                <w:b w:val="0"/>
                <w:i w:val="0"/>
                <w:sz w:val="18"/>
              </w:rPr>
              <w:t>Kept apart from Period so every year reuses the same months</w:t>
            </w:r>
          </w:p>
        </w:tc>
      </w:tr>
      <w:tr>
        <w:trPr>
          <w:cantSplit w:val="true"/>
        </w:trPr>
        <w:tc>
          <w:tcPr>
            <w:tcW w:type="dxa" w:w="1560"/>
          </w:tcPr>
          <w:p>
            <w:pPr>
              <w:spacing w:after="0"/>
            </w:pPr>
            <w:r>
              <w:rPr>
                <w:b w:val="0"/>
                <w:i w:val="0"/>
                <w:sz w:val="18"/>
              </w:rPr>
              <w:t>Scenario</w:t>
            </w:r>
          </w:p>
        </w:tc>
        <w:tc>
          <w:tcPr>
            <w:tcW w:type="dxa" w:w="3705"/>
          </w:tcPr>
          <w:p>
            <w:pPr>
              <w:spacing w:after="0"/>
            </w:pPr>
            <w:r>
              <w:rPr>
                <w:b w:val="0"/>
                <w:i w:val="0"/>
                <w:sz w:val="18"/>
              </w:rPr>
              <w:t>Actual, Budget, Forecast</w:t>
            </w:r>
          </w:p>
        </w:tc>
        <w:tc>
          <w:tcPr>
            <w:tcW w:type="dxa" w:w="1170"/>
          </w:tcPr>
          <w:p>
            <w:pPr>
              <w:spacing w:after="0"/>
            </w:pPr>
            <w:r>
              <w:rPr>
                <w:b w:val="0"/>
                <w:i w:val="0"/>
                <w:sz w:val="18"/>
              </w:rPr>
              <w:t>Sparse</w:t>
            </w:r>
          </w:p>
        </w:tc>
        <w:tc>
          <w:tcPr>
            <w:tcW w:type="dxa" w:w="3315"/>
          </w:tcPr>
          <w:p>
            <w:pPr>
              <w:spacing w:after="0"/>
            </w:pPr>
            <w:r>
              <w:rPr>
                <w:b w:val="0"/>
                <w:i w:val="0"/>
                <w:sz w:val="18"/>
              </w:rPr>
              <w:t>Actual is read-only, loaded from the ERP</w:t>
            </w:r>
          </w:p>
        </w:tc>
      </w:tr>
      <w:tr>
        <w:trPr>
          <w:cantSplit w:val="true"/>
        </w:trPr>
        <w:tc>
          <w:tcPr>
            <w:tcW w:type="dxa" w:w="1560"/>
            <w:shd w:val="clear" w:color="auto" w:fill="F7F8FA"/>
          </w:tcPr>
          <w:p>
            <w:pPr>
              <w:spacing w:after="0"/>
            </w:pPr>
            <w:r>
              <w:rPr>
                <w:b w:val="0"/>
                <w:i w:val="0"/>
                <w:sz w:val="18"/>
              </w:rPr>
              <w:t>Version</w:t>
            </w:r>
          </w:p>
        </w:tc>
        <w:tc>
          <w:tcPr>
            <w:tcW w:type="dxa" w:w="3705"/>
            <w:shd w:val="clear" w:color="auto" w:fill="F7F8FA"/>
          </w:tcPr>
          <w:p>
            <w:pPr>
              <w:spacing w:after="0"/>
            </w:pPr>
            <w:r>
              <w:rPr>
                <w:b w:val="0"/>
                <w:i w:val="0"/>
                <w:sz w:val="18"/>
              </w:rPr>
              <w:t>Working, Final</w:t>
            </w:r>
          </w:p>
        </w:tc>
        <w:tc>
          <w:tcPr>
            <w:tcW w:type="dxa" w:w="1170"/>
            <w:shd w:val="clear" w:color="auto" w:fill="F7F8FA"/>
          </w:tcPr>
          <w:p>
            <w:pPr>
              <w:spacing w:after="0"/>
            </w:pPr>
            <w:r>
              <w:rPr>
                <w:b w:val="0"/>
                <w:i w:val="0"/>
                <w:sz w:val="18"/>
              </w:rPr>
              <w:t>Sparse</w:t>
            </w:r>
          </w:p>
        </w:tc>
        <w:tc>
          <w:tcPr>
            <w:tcW w:type="dxa" w:w="3315"/>
            <w:shd w:val="clear" w:color="auto" w:fill="F7F8FA"/>
          </w:tcPr>
          <w:p>
            <w:pPr>
              <w:spacing w:after="0"/>
            </w:pPr>
            <w:r>
              <w:rPr>
                <w:b w:val="0"/>
                <w:i w:val="0"/>
                <w:sz w:val="18"/>
              </w:rPr>
              <w:t>Final is read-only and filled on approval</w:t>
            </w:r>
          </w:p>
        </w:tc>
      </w:tr>
      <w:tr>
        <w:trPr>
          <w:cantSplit w:val="true"/>
        </w:trPr>
        <w:tc>
          <w:tcPr>
            <w:tcW w:type="dxa" w:w="1560"/>
          </w:tcPr>
          <w:p>
            <w:pPr>
              <w:spacing w:after="0"/>
            </w:pPr>
            <w:r>
              <w:rPr>
                <w:b w:val="0"/>
                <w:i w:val="0"/>
                <w:sz w:val="18"/>
              </w:rPr>
              <w:t>Plan Element</w:t>
            </w:r>
          </w:p>
        </w:tc>
        <w:tc>
          <w:tcPr>
            <w:tcW w:type="dxa" w:w="3705"/>
          </w:tcPr>
          <w:p>
            <w:pPr>
              <w:spacing w:after="0"/>
            </w:pPr>
            <w:r>
              <w:rPr>
                <w:b w:val="0"/>
                <w:i w:val="0"/>
                <w:sz w:val="18"/>
              </w:rPr>
              <w:t>Loaded, Calculated, Input</w:t>
            </w:r>
          </w:p>
        </w:tc>
        <w:tc>
          <w:tcPr>
            <w:tcW w:type="dxa" w:w="1170"/>
          </w:tcPr>
          <w:p>
            <w:pPr>
              <w:spacing w:after="0"/>
            </w:pPr>
            <w:r>
              <w:rPr>
                <w:b w:val="0"/>
                <w:i w:val="0"/>
                <w:sz w:val="18"/>
              </w:rPr>
              <w:t>Sparse</w:t>
            </w:r>
          </w:p>
        </w:tc>
        <w:tc>
          <w:tcPr>
            <w:tcW w:type="dxa" w:w="3315"/>
          </w:tcPr>
          <w:p>
            <w:pPr>
              <w:spacing w:after="0"/>
            </w:pPr>
            <w:r>
              <w:rPr>
                <w:b w:val="0"/>
                <w:i w:val="0"/>
                <w:sz w:val="18"/>
              </w:rPr>
              <w:t>Loaded from the ERP, produced by rules, or entered in forms</w:t>
            </w:r>
          </w:p>
        </w:tc>
      </w:tr>
    </w:tbl>
    <w:p>
      <w:pPr>
        <w:spacing w:after="40"/>
      </w:pPr>
    </w:p>
    <w:p>
      <w:pPr>
        <w:pStyle w:val="Heading2"/>
      </w:pPr>
      <w:r>
        <w:t>4.2 Account structure</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877"/>
        <w:gridCol w:w="2925"/>
        <w:gridCol w:w="1267"/>
        <w:gridCol w:w="1365"/>
        <w:gridCol w:w="3315"/>
      </w:tblGrid>
      <w:tr>
        <w:trPr>
          <w:tblHeader w:val="true"/>
        </w:trPr>
        <w:tc>
          <w:tcPr>
            <w:tcW w:type="dxa" w:w="878"/>
            <w:shd w:val="clear" w:color="auto" w:fill="2F5D62"/>
          </w:tcPr>
          <w:p>
            <w:r>
              <w:rPr>
                <w:b/>
                <w:i w:val="0"/>
                <w:color w:val="FFFFFF"/>
                <w:sz w:val="18"/>
              </w:rPr>
              <w:t>Code</w:t>
            </w:r>
          </w:p>
        </w:tc>
        <w:tc>
          <w:tcPr>
            <w:tcW w:type="dxa" w:w="2925"/>
            <w:shd w:val="clear" w:color="auto" w:fill="2F5D62"/>
          </w:tcPr>
          <w:p>
            <w:r>
              <w:rPr>
                <w:b/>
                <w:i w:val="0"/>
                <w:color w:val="FFFFFF"/>
                <w:sz w:val="18"/>
              </w:rPr>
              <w:t>Account</w:t>
            </w:r>
          </w:p>
        </w:tc>
        <w:tc>
          <w:tcPr>
            <w:tcW w:type="dxa" w:w="1268"/>
            <w:shd w:val="clear" w:color="auto" w:fill="2F5D62"/>
          </w:tcPr>
          <w:p>
            <w:r>
              <w:rPr>
                <w:b/>
                <w:i w:val="0"/>
                <w:color w:val="FFFFFF"/>
                <w:sz w:val="18"/>
              </w:rPr>
              <w:t>Type</w:t>
            </w:r>
          </w:p>
        </w:tc>
        <w:tc>
          <w:tcPr>
            <w:tcW w:type="dxa" w:w="1365"/>
            <w:shd w:val="clear" w:color="auto" w:fill="2F5D62"/>
          </w:tcPr>
          <w:p>
            <w:r>
              <w:rPr>
                <w:b/>
                <w:i w:val="0"/>
                <w:color w:val="FFFFFF"/>
                <w:sz w:val="18"/>
              </w:rPr>
              <w:t>Storage</w:t>
            </w:r>
          </w:p>
        </w:tc>
        <w:tc>
          <w:tcPr>
            <w:tcW w:type="dxa" w:w="3315"/>
            <w:shd w:val="clear" w:color="auto" w:fill="2F5D62"/>
          </w:tcPr>
          <w:p>
            <w:r>
              <w:rPr>
                <w:b/>
                <w:i w:val="0"/>
                <w:color w:val="FFFFFF"/>
                <w:sz w:val="18"/>
              </w:rPr>
              <w:t>Source or formula</w:t>
            </w:r>
          </w:p>
        </w:tc>
      </w:tr>
      <w:tr>
        <w:trPr>
          <w:cantSplit w:val="true"/>
        </w:trPr>
        <w:tc>
          <w:tcPr>
            <w:tcW w:type="dxa" w:w="878"/>
          </w:tcPr>
          <w:p>
            <w:pPr>
              <w:spacing w:after="0"/>
            </w:pPr>
            <w:r>
              <w:rPr>
                <w:b w:val="0"/>
                <w:i w:val="0"/>
                <w:sz w:val="18"/>
              </w:rPr>
              <w:t>UNITS</w:t>
            </w:r>
          </w:p>
        </w:tc>
        <w:tc>
          <w:tcPr>
            <w:tcW w:type="dxa" w:w="2925"/>
          </w:tcPr>
          <w:p>
            <w:pPr>
              <w:spacing w:after="0"/>
            </w:pPr>
            <w:r>
              <w:rPr>
                <w:b w:val="0"/>
                <w:i w:val="0"/>
                <w:sz w:val="18"/>
              </w:rPr>
              <w:t>Units sold</w:t>
            </w:r>
          </w:p>
        </w:tc>
        <w:tc>
          <w:tcPr>
            <w:tcW w:type="dxa" w:w="1268"/>
          </w:tcPr>
          <w:p>
            <w:pPr>
              <w:spacing w:after="0"/>
            </w:pPr>
            <w:r>
              <w:rPr>
                <w:b w:val="0"/>
                <w:i w:val="0"/>
                <w:sz w:val="18"/>
              </w:rPr>
              <w:t>Driver</w:t>
            </w:r>
          </w:p>
        </w:tc>
        <w:tc>
          <w:tcPr>
            <w:tcW w:type="dxa" w:w="1365"/>
          </w:tcPr>
          <w:p>
            <w:pPr>
              <w:spacing w:after="0"/>
            </w:pPr>
            <w:r>
              <w:rPr>
                <w:b w:val="0"/>
                <w:i w:val="0"/>
                <w:sz w:val="18"/>
              </w:rPr>
              <w:t>Stored</w:t>
            </w:r>
          </w:p>
        </w:tc>
        <w:tc>
          <w:tcPr>
            <w:tcW w:type="dxa" w:w="3315"/>
          </w:tcPr>
          <w:p>
            <w:pPr>
              <w:spacing w:after="0"/>
            </w:pPr>
            <w:r>
              <w:rPr>
                <w:b w:val="0"/>
                <w:i w:val="0"/>
                <w:sz w:val="18"/>
              </w:rPr>
              <w:t>Input by sales sites; whole number</w:t>
            </w:r>
          </w:p>
        </w:tc>
      </w:tr>
      <w:tr>
        <w:trPr>
          <w:cantSplit w:val="true"/>
        </w:trPr>
        <w:tc>
          <w:tcPr>
            <w:tcW w:type="dxa" w:w="878"/>
            <w:shd w:val="clear" w:color="auto" w:fill="F7F8FA"/>
          </w:tcPr>
          <w:p>
            <w:pPr>
              <w:spacing w:after="0"/>
            </w:pPr>
            <w:r>
              <w:rPr>
                <w:b w:val="0"/>
                <w:i w:val="0"/>
                <w:sz w:val="18"/>
              </w:rPr>
              <w:t>PRICE</w:t>
            </w:r>
          </w:p>
        </w:tc>
        <w:tc>
          <w:tcPr>
            <w:tcW w:type="dxa" w:w="2925"/>
            <w:shd w:val="clear" w:color="auto" w:fill="F7F8FA"/>
          </w:tcPr>
          <w:p>
            <w:pPr>
              <w:spacing w:after="0"/>
            </w:pPr>
            <w:r>
              <w:rPr>
                <w:b w:val="0"/>
                <w:i w:val="0"/>
                <w:sz w:val="18"/>
              </w:rPr>
              <w:t>Average selling price (€)</w:t>
            </w:r>
          </w:p>
        </w:tc>
        <w:tc>
          <w:tcPr>
            <w:tcW w:type="dxa" w:w="1268"/>
            <w:shd w:val="clear" w:color="auto" w:fill="F7F8FA"/>
          </w:tcPr>
          <w:p>
            <w:pPr>
              <w:spacing w:after="0"/>
            </w:pPr>
            <w:r>
              <w:rPr>
                <w:b w:val="0"/>
                <w:i w:val="0"/>
                <w:sz w:val="18"/>
              </w:rPr>
              <w:t>Driver</w:t>
            </w:r>
          </w:p>
        </w:tc>
        <w:tc>
          <w:tcPr>
            <w:tcW w:type="dxa" w:w="1365"/>
            <w:shd w:val="clear" w:color="auto" w:fill="F7F8FA"/>
          </w:tcPr>
          <w:p>
            <w:pPr>
              <w:spacing w:after="0"/>
            </w:pPr>
            <w:r>
              <w:rPr>
                <w:b w:val="0"/>
                <w:i w:val="0"/>
                <w:sz w:val="18"/>
              </w:rPr>
              <w:t>Stored</w:t>
            </w:r>
          </w:p>
        </w:tc>
        <w:tc>
          <w:tcPr>
            <w:tcW w:type="dxa" w:w="3315"/>
            <w:shd w:val="clear" w:color="auto" w:fill="F7F8FA"/>
          </w:tcPr>
          <w:p>
            <w:pPr>
              <w:spacing w:after="0"/>
            </w:pPr>
            <w:r>
              <w:rPr>
                <w:b w:val="0"/>
                <w:i w:val="0"/>
                <w:sz w:val="18"/>
              </w:rPr>
              <w:t>Input; two decimals</w:t>
            </w:r>
          </w:p>
        </w:tc>
      </w:tr>
      <w:tr>
        <w:trPr>
          <w:cantSplit w:val="true"/>
        </w:trPr>
        <w:tc>
          <w:tcPr>
            <w:tcW w:type="dxa" w:w="878"/>
          </w:tcPr>
          <w:p>
            <w:pPr>
              <w:spacing w:after="0"/>
            </w:pPr>
            <w:r>
              <w:rPr>
                <w:b w:val="0"/>
                <w:i w:val="0"/>
                <w:sz w:val="18"/>
              </w:rPr>
              <w:t>706</w:t>
            </w:r>
          </w:p>
        </w:tc>
        <w:tc>
          <w:tcPr>
            <w:tcW w:type="dxa" w:w="2925"/>
          </w:tcPr>
          <w:p>
            <w:pPr>
              <w:spacing w:after="0"/>
            </w:pPr>
            <w:r>
              <w:rPr>
                <w:b w:val="0"/>
                <w:i w:val="0"/>
                <w:sz w:val="18"/>
              </w:rPr>
              <w:t>Revenue</w:t>
            </w:r>
          </w:p>
        </w:tc>
        <w:tc>
          <w:tcPr>
            <w:tcW w:type="dxa" w:w="1268"/>
          </w:tcPr>
          <w:p>
            <w:pPr>
              <w:spacing w:after="0"/>
            </w:pPr>
            <w:r>
              <w:rPr>
                <w:b w:val="0"/>
                <w:i w:val="0"/>
                <w:sz w:val="18"/>
              </w:rPr>
              <w:t>Revenue</w:t>
            </w:r>
          </w:p>
        </w:tc>
        <w:tc>
          <w:tcPr>
            <w:tcW w:type="dxa" w:w="1365"/>
          </w:tcPr>
          <w:p>
            <w:pPr>
              <w:spacing w:after="0"/>
            </w:pPr>
            <w:r>
              <w:rPr>
                <w:b w:val="0"/>
                <w:i w:val="0"/>
                <w:sz w:val="18"/>
              </w:rPr>
              <w:t>Stored</w:t>
            </w:r>
          </w:p>
        </w:tc>
        <w:tc>
          <w:tcPr>
            <w:tcW w:type="dxa" w:w="3315"/>
          </w:tcPr>
          <w:p>
            <w:pPr>
              <w:spacing w:after="0"/>
            </w:pPr>
            <w:r>
              <w:rPr>
                <w:b w:val="0"/>
                <w:i w:val="0"/>
                <w:sz w:val="18"/>
              </w:rPr>
              <w:t>BR_CalcRevenue: UNITS × PRICE</w:t>
            </w:r>
          </w:p>
        </w:tc>
      </w:tr>
      <w:tr>
        <w:trPr>
          <w:cantSplit w:val="true"/>
        </w:trPr>
        <w:tc>
          <w:tcPr>
            <w:tcW w:type="dxa" w:w="878"/>
            <w:shd w:val="clear" w:color="auto" w:fill="F7F8FA"/>
          </w:tcPr>
          <w:p>
            <w:pPr>
              <w:spacing w:after="0"/>
            </w:pPr>
            <w:r>
              <w:rPr>
                <w:b w:val="0"/>
                <w:i w:val="0"/>
                <w:sz w:val="18"/>
              </w:rPr>
              <w:t>607</w:t>
            </w:r>
          </w:p>
        </w:tc>
        <w:tc>
          <w:tcPr>
            <w:tcW w:type="dxa" w:w="2925"/>
            <w:shd w:val="clear" w:color="auto" w:fill="F7F8FA"/>
          </w:tcPr>
          <w:p>
            <w:pPr>
              <w:spacing w:after="0"/>
            </w:pPr>
            <w:r>
              <w:rPr>
                <w:b w:val="0"/>
                <w:i w:val="0"/>
                <w:sz w:val="18"/>
              </w:rPr>
              <w:t>Cost of purchases</w:t>
            </w:r>
          </w:p>
        </w:tc>
        <w:tc>
          <w:tcPr>
            <w:tcW w:type="dxa" w:w="1268"/>
            <w:shd w:val="clear" w:color="auto" w:fill="F7F8FA"/>
          </w:tcPr>
          <w:p>
            <w:pPr>
              <w:spacing w:after="0"/>
            </w:pPr>
            <w:r>
              <w:rPr>
                <w:b w:val="0"/>
                <w:i w:val="0"/>
                <w:sz w:val="18"/>
              </w:rPr>
              <w:t>Expense</w:t>
            </w:r>
          </w:p>
        </w:tc>
        <w:tc>
          <w:tcPr>
            <w:tcW w:type="dxa" w:w="1365"/>
            <w:shd w:val="clear" w:color="auto" w:fill="F7F8FA"/>
          </w:tcPr>
          <w:p>
            <w:pPr>
              <w:spacing w:after="0"/>
            </w:pPr>
            <w:r>
              <w:rPr>
                <w:b w:val="0"/>
                <w:i w:val="0"/>
                <w:sz w:val="18"/>
              </w:rPr>
              <w:t>Stored</w:t>
            </w:r>
          </w:p>
        </w:tc>
        <w:tc>
          <w:tcPr>
            <w:tcW w:type="dxa" w:w="3315"/>
            <w:shd w:val="clear" w:color="auto" w:fill="F7F8FA"/>
          </w:tcPr>
          <w:p>
            <w:pPr>
              <w:spacing w:after="0"/>
            </w:pPr>
            <w:r>
              <w:rPr>
                <w:b w:val="0"/>
                <w:i w:val="0"/>
                <w:sz w:val="18"/>
              </w:rPr>
              <w:t>Input</w:t>
            </w:r>
          </w:p>
        </w:tc>
      </w:tr>
      <w:tr>
        <w:trPr>
          <w:cantSplit w:val="true"/>
        </w:trPr>
        <w:tc>
          <w:tcPr>
            <w:tcW w:type="dxa" w:w="878"/>
          </w:tcPr>
          <w:p>
            <w:pPr>
              <w:spacing w:after="0"/>
            </w:pPr>
            <w:r>
              <w:rPr>
                <w:b w:val="0"/>
                <w:i w:val="0"/>
                <w:sz w:val="18"/>
              </w:rPr>
              <w:t>MB</w:t>
            </w:r>
          </w:p>
        </w:tc>
        <w:tc>
          <w:tcPr>
            <w:tcW w:type="dxa" w:w="2925"/>
          </w:tcPr>
          <w:p>
            <w:pPr>
              <w:spacing w:after="0"/>
            </w:pPr>
            <w:r>
              <w:rPr>
                <w:b w:val="0"/>
                <w:i w:val="0"/>
                <w:sz w:val="18"/>
              </w:rPr>
              <w:t>Gross margin</w:t>
            </w:r>
          </w:p>
        </w:tc>
        <w:tc>
          <w:tcPr>
            <w:tcW w:type="dxa" w:w="1268"/>
          </w:tcPr>
          <w:p>
            <w:pPr>
              <w:spacing w:after="0"/>
            </w:pPr>
            <w:r>
              <w:rPr>
                <w:b w:val="0"/>
                <w:i w:val="0"/>
                <w:sz w:val="18"/>
              </w:rPr>
              <w:t>Revenue</w:t>
            </w:r>
          </w:p>
        </w:tc>
        <w:tc>
          <w:tcPr>
            <w:tcW w:type="dxa" w:w="1365"/>
          </w:tcPr>
          <w:p>
            <w:pPr>
              <w:spacing w:after="0"/>
            </w:pPr>
            <w:r>
              <w:rPr>
                <w:b w:val="0"/>
                <w:i w:val="0"/>
                <w:sz w:val="18"/>
              </w:rPr>
              <w:t>Dynamic</w:t>
            </w:r>
          </w:p>
        </w:tc>
        <w:tc>
          <w:tcPr>
            <w:tcW w:type="dxa" w:w="3315"/>
          </w:tcPr>
          <w:p>
            <w:pPr>
              <w:spacing w:after="0"/>
            </w:pPr>
            <w:r>
              <w:rPr>
                <w:b w:val="0"/>
                <w:i w:val="0"/>
                <w:sz w:val="18"/>
              </w:rPr>
              <w:t>706 − 607</w:t>
            </w:r>
          </w:p>
        </w:tc>
      </w:tr>
      <w:tr>
        <w:trPr>
          <w:cantSplit w:val="true"/>
        </w:trPr>
        <w:tc>
          <w:tcPr>
            <w:tcW w:type="dxa" w:w="878"/>
            <w:shd w:val="clear" w:color="auto" w:fill="F7F8FA"/>
          </w:tcPr>
          <w:p>
            <w:pPr>
              <w:spacing w:after="0"/>
            </w:pPr>
            <w:r>
              <w:rPr>
                <w:b w:val="0"/>
                <w:i w:val="0"/>
                <w:sz w:val="18"/>
              </w:rPr>
              <w:t>HC</w:t>
            </w:r>
          </w:p>
        </w:tc>
        <w:tc>
          <w:tcPr>
            <w:tcW w:type="dxa" w:w="2925"/>
            <w:shd w:val="clear" w:color="auto" w:fill="F7F8FA"/>
          </w:tcPr>
          <w:p>
            <w:pPr>
              <w:spacing w:after="0"/>
            </w:pPr>
            <w:r>
              <w:rPr>
                <w:b w:val="0"/>
                <w:i w:val="0"/>
                <w:sz w:val="18"/>
              </w:rPr>
              <w:t>Average headcount (FTE)</w:t>
            </w:r>
          </w:p>
        </w:tc>
        <w:tc>
          <w:tcPr>
            <w:tcW w:type="dxa" w:w="1268"/>
            <w:shd w:val="clear" w:color="auto" w:fill="F7F8FA"/>
          </w:tcPr>
          <w:p>
            <w:pPr>
              <w:spacing w:after="0"/>
            </w:pPr>
            <w:r>
              <w:rPr>
                <w:b w:val="0"/>
                <w:i w:val="0"/>
                <w:sz w:val="18"/>
              </w:rPr>
              <w:t>Driver</w:t>
            </w:r>
          </w:p>
        </w:tc>
        <w:tc>
          <w:tcPr>
            <w:tcW w:type="dxa" w:w="1365"/>
            <w:shd w:val="clear" w:color="auto" w:fill="F7F8FA"/>
          </w:tcPr>
          <w:p>
            <w:pPr>
              <w:spacing w:after="0"/>
            </w:pPr>
            <w:r>
              <w:rPr>
                <w:b w:val="0"/>
                <w:i w:val="0"/>
                <w:sz w:val="18"/>
              </w:rPr>
              <w:t>Stored</w:t>
            </w:r>
          </w:p>
        </w:tc>
        <w:tc>
          <w:tcPr>
            <w:tcW w:type="dxa" w:w="3315"/>
            <w:shd w:val="clear" w:color="auto" w:fill="F7F8FA"/>
          </w:tcPr>
          <w:p>
            <w:pPr>
              <w:spacing w:after="0"/>
            </w:pPr>
            <w:r>
              <w:rPr>
                <w:b w:val="0"/>
                <w:i w:val="0"/>
                <w:sz w:val="18"/>
              </w:rPr>
              <w:t>Input; one decimal</w:t>
            </w:r>
          </w:p>
        </w:tc>
      </w:tr>
      <w:tr>
        <w:trPr>
          <w:cantSplit w:val="true"/>
        </w:trPr>
        <w:tc>
          <w:tcPr>
            <w:tcW w:type="dxa" w:w="878"/>
          </w:tcPr>
          <w:p>
            <w:pPr>
              <w:spacing w:after="0"/>
            </w:pPr>
            <w:r>
              <w:rPr>
                <w:b w:val="0"/>
                <w:i w:val="0"/>
                <w:sz w:val="18"/>
              </w:rPr>
              <w:t>SAL</w:t>
            </w:r>
          </w:p>
        </w:tc>
        <w:tc>
          <w:tcPr>
            <w:tcW w:type="dxa" w:w="2925"/>
          </w:tcPr>
          <w:p>
            <w:pPr>
              <w:spacing w:after="0"/>
            </w:pPr>
            <w:r>
              <w:rPr>
                <w:b w:val="0"/>
                <w:i w:val="0"/>
                <w:sz w:val="18"/>
              </w:rPr>
              <w:t>Average monthly gross salary (€)</w:t>
            </w:r>
          </w:p>
        </w:tc>
        <w:tc>
          <w:tcPr>
            <w:tcW w:type="dxa" w:w="1268"/>
          </w:tcPr>
          <w:p>
            <w:pPr>
              <w:spacing w:after="0"/>
            </w:pPr>
            <w:r>
              <w:rPr>
                <w:b w:val="0"/>
                <w:i w:val="0"/>
                <w:sz w:val="18"/>
              </w:rPr>
              <w:t>Driver</w:t>
            </w:r>
          </w:p>
        </w:tc>
        <w:tc>
          <w:tcPr>
            <w:tcW w:type="dxa" w:w="1365"/>
          </w:tcPr>
          <w:p>
            <w:pPr>
              <w:spacing w:after="0"/>
            </w:pPr>
            <w:r>
              <w:rPr>
                <w:b w:val="0"/>
                <w:i w:val="0"/>
                <w:sz w:val="18"/>
              </w:rPr>
              <w:t>Stored</w:t>
            </w:r>
          </w:p>
        </w:tc>
        <w:tc>
          <w:tcPr>
            <w:tcW w:type="dxa" w:w="3315"/>
          </w:tcPr>
          <w:p>
            <w:pPr>
              <w:spacing w:after="0"/>
            </w:pPr>
            <w:r>
              <w:rPr>
                <w:b w:val="0"/>
                <w:i w:val="0"/>
                <w:sz w:val="18"/>
              </w:rPr>
              <w:t>Input</w:t>
            </w:r>
          </w:p>
        </w:tc>
      </w:tr>
      <w:tr>
        <w:trPr>
          <w:cantSplit w:val="true"/>
        </w:trPr>
        <w:tc>
          <w:tcPr>
            <w:tcW w:type="dxa" w:w="878"/>
            <w:shd w:val="clear" w:color="auto" w:fill="F7F8FA"/>
          </w:tcPr>
          <w:p>
            <w:pPr>
              <w:spacing w:after="0"/>
            </w:pPr>
            <w:r>
              <w:rPr>
                <w:b w:val="0"/>
                <w:i w:val="0"/>
                <w:sz w:val="18"/>
              </w:rPr>
              <w:t>641</w:t>
            </w:r>
          </w:p>
        </w:tc>
        <w:tc>
          <w:tcPr>
            <w:tcW w:type="dxa" w:w="2925"/>
            <w:shd w:val="clear" w:color="auto" w:fill="F7F8FA"/>
          </w:tcPr>
          <w:p>
            <w:pPr>
              <w:spacing w:after="0"/>
            </w:pPr>
            <w:r>
              <w:rPr>
                <w:b w:val="0"/>
                <w:i w:val="0"/>
                <w:sz w:val="18"/>
              </w:rPr>
              <w:t>Gross salaries</w:t>
            </w:r>
          </w:p>
        </w:tc>
        <w:tc>
          <w:tcPr>
            <w:tcW w:type="dxa" w:w="1268"/>
            <w:shd w:val="clear" w:color="auto" w:fill="F7F8FA"/>
          </w:tcPr>
          <w:p>
            <w:pPr>
              <w:spacing w:after="0"/>
            </w:pPr>
            <w:r>
              <w:rPr>
                <w:b w:val="0"/>
                <w:i w:val="0"/>
                <w:sz w:val="18"/>
              </w:rPr>
              <w:t>Expense</w:t>
            </w:r>
          </w:p>
        </w:tc>
        <w:tc>
          <w:tcPr>
            <w:tcW w:type="dxa" w:w="1365"/>
            <w:shd w:val="clear" w:color="auto" w:fill="F7F8FA"/>
          </w:tcPr>
          <w:p>
            <w:pPr>
              <w:spacing w:after="0"/>
            </w:pPr>
            <w:r>
              <w:rPr>
                <w:b w:val="0"/>
                <w:i w:val="0"/>
                <w:sz w:val="18"/>
              </w:rPr>
              <w:t>Stored</w:t>
            </w:r>
          </w:p>
        </w:tc>
        <w:tc>
          <w:tcPr>
            <w:tcW w:type="dxa" w:w="3315"/>
            <w:shd w:val="clear" w:color="auto" w:fill="F7F8FA"/>
          </w:tcPr>
          <w:p>
            <w:pPr>
              <w:spacing w:after="0"/>
            </w:pPr>
            <w:r>
              <w:rPr>
                <w:b w:val="0"/>
                <w:i w:val="0"/>
                <w:sz w:val="18"/>
              </w:rPr>
              <w:t>BR_CalcPayroll</w:t>
            </w:r>
          </w:p>
        </w:tc>
      </w:tr>
      <w:tr>
        <w:trPr>
          <w:cantSplit w:val="true"/>
        </w:trPr>
        <w:tc>
          <w:tcPr>
            <w:tcW w:type="dxa" w:w="878"/>
          </w:tcPr>
          <w:p>
            <w:pPr>
              <w:spacing w:after="0"/>
            </w:pPr>
            <w:r>
              <w:rPr>
                <w:b w:val="0"/>
                <w:i w:val="0"/>
                <w:sz w:val="18"/>
              </w:rPr>
              <w:t>645</w:t>
            </w:r>
          </w:p>
        </w:tc>
        <w:tc>
          <w:tcPr>
            <w:tcW w:type="dxa" w:w="2925"/>
          </w:tcPr>
          <w:p>
            <w:pPr>
              <w:spacing w:after="0"/>
            </w:pPr>
            <w:r>
              <w:rPr>
                <w:b w:val="0"/>
                <w:i w:val="0"/>
                <w:sz w:val="18"/>
              </w:rPr>
              <w:t>Social charges</w:t>
            </w:r>
          </w:p>
        </w:tc>
        <w:tc>
          <w:tcPr>
            <w:tcW w:type="dxa" w:w="1268"/>
          </w:tcPr>
          <w:p>
            <w:pPr>
              <w:spacing w:after="0"/>
            </w:pPr>
            <w:r>
              <w:rPr>
                <w:b w:val="0"/>
                <w:i w:val="0"/>
                <w:sz w:val="18"/>
              </w:rPr>
              <w:t>Expense</w:t>
            </w:r>
          </w:p>
        </w:tc>
        <w:tc>
          <w:tcPr>
            <w:tcW w:type="dxa" w:w="1365"/>
          </w:tcPr>
          <w:p>
            <w:pPr>
              <w:spacing w:after="0"/>
            </w:pPr>
            <w:r>
              <w:rPr>
                <w:b w:val="0"/>
                <w:i w:val="0"/>
                <w:sz w:val="18"/>
              </w:rPr>
              <w:t>Stored</w:t>
            </w:r>
          </w:p>
        </w:tc>
        <w:tc>
          <w:tcPr>
            <w:tcW w:type="dxa" w:w="3315"/>
          </w:tcPr>
          <w:p>
            <w:pPr>
              <w:spacing w:after="0"/>
            </w:pPr>
            <w:r>
              <w:rPr>
                <w:b w:val="0"/>
                <w:i w:val="0"/>
                <w:sz w:val="18"/>
              </w:rPr>
              <w:t>BR_CalcPayroll: 641 × 42 %</w:t>
            </w:r>
          </w:p>
        </w:tc>
      </w:tr>
      <w:tr>
        <w:trPr>
          <w:cantSplit w:val="true"/>
        </w:trPr>
        <w:tc>
          <w:tcPr>
            <w:tcW w:type="dxa" w:w="878"/>
            <w:shd w:val="clear" w:color="auto" w:fill="F7F8FA"/>
          </w:tcPr>
          <w:p>
            <w:pPr>
              <w:spacing w:after="0"/>
            </w:pPr>
            <w:r>
              <w:rPr>
                <w:b w:val="0"/>
                <w:i w:val="0"/>
                <w:sz w:val="18"/>
              </w:rPr>
              <w:t>61</w:t>
            </w:r>
          </w:p>
        </w:tc>
        <w:tc>
          <w:tcPr>
            <w:tcW w:type="dxa" w:w="2925"/>
            <w:shd w:val="clear" w:color="auto" w:fill="F7F8FA"/>
          </w:tcPr>
          <w:p>
            <w:pPr>
              <w:spacing w:after="0"/>
            </w:pPr>
            <w:r>
              <w:rPr>
                <w:b w:val="0"/>
                <w:i w:val="0"/>
                <w:sz w:val="18"/>
              </w:rPr>
              <w:t>External services (rent, energy)</w:t>
            </w:r>
          </w:p>
        </w:tc>
        <w:tc>
          <w:tcPr>
            <w:tcW w:type="dxa" w:w="1268"/>
            <w:shd w:val="clear" w:color="auto" w:fill="F7F8FA"/>
          </w:tcPr>
          <w:p>
            <w:pPr>
              <w:spacing w:after="0"/>
            </w:pPr>
            <w:r>
              <w:rPr>
                <w:b w:val="0"/>
                <w:i w:val="0"/>
                <w:sz w:val="18"/>
              </w:rPr>
              <w:t>Expense</w:t>
            </w:r>
          </w:p>
        </w:tc>
        <w:tc>
          <w:tcPr>
            <w:tcW w:type="dxa" w:w="1365"/>
            <w:shd w:val="clear" w:color="auto" w:fill="F7F8FA"/>
          </w:tcPr>
          <w:p>
            <w:pPr>
              <w:spacing w:after="0"/>
            </w:pPr>
            <w:r>
              <w:rPr>
                <w:b w:val="0"/>
                <w:i w:val="0"/>
                <w:sz w:val="18"/>
              </w:rPr>
              <w:t>Stored</w:t>
            </w:r>
          </w:p>
        </w:tc>
        <w:tc>
          <w:tcPr>
            <w:tcW w:type="dxa" w:w="3315"/>
            <w:shd w:val="clear" w:color="auto" w:fill="F7F8FA"/>
          </w:tcPr>
          <w:p>
            <w:pPr>
              <w:spacing w:after="0"/>
            </w:pPr>
            <w:r>
              <w:rPr>
                <w:b w:val="0"/>
                <w:i w:val="0"/>
                <w:sz w:val="18"/>
              </w:rPr>
              <w:t>Input</w:t>
            </w:r>
          </w:p>
        </w:tc>
      </w:tr>
      <w:tr>
        <w:trPr>
          <w:cantSplit w:val="true"/>
        </w:trPr>
        <w:tc>
          <w:tcPr>
            <w:tcW w:type="dxa" w:w="878"/>
          </w:tcPr>
          <w:p>
            <w:pPr>
              <w:spacing w:after="0"/>
            </w:pPr>
            <w:r>
              <w:rPr>
                <w:b w:val="0"/>
                <w:i w:val="0"/>
                <w:sz w:val="18"/>
              </w:rPr>
              <w:t>62</w:t>
            </w:r>
          </w:p>
        </w:tc>
        <w:tc>
          <w:tcPr>
            <w:tcW w:type="dxa" w:w="2925"/>
          </w:tcPr>
          <w:p>
            <w:pPr>
              <w:spacing w:after="0"/>
            </w:pPr>
            <w:r>
              <w:rPr>
                <w:b w:val="0"/>
                <w:i w:val="0"/>
                <w:sz w:val="18"/>
              </w:rPr>
              <w:t>Other external services</w:t>
            </w:r>
          </w:p>
        </w:tc>
        <w:tc>
          <w:tcPr>
            <w:tcW w:type="dxa" w:w="1268"/>
          </w:tcPr>
          <w:p>
            <w:pPr>
              <w:spacing w:after="0"/>
            </w:pPr>
            <w:r>
              <w:rPr>
                <w:b w:val="0"/>
                <w:i w:val="0"/>
                <w:sz w:val="18"/>
              </w:rPr>
              <w:t>Expense</w:t>
            </w:r>
          </w:p>
        </w:tc>
        <w:tc>
          <w:tcPr>
            <w:tcW w:type="dxa" w:w="1365"/>
          </w:tcPr>
          <w:p>
            <w:pPr>
              <w:spacing w:after="0"/>
            </w:pPr>
            <w:r>
              <w:rPr>
                <w:b w:val="0"/>
                <w:i w:val="0"/>
                <w:sz w:val="18"/>
              </w:rPr>
              <w:t>Stored</w:t>
            </w:r>
          </w:p>
        </w:tc>
        <w:tc>
          <w:tcPr>
            <w:tcW w:type="dxa" w:w="3315"/>
          </w:tcPr>
          <w:p>
            <w:pPr>
              <w:spacing w:after="0"/>
            </w:pPr>
            <w:r>
              <w:rPr>
                <w:b w:val="0"/>
                <w:i w:val="0"/>
                <w:sz w:val="18"/>
              </w:rPr>
              <w:t>Input</w:t>
            </w:r>
          </w:p>
        </w:tc>
      </w:tr>
      <w:tr>
        <w:trPr>
          <w:cantSplit w:val="true"/>
        </w:trPr>
        <w:tc>
          <w:tcPr>
            <w:tcW w:type="dxa" w:w="878"/>
            <w:shd w:val="clear" w:color="auto" w:fill="F7F8FA"/>
          </w:tcPr>
          <w:p>
            <w:pPr>
              <w:spacing w:after="0"/>
            </w:pPr>
            <w:r>
              <w:rPr>
                <w:b w:val="0"/>
                <w:i w:val="0"/>
                <w:sz w:val="18"/>
              </w:rPr>
              <w:t>63</w:t>
            </w:r>
          </w:p>
        </w:tc>
        <w:tc>
          <w:tcPr>
            <w:tcW w:type="dxa" w:w="2925"/>
            <w:shd w:val="clear" w:color="auto" w:fill="F7F8FA"/>
          </w:tcPr>
          <w:p>
            <w:pPr>
              <w:spacing w:after="0"/>
            </w:pPr>
            <w:r>
              <w:rPr>
                <w:b w:val="0"/>
                <w:i w:val="0"/>
                <w:sz w:val="18"/>
              </w:rPr>
              <w:t>Taxes and duties</w:t>
            </w:r>
          </w:p>
        </w:tc>
        <w:tc>
          <w:tcPr>
            <w:tcW w:type="dxa" w:w="1268"/>
            <w:shd w:val="clear" w:color="auto" w:fill="F7F8FA"/>
          </w:tcPr>
          <w:p>
            <w:pPr>
              <w:spacing w:after="0"/>
            </w:pPr>
            <w:r>
              <w:rPr>
                <w:b w:val="0"/>
                <w:i w:val="0"/>
                <w:sz w:val="18"/>
              </w:rPr>
              <w:t>Expense</w:t>
            </w:r>
          </w:p>
        </w:tc>
        <w:tc>
          <w:tcPr>
            <w:tcW w:type="dxa" w:w="1365"/>
            <w:shd w:val="clear" w:color="auto" w:fill="F7F8FA"/>
          </w:tcPr>
          <w:p>
            <w:pPr>
              <w:spacing w:after="0"/>
            </w:pPr>
            <w:r>
              <w:rPr>
                <w:b w:val="0"/>
                <w:i w:val="0"/>
                <w:sz w:val="18"/>
              </w:rPr>
              <w:t>Stored</w:t>
            </w:r>
          </w:p>
        </w:tc>
        <w:tc>
          <w:tcPr>
            <w:tcW w:type="dxa" w:w="3315"/>
            <w:shd w:val="clear" w:color="auto" w:fill="F7F8FA"/>
          </w:tcPr>
          <w:p>
            <w:pPr>
              <w:spacing w:after="0"/>
            </w:pPr>
            <w:r>
              <w:rPr>
                <w:b w:val="0"/>
                <w:i w:val="0"/>
                <w:sz w:val="18"/>
              </w:rPr>
              <w:t>Input</w:t>
            </w:r>
          </w:p>
        </w:tc>
      </w:tr>
      <w:tr>
        <w:trPr>
          <w:cantSplit w:val="true"/>
        </w:trPr>
        <w:tc>
          <w:tcPr>
            <w:tcW w:type="dxa" w:w="878"/>
          </w:tcPr>
          <w:p>
            <w:pPr>
              <w:spacing w:after="0"/>
            </w:pPr>
            <w:r>
              <w:rPr>
                <w:b w:val="0"/>
                <w:i w:val="0"/>
                <w:sz w:val="18"/>
              </w:rPr>
              <w:t>ALLOC</w:t>
            </w:r>
          </w:p>
        </w:tc>
        <w:tc>
          <w:tcPr>
            <w:tcW w:type="dxa" w:w="2925"/>
          </w:tcPr>
          <w:p>
            <w:pPr>
              <w:spacing w:after="0"/>
            </w:pPr>
            <w:r>
              <w:rPr>
                <w:b w:val="0"/>
                <w:i w:val="0"/>
                <w:sz w:val="18"/>
              </w:rPr>
              <w:t>Head-office cost allocation</w:t>
            </w:r>
          </w:p>
        </w:tc>
        <w:tc>
          <w:tcPr>
            <w:tcW w:type="dxa" w:w="1268"/>
          </w:tcPr>
          <w:p>
            <w:pPr>
              <w:spacing w:after="0"/>
            </w:pPr>
            <w:r>
              <w:rPr>
                <w:b w:val="0"/>
                <w:i w:val="0"/>
                <w:sz w:val="18"/>
              </w:rPr>
              <w:t>Expense</w:t>
            </w:r>
          </w:p>
        </w:tc>
        <w:tc>
          <w:tcPr>
            <w:tcW w:type="dxa" w:w="1365"/>
          </w:tcPr>
          <w:p>
            <w:pPr>
              <w:spacing w:after="0"/>
            </w:pPr>
            <w:r>
              <w:rPr>
                <w:b w:val="0"/>
                <w:i w:val="0"/>
                <w:sz w:val="18"/>
              </w:rPr>
              <w:t>Stored</w:t>
            </w:r>
          </w:p>
        </w:tc>
        <w:tc>
          <w:tcPr>
            <w:tcW w:type="dxa" w:w="3315"/>
          </w:tcPr>
          <w:p>
            <w:pPr>
              <w:spacing w:after="0"/>
            </w:pPr>
            <w:r>
              <w:rPr>
                <w:b w:val="0"/>
                <w:i w:val="0"/>
                <w:sz w:val="18"/>
              </w:rPr>
              <w:t>BR_AllocHQ</w:t>
            </w:r>
          </w:p>
        </w:tc>
      </w:tr>
      <w:tr>
        <w:trPr>
          <w:cantSplit w:val="true"/>
        </w:trPr>
        <w:tc>
          <w:tcPr>
            <w:tcW w:type="dxa" w:w="878"/>
            <w:shd w:val="clear" w:color="auto" w:fill="F7F8FA"/>
          </w:tcPr>
          <w:p>
            <w:pPr>
              <w:spacing w:after="0"/>
            </w:pPr>
            <w:r>
              <w:rPr>
                <w:b w:val="0"/>
                <w:i w:val="0"/>
                <w:sz w:val="18"/>
              </w:rPr>
              <w:t>EBE</w:t>
            </w:r>
          </w:p>
        </w:tc>
        <w:tc>
          <w:tcPr>
            <w:tcW w:type="dxa" w:w="2925"/>
            <w:shd w:val="clear" w:color="auto" w:fill="F7F8FA"/>
          </w:tcPr>
          <w:p>
            <w:pPr>
              <w:spacing w:after="0"/>
            </w:pPr>
            <w:r>
              <w:rPr>
                <w:b w:val="0"/>
                <w:i w:val="0"/>
                <w:sz w:val="18"/>
              </w:rPr>
              <w:t>EBITDA</w:t>
            </w:r>
          </w:p>
        </w:tc>
        <w:tc>
          <w:tcPr>
            <w:tcW w:type="dxa" w:w="1268"/>
            <w:shd w:val="clear" w:color="auto" w:fill="F7F8FA"/>
          </w:tcPr>
          <w:p>
            <w:pPr>
              <w:spacing w:after="0"/>
            </w:pPr>
            <w:r>
              <w:rPr>
                <w:b w:val="0"/>
                <w:i w:val="0"/>
                <w:sz w:val="18"/>
              </w:rPr>
              <w:t>Revenue</w:t>
            </w:r>
          </w:p>
        </w:tc>
        <w:tc>
          <w:tcPr>
            <w:tcW w:type="dxa" w:w="1365"/>
            <w:shd w:val="clear" w:color="auto" w:fill="F7F8FA"/>
          </w:tcPr>
          <w:p>
            <w:pPr>
              <w:spacing w:after="0"/>
            </w:pPr>
            <w:r>
              <w:rPr>
                <w:b w:val="0"/>
                <w:i w:val="0"/>
                <w:sz w:val="18"/>
              </w:rPr>
              <w:t>Dynamic</w:t>
            </w:r>
          </w:p>
        </w:tc>
        <w:tc>
          <w:tcPr>
            <w:tcW w:type="dxa" w:w="3315"/>
            <w:shd w:val="clear" w:color="auto" w:fill="F7F8FA"/>
          </w:tcPr>
          <w:p>
            <w:pPr>
              <w:spacing w:after="0"/>
            </w:pPr>
            <w:r>
              <w:rPr>
                <w:b w:val="0"/>
                <w:i w:val="0"/>
                <w:sz w:val="18"/>
              </w:rPr>
              <w:t>MB − 641 − 645 − 61 − 62 − 63 − ALLOC</w:t>
            </w:r>
          </w:p>
        </w:tc>
      </w:tr>
      <w:tr>
        <w:trPr>
          <w:cantSplit w:val="true"/>
        </w:trPr>
        <w:tc>
          <w:tcPr>
            <w:tcW w:type="dxa" w:w="878"/>
          </w:tcPr>
          <w:p>
            <w:pPr>
              <w:spacing w:after="0"/>
            </w:pPr>
            <w:r>
              <w:rPr>
                <w:b w:val="0"/>
                <w:i w:val="0"/>
                <w:sz w:val="18"/>
              </w:rPr>
              <w:t>681</w:t>
            </w:r>
          </w:p>
        </w:tc>
        <w:tc>
          <w:tcPr>
            <w:tcW w:type="dxa" w:w="2925"/>
          </w:tcPr>
          <w:p>
            <w:pPr>
              <w:spacing w:after="0"/>
            </w:pPr>
            <w:r>
              <w:rPr>
                <w:b w:val="0"/>
                <w:i w:val="0"/>
                <w:sz w:val="18"/>
              </w:rPr>
              <w:t>Depreciation</w:t>
            </w:r>
          </w:p>
        </w:tc>
        <w:tc>
          <w:tcPr>
            <w:tcW w:type="dxa" w:w="1268"/>
          </w:tcPr>
          <w:p>
            <w:pPr>
              <w:spacing w:after="0"/>
            </w:pPr>
            <w:r>
              <w:rPr>
                <w:b w:val="0"/>
                <w:i w:val="0"/>
                <w:sz w:val="18"/>
              </w:rPr>
              <w:t>Expense</w:t>
            </w:r>
          </w:p>
        </w:tc>
        <w:tc>
          <w:tcPr>
            <w:tcW w:type="dxa" w:w="1365"/>
          </w:tcPr>
          <w:p>
            <w:pPr>
              <w:spacing w:after="0"/>
            </w:pPr>
            <w:r>
              <w:rPr>
                <w:b w:val="0"/>
                <w:i w:val="0"/>
                <w:sz w:val="18"/>
              </w:rPr>
              <w:t>Stored</w:t>
            </w:r>
          </w:p>
        </w:tc>
        <w:tc>
          <w:tcPr>
            <w:tcW w:type="dxa" w:w="3315"/>
          </w:tcPr>
          <w:p>
            <w:pPr>
              <w:spacing w:after="0"/>
            </w:pPr>
            <w:r>
              <w:rPr>
                <w:b w:val="0"/>
                <w:i w:val="0"/>
                <w:sz w:val="18"/>
              </w:rPr>
              <w:t>Input</w:t>
            </w:r>
          </w:p>
        </w:tc>
      </w:tr>
      <w:tr>
        <w:trPr>
          <w:cantSplit w:val="true"/>
        </w:trPr>
        <w:tc>
          <w:tcPr>
            <w:tcW w:type="dxa" w:w="878"/>
            <w:shd w:val="clear" w:color="auto" w:fill="F7F8FA"/>
          </w:tcPr>
          <w:p>
            <w:pPr>
              <w:spacing w:after="0"/>
            </w:pPr>
            <w:r>
              <w:rPr>
                <w:b w:val="0"/>
                <w:i w:val="0"/>
                <w:sz w:val="18"/>
              </w:rPr>
              <w:t>REX</w:t>
            </w:r>
          </w:p>
        </w:tc>
        <w:tc>
          <w:tcPr>
            <w:tcW w:type="dxa" w:w="2925"/>
            <w:shd w:val="clear" w:color="auto" w:fill="F7F8FA"/>
          </w:tcPr>
          <w:p>
            <w:pPr>
              <w:spacing w:after="0"/>
            </w:pPr>
            <w:r>
              <w:rPr>
                <w:b w:val="0"/>
                <w:i w:val="0"/>
                <w:sz w:val="18"/>
              </w:rPr>
              <w:t>Operating result</w:t>
            </w:r>
          </w:p>
        </w:tc>
        <w:tc>
          <w:tcPr>
            <w:tcW w:type="dxa" w:w="1268"/>
            <w:shd w:val="clear" w:color="auto" w:fill="F7F8FA"/>
          </w:tcPr>
          <w:p>
            <w:pPr>
              <w:spacing w:after="0"/>
            </w:pPr>
            <w:r>
              <w:rPr>
                <w:b w:val="0"/>
                <w:i w:val="0"/>
                <w:sz w:val="18"/>
              </w:rPr>
              <w:t>Revenue</w:t>
            </w:r>
          </w:p>
        </w:tc>
        <w:tc>
          <w:tcPr>
            <w:tcW w:type="dxa" w:w="1365"/>
            <w:shd w:val="clear" w:color="auto" w:fill="F7F8FA"/>
          </w:tcPr>
          <w:p>
            <w:pPr>
              <w:spacing w:after="0"/>
            </w:pPr>
            <w:r>
              <w:rPr>
                <w:b w:val="0"/>
                <w:i w:val="0"/>
                <w:sz w:val="18"/>
              </w:rPr>
              <w:t>Dynamic</w:t>
            </w:r>
          </w:p>
        </w:tc>
        <w:tc>
          <w:tcPr>
            <w:tcW w:type="dxa" w:w="3315"/>
            <w:shd w:val="clear" w:color="auto" w:fill="F7F8FA"/>
          </w:tcPr>
          <w:p>
            <w:pPr>
              <w:spacing w:after="0"/>
            </w:pPr>
            <w:r>
              <w:rPr>
                <w:b w:val="0"/>
                <w:i w:val="0"/>
                <w:sz w:val="18"/>
              </w:rPr>
              <w:t>EBE − 681</w:t>
            </w:r>
          </w:p>
        </w:tc>
      </w:tr>
    </w:tbl>
    <w:p>
      <w:pPr>
        <w:spacing w:after="40"/>
      </w:pPr>
    </w:p>
    <w:p>
      <w:r>
        <w:rPr>
          <w:b w:val="0"/>
          <w:i w:val="0"/>
        </w:rPr>
        <w:t>Expenses are entered as positive amounts; the account type decides whether a variance is favourable. The head office (LYO) has no sales, so its forms hide UNITS, PRICE, 706, 607 and MB.</w:t>
      </w:r>
    </w:p>
    <w:p>
      <w:pPr>
        <w:pStyle w:val="Heading2"/>
      </w:pPr>
      <w:r>
        <w:t>4.3 Entities and planning units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170"/>
        <w:gridCol w:w="1560"/>
        <w:gridCol w:w="4096"/>
        <w:gridCol w:w="2925"/>
      </w:tblGrid>
      <w:tr>
        <w:trPr>
          <w:tblHeader w:val="true"/>
        </w:trPr>
        <w:tc>
          <w:tcPr>
            <w:tcW w:type="dxa" w:w="1170"/>
            <w:shd w:val="clear" w:color="auto" w:fill="2F5D62"/>
          </w:tcPr>
          <w:p>
            <w:r>
              <w:rPr>
                <w:b/>
                <w:i w:val="0"/>
                <w:color w:val="FFFFFF"/>
                <w:sz w:val="18"/>
              </w:rPr>
              <w:t>Entity</w:t>
            </w:r>
          </w:p>
        </w:tc>
        <w:tc>
          <w:tcPr>
            <w:tcW w:type="dxa" w:w="1560"/>
            <w:shd w:val="clear" w:color="auto" w:fill="2F5D62"/>
          </w:tcPr>
          <w:p>
            <w:r>
              <w:rPr>
                <w:b/>
                <w:i w:val="0"/>
                <w:color w:val="FFFFFF"/>
                <w:sz w:val="18"/>
              </w:rPr>
              <w:t>ERP company</w:t>
            </w:r>
          </w:p>
        </w:tc>
        <w:tc>
          <w:tcPr>
            <w:tcW w:type="dxa" w:w="4095"/>
            <w:shd w:val="clear" w:color="auto" w:fill="2F5D62"/>
          </w:tcPr>
          <w:p>
            <w:r>
              <w:rPr>
                <w:b/>
                <w:i w:val="0"/>
                <w:color w:val="FFFFFF"/>
                <w:sz w:val="18"/>
              </w:rPr>
              <w:t>Role</w:t>
            </w:r>
          </w:p>
        </w:tc>
        <w:tc>
          <w:tcPr>
            <w:tcW w:type="dxa" w:w="2925"/>
            <w:shd w:val="clear" w:color="auto" w:fill="2F5D62"/>
          </w:tcPr>
          <w:p>
            <w:r>
              <w:rPr>
                <w:b/>
                <w:i w:val="0"/>
                <w:color w:val="FFFFFF"/>
                <w:sz w:val="18"/>
              </w:rPr>
              <w:t>Planner</w:t>
            </w:r>
          </w:p>
        </w:tc>
      </w:tr>
      <w:tr>
        <w:trPr>
          <w:cantSplit w:val="true"/>
        </w:trPr>
        <w:tc>
          <w:tcPr>
            <w:tcW w:type="dxa" w:w="1170"/>
          </w:tcPr>
          <w:p>
            <w:pPr>
              <w:spacing w:after="0"/>
            </w:pPr>
            <w:r>
              <w:rPr>
                <w:b w:val="0"/>
                <w:i w:val="0"/>
                <w:sz w:val="18"/>
              </w:rPr>
              <w:t>LYO</w:t>
            </w:r>
          </w:p>
        </w:tc>
        <w:tc>
          <w:tcPr>
            <w:tcW w:type="dxa" w:w="1560"/>
          </w:tcPr>
          <w:p>
            <w:pPr>
              <w:spacing w:after="0"/>
            </w:pPr>
            <w:r>
              <w:rPr>
                <w:b w:val="0"/>
                <w:i w:val="0"/>
                <w:sz w:val="18"/>
              </w:rPr>
              <w:t>FR01</w:t>
            </w:r>
          </w:p>
        </w:tc>
        <w:tc>
          <w:tcPr>
            <w:tcW w:type="dxa" w:w="4095"/>
          </w:tcPr>
          <w:p>
            <w:pPr>
              <w:spacing w:after="0"/>
            </w:pPr>
            <w:r>
              <w:rPr>
                <w:b w:val="0"/>
                <w:i w:val="0"/>
                <w:sz w:val="18"/>
              </w:rPr>
              <w:t>Lyon head office: cost centre, no sales; its costs are allocated to the sites</w:t>
            </w:r>
          </w:p>
        </w:tc>
        <w:tc>
          <w:tcPr>
            <w:tcW w:type="dxa" w:w="2925"/>
          </w:tcPr>
          <w:p>
            <w:pPr>
              <w:spacing w:after="0"/>
            </w:pPr>
            <w:r>
              <w:rPr>
                <w:b w:val="0"/>
                <w:i w:val="0"/>
                <w:sz w:val="18"/>
              </w:rPr>
              <w:t>Sophie Bernard</w:t>
            </w:r>
          </w:p>
        </w:tc>
      </w:tr>
      <w:tr>
        <w:trPr>
          <w:cantSplit w:val="true"/>
        </w:trPr>
        <w:tc>
          <w:tcPr>
            <w:tcW w:type="dxa" w:w="1170"/>
            <w:shd w:val="clear" w:color="auto" w:fill="F7F8FA"/>
          </w:tcPr>
          <w:p>
            <w:pPr>
              <w:spacing w:after="0"/>
            </w:pPr>
            <w:r>
              <w:rPr>
                <w:b w:val="0"/>
                <w:i w:val="0"/>
                <w:sz w:val="18"/>
              </w:rPr>
              <w:t>PAR</w:t>
            </w:r>
          </w:p>
        </w:tc>
        <w:tc>
          <w:tcPr>
            <w:tcW w:type="dxa" w:w="1560"/>
            <w:shd w:val="clear" w:color="auto" w:fill="F7F8FA"/>
          </w:tcPr>
          <w:p>
            <w:pPr>
              <w:spacing w:after="0"/>
            </w:pPr>
            <w:r>
              <w:rPr>
                <w:b w:val="0"/>
                <w:i w:val="0"/>
                <w:sz w:val="18"/>
              </w:rPr>
              <w:t>FR02</w:t>
            </w:r>
          </w:p>
        </w:tc>
        <w:tc>
          <w:tcPr>
            <w:tcW w:type="dxa" w:w="4095"/>
            <w:shd w:val="clear" w:color="auto" w:fill="F7F8FA"/>
          </w:tcPr>
          <w:p>
            <w:pPr>
              <w:spacing w:after="0"/>
            </w:pPr>
            <w:r>
              <w:rPr>
                <w:b w:val="0"/>
                <w:i w:val="0"/>
                <w:sz w:val="18"/>
              </w:rPr>
              <w:t>Paris: sales site</w:t>
            </w:r>
          </w:p>
        </w:tc>
        <w:tc>
          <w:tcPr>
            <w:tcW w:type="dxa" w:w="2925"/>
            <w:shd w:val="clear" w:color="auto" w:fill="F7F8FA"/>
          </w:tcPr>
          <w:p>
            <w:pPr>
              <w:spacing w:after="0"/>
            </w:pPr>
            <w:r>
              <w:rPr>
                <w:b w:val="0"/>
                <w:i w:val="0"/>
                <w:sz w:val="18"/>
              </w:rPr>
              <w:t>Claire Martin</w:t>
            </w:r>
          </w:p>
        </w:tc>
      </w:tr>
      <w:tr>
        <w:trPr>
          <w:cantSplit w:val="true"/>
        </w:trPr>
        <w:tc>
          <w:tcPr>
            <w:tcW w:type="dxa" w:w="1170"/>
          </w:tcPr>
          <w:p>
            <w:pPr>
              <w:spacing w:after="0"/>
            </w:pPr>
            <w:r>
              <w:rPr>
                <w:b w:val="0"/>
                <w:i w:val="0"/>
                <w:sz w:val="18"/>
              </w:rPr>
              <w:t>LIL</w:t>
            </w:r>
          </w:p>
        </w:tc>
        <w:tc>
          <w:tcPr>
            <w:tcW w:type="dxa" w:w="1560"/>
          </w:tcPr>
          <w:p>
            <w:pPr>
              <w:spacing w:after="0"/>
            </w:pPr>
            <w:r>
              <w:rPr>
                <w:b w:val="0"/>
                <w:i w:val="0"/>
                <w:sz w:val="18"/>
              </w:rPr>
              <w:t>FR03</w:t>
            </w:r>
          </w:p>
        </w:tc>
        <w:tc>
          <w:tcPr>
            <w:tcW w:type="dxa" w:w="4095"/>
          </w:tcPr>
          <w:p>
            <w:pPr>
              <w:spacing w:after="0"/>
            </w:pPr>
            <w:r>
              <w:rPr>
                <w:b w:val="0"/>
                <w:i w:val="0"/>
                <w:sz w:val="18"/>
              </w:rPr>
              <w:t>Lille: plant and sales site</w:t>
            </w:r>
          </w:p>
        </w:tc>
        <w:tc>
          <w:tcPr>
            <w:tcW w:type="dxa" w:w="2925"/>
          </w:tcPr>
          <w:p>
            <w:pPr>
              <w:spacing w:after="0"/>
            </w:pPr>
            <w:r>
              <w:rPr>
                <w:b w:val="0"/>
                <w:i w:val="0"/>
                <w:sz w:val="18"/>
              </w:rPr>
              <w:t>Thomas Leroy</w:t>
            </w:r>
          </w:p>
        </w:tc>
      </w:tr>
    </w:tbl>
    <w:p>
      <w:pPr>
        <w:spacing w:after="40"/>
      </w:pPr>
    </w:p>
    <w:p>
      <w:pPr>
        <w:pStyle w:val="Heading2"/>
      </w:pPr>
      <w:r>
        <w:t>4.4 Scenarios and versions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535"/>
        <w:gridCol w:w="4876"/>
        <w:gridCol w:w="2340"/>
      </w:tblGrid>
      <w:tr>
        <w:trPr>
          <w:tblHeader w:val="true"/>
        </w:trPr>
        <w:tc>
          <w:tcPr>
            <w:tcW w:type="dxa" w:w="2535"/>
            <w:shd w:val="clear" w:color="auto" w:fill="2F5D62"/>
          </w:tcPr>
          <w:p>
            <w:r>
              <w:rPr>
                <w:b/>
                <w:i w:val="0"/>
                <w:color w:val="FFFFFF"/>
                <w:sz w:val="18"/>
              </w:rPr>
              <w:t>Plan</w:t>
            </w:r>
          </w:p>
        </w:tc>
        <w:tc>
          <w:tcPr>
            <w:tcW w:type="dxa" w:w="4876"/>
            <w:shd w:val="clear" w:color="auto" w:fill="2F5D62"/>
          </w:tcPr>
          <w:p>
            <w:r>
              <w:rPr>
                <w:b/>
                <w:i w:val="0"/>
                <w:color w:val="FFFFFF"/>
                <w:sz w:val="18"/>
              </w:rPr>
              <w:t>Content</w:t>
            </w:r>
          </w:p>
        </w:tc>
        <w:tc>
          <w:tcPr>
            <w:tcW w:type="dxa" w:w="2340"/>
            <w:shd w:val="clear" w:color="auto" w:fill="2F5D62"/>
          </w:tcPr>
          <w:p>
            <w:r>
              <w:rPr>
                <w:b/>
                <w:i w:val="0"/>
                <w:color w:val="FFFFFF"/>
                <w:sz w:val="18"/>
              </w:rPr>
              <w:t>Access</w:t>
            </w:r>
          </w:p>
        </w:tc>
      </w:tr>
      <w:tr>
        <w:trPr>
          <w:cantSplit w:val="true"/>
        </w:trPr>
        <w:tc>
          <w:tcPr>
            <w:tcW w:type="dxa" w:w="2535"/>
          </w:tcPr>
          <w:p>
            <w:pPr>
              <w:spacing w:after="0"/>
            </w:pPr>
            <w:r>
              <w:rPr>
                <w:b w:val="0"/>
                <w:i w:val="0"/>
                <w:sz w:val="18"/>
              </w:rPr>
              <w:t>Actual FY26</w:t>
            </w:r>
          </w:p>
        </w:tc>
        <w:tc>
          <w:tcPr>
            <w:tcW w:type="dxa" w:w="4876"/>
          </w:tcPr>
          <w:p>
            <w:pPr>
              <w:spacing w:after="0"/>
            </w:pPr>
            <w:r>
              <w:rPr>
                <w:b w:val="0"/>
                <w:i w:val="0"/>
                <w:sz w:val="18"/>
              </w:rPr>
              <w:t>Loaded from the ERP every month</w:t>
            </w:r>
          </w:p>
        </w:tc>
        <w:tc>
          <w:tcPr>
            <w:tcW w:type="dxa" w:w="2340"/>
          </w:tcPr>
          <w:p>
            <w:pPr>
              <w:spacing w:after="0"/>
            </w:pPr>
            <w:r>
              <w:rPr>
                <w:b w:val="0"/>
                <w:i w:val="0"/>
                <w:sz w:val="18"/>
              </w:rPr>
              <w:t>Read-only</w:t>
            </w:r>
          </w:p>
        </w:tc>
      </w:tr>
      <w:tr>
        <w:trPr>
          <w:cantSplit w:val="true"/>
        </w:trPr>
        <w:tc>
          <w:tcPr>
            <w:tcW w:type="dxa" w:w="2535"/>
            <w:shd w:val="clear" w:color="auto" w:fill="F7F8FA"/>
          </w:tcPr>
          <w:p>
            <w:pPr>
              <w:spacing w:after="0"/>
            </w:pPr>
            <w:r>
              <w:rPr>
                <w:b w:val="0"/>
                <w:i w:val="0"/>
                <w:sz w:val="18"/>
              </w:rPr>
              <w:t>Budget FY26</w:t>
            </w:r>
          </w:p>
        </w:tc>
        <w:tc>
          <w:tcPr>
            <w:tcW w:type="dxa" w:w="4876"/>
            <w:shd w:val="clear" w:color="auto" w:fill="F7F8FA"/>
          </w:tcPr>
          <w:p>
            <w:pPr>
              <w:spacing w:after="0"/>
            </w:pPr>
            <w:r>
              <w:rPr>
                <w:b w:val="0"/>
                <w:i w:val="0"/>
                <w:sz w:val="18"/>
              </w:rPr>
              <w:t>Approved last year; reference for FY26 variances</w:t>
            </w:r>
          </w:p>
        </w:tc>
        <w:tc>
          <w:tcPr>
            <w:tcW w:type="dxa" w:w="2340"/>
            <w:shd w:val="clear" w:color="auto" w:fill="F7F8FA"/>
          </w:tcPr>
          <w:p>
            <w:pPr>
              <w:spacing w:after="0"/>
            </w:pPr>
            <w:r>
              <w:rPr>
                <w:b w:val="0"/>
                <w:i w:val="0"/>
                <w:sz w:val="18"/>
              </w:rPr>
              <w:t>Read-only</w:t>
            </w:r>
          </w:p>
        </w:tc>
      </w:tr>
      <w:tr>
        <w:trPr>
          <w:cantSplit w:val="true"/>
        </w:trPr>
        <w:tc>
          <w:tcPr>
            <w:tcW w:type="dxa" w:w="2535"/>
          </w:tcPr>
          <w:p>
            <w:pPr>
              <w:spacing w:after="0"/>
            </w:pPr>
            <w:r>
              <w:rPr>
                <w:b w:val="0"/>
                <w:i w:val="0"/>
                <w:sz w:val="18"/>
              </w:rPr>
              <w:t>Forecast FY26 · Working</w:t>
            </w:r>
          </w:p>
        </w:tc>
        <w:tc>
          <w:tcPr>
            <w:tcW w:type="dxa" w:w="4876"/>
          </w:tcPr>
          <w:p>
            <w:pPr>
              <w:spacing w:after="0"/>
            </w:pPr>
            <w:r>
              <w:rPr>
                <w:b w:val="0"/>
                <w:i w:val="0"/>
                <w:sz w:val="18"/>
              </w:rPr>
              <w:t>Closed months equal to actual; open months planned</w:t>
            </w:r>
          </w:p>
        </w:tc>
        <w:tc>
          <w:tcPr>
            <w:tcW w:type="dxa" w:w="2340"/>
          </w:tcPr>
          <w:p>
            <w:pPr>
              <w:spacing w:after="0"/>
            </w:pPr>
            <w:r>
              <w:rPr>
                <w:b w:val="0"/>
                <w:i w:val="0"/>
                <w:sz w:val="18"/>
              </w:rPr>
              <w:t>Open months editable</w:t>
            </w:r>
          </w:p>
        </w:tc>
      </w:tr>
      <w:tr>
        <w:trPr>
          <w:cantSplit w:val="true"/>
        </w:trPr>
        <w:tc>
          <w:tcPr>
            <w:tcW w:type="dxa" w:w="2535"/>
            <w:shd w:val="clear" w:color="auto" w:fill="F7F8FA"/>
          </w:tcPr>
          <w:p>
            <w:pPr>
              <w:spacing w:after="0"/>
            </w:pPr>
            <w:r>
              <w:rPr>
                <w:b w:val="0"/>
                <w:i w:val="0"/>
                <w:sz w:val="18"/>
              </w:rPr>
              <w:t>Budget FY27 · Working</w:t>
            </w:r>
          </w:p>
        </w:tc>
        <w:tc>
          <w:tcPr>
            <w:tcW w:type="dxa" w:w="4876"/>
            <w:shd w:val="clear" w:color="auto" w:fill="F7F8FA"/>
          </w:tcPr>
          <w:p>
            <w:pPr>
              <w:spacing w:after="0"/>
            </w:pPr>
            <w:r>
              <w:rPr>
                <w:b w:val="0"/>
                <w:i w:val="0"/>
                <w:sz w:val="18"/>
              </w:rPr>
              <w:t>Seeded from the forecast, planned by each site</w:t>
            </w:r>
          </w:p>
        </w:tc>
        <w:tc>
          <w:tcPr>
            <w:tcW w:type="dxa" w:w="2340"/>
            <w:shd w:val="clear" w:color="auto" w:fill="F7F8FA"/>
          </w:tcPr>
          <w:p>
            <w:pPr>
              <w:spacing w:after="0"/>
            </w:pPr>
            <w:r>
              <w:rPr>
                <w:b w:val="0"/>
                <w:i w:val="0"/>
                <w:sz w:val="18"/>
              </w:rPr>
              <w:t>Editable until submitted</w:t>
            </w:r>
          </w:p>
        </w:tc>
      </w:tr>
      <w:tr>
        <w:trPr>
          <w:cantSplit w:val="true"/>
        </w:trPr>
        <w:tc>
          <w:tcPr>
            <w:tcW w:type="dxa" w:w="2535"/>
          </w:tcPr>
          <w:p>
            <w:pPr>
              <w:spacing w:after="0"/>
            </w:pPr>
            <w:r>
              <w:rPr>
                <w:b w:val="0"/>
                <w:i w:val="0"/>
                <w:sz w:val="18"/>
              </w:rPr>
              <w:t>Budget FY27 · Final</w:t>
            </w:r>
          </w:p>
        </w:tc>
        <w:tc>
          <w:tcPr>
            <w:tcW w:type="dxa" w:w="4876"/>
          </w:tcPr>
          <w:p>
            <w:pPr>
              <w:spacing w:after="0"/>
            </w:pPr>
            <w:r>
              <w:rPr>
                <w:b w:val="0"/>
                <w:i w:val="0"/>
                <w:sz w:val="18"/>
              </w:rPr>
              <w:t>Frozen copy of each approved site</w:t>
            </w:r>
          </w:p>
        </w:tc>
        <w:tc>
          <w:tcPr>
            <w:tcW w:type="dxa" w:w="2340"/>
          </w:tcPr>
          <w:p>
            <w:pPr>
              <w:spacing w:after="0"/>
            </w:pPr>
            <w:r>
              <w:rPr>
                <w:b w:val="0"/>
                <w:i w:val="0"/>
                <w:sz w:val="18"/>
              </w:rPr>
              <w:t>Read-only</w:t>
            </w:r>
          </w:p>
        </w:tc>
      </w:tr>
    </w:tbl>
    <w:p>
      <w:pPr>
        <w:spacing w:after="40"/>
      </w:pPr>
    </w:p>
    <w:p>
      <w:pPr>
        <w:pStyle w:val="Heading2"/>
      </w:pPr>
      <w:r>
        <w:t>4.5 Substitution variables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755"/>
        <w:gridCol w:w="3510"/>
        <w:gridCol w:w="1950"/>
        <w:gridCol w:w="2535"/>
      </w:tblGrid>
      <w:tr>
        <w:trPr>
          <w:tblHeader w:val="true"/>
        </w:trPr>
        <w:tc>
          <w:tcPr>
            <w:tcW w:type="dxa" w:w="1755"/>
            <w:shd w:val="clear" w:color="auto" w:fill="2F5D62"/>
          </w:tcPr>
          <w:p>
            <w:r>
              <w:rPr>
                <w:b/>
                <w:i w:val="0"/>
                <w:color w:val="FFFFFF"/>
                <w:sz w:val="18"/>
              </w:rPr>
              <w:t>Variable</w:t>
            </w:r>
          </w:p>
        </w:tc>
        <w:tc>
          <w:tcPr>
            <w:tcW w:type="dxa" w:w="3510"/>
            <w:shd w:val="clear" w:color="auto" w:fill="2F5D62"/>
          </w:tcPr>
          <w:p>
            <w:r>
              <w:rPr>
                <w:b/>
                <w:i w:val="0"/>
                <w:color w:val="FFFFFF"/>
                <w:sz w:val="18"/>
              </w:rPr>
              <w:t>Meaning</w:t>
            </w:r>
          </w:p>
        </w:tc>
        <w:tc>
          <w:tcPr>
            <w:tcW w:type="dxa" w:w="1950"/>
            <w:shd w:val="clear" w:color="auto" w:fill="2F5D62"/>
          </w:tcPr>
          <w:p>
            <w:r>
              <w:rPr>
                <w:b/>
                <w:i w:val="0"/>
                <w:color w:val="FFFFFF"/>
                <w:sz w:val="18"/>
              </w:rPr>
              <w:t>Value at 25 Sep 2026</w:t>
            </w:r>
          </w:p>
        </w:tc>
        <w:tc>
          <w:tcPr>
            <w:tcW w:type="dxa" w:w="2535"/>
            <w:shd w:val="clear" w:color="auto" w:fill="2F5D62"/>
          </w:tcPr>
          <w:p>
            <w:r>
              <w:rPr>
                <w:b/>
                <w:i w:val="0"/>
                <w:color w:val="FFFFFF"/>
                <w:sz w:val="18"/>
              </w:rPr>
              <w:t>Updated by</w:t>
            </w:r>
          </w:p>
        </w:tc>
      </w:tr>
      <w:tr>
        <w:trPr>
          <w:cantSplit w:val="true"/>
        </w:trPr>
        <w:tc>
          <w:tcPr>
            <w:tcW w:type="dxa" w:w="1755"/>
          </w:tcPr>
          <w:p>
            <w:pPr>
              <w:spacing w:after="0"/>
            </w:pPr>
            <w:r>
              <w:rPr>
                <w:b w:val="0"/>
                <w:i w:val="0"/>
                <w:sz w:val="18"/>
              </w:rPr>
              <w:t>&amp;ActMonths</w:t>
            </w:r>
          </w:p>
        </w:tc>
        <w:tc>
          <w:tcPr>
            <w:tcW w:type="dxa" w:w="3510"/>
          </w:tcPr>
          <w:p>
            <w:pPr>
              <w:spacing w:after="0"/>
            </w:pPr>
            <w:r>
              <w:rPr>
                <w:b w:val="0"/>
                <w:i w:val="0"/>
                <w:sz w:val="18"/>
              </w:rPr>
              <w:t>Closed months of the current year</w:t>
            </w:r>
          </w:p>
        </w:tc>
        <w:tc>
          <w:tcPr>
            <w:tcW w:type="dxa" w:w="1950"/>
          </w:tcPr>
          <w:p>
            <w:pPr>
              <w:spacing w:after="0"/>
            </w:pPr>
            <w:r>
              <w:rPr>
                <w:b w:val="0"/>
                <w:i w:val="0"/>
                <w:sz w:val="18"/>
              </w:rPr>
              <w:t>Jan to Aug</w:t>
            </w:r>
          </w:p>
        </w:tc>
        <w:tc>
          <w:tcPr>
            <w:tcW w:type="dxa" w:w="2535"/>
          </w:tcPr>
          <w:p>
            <w:pPr>
              <w:spacing w:after="0"/>
            </w:pPr>
            <w:r>
              <w:rPr>
                <w:b w:val="0"/>
                <w:i w:val="0"/>
                <w:sz w:val="18"/>
              </w:rPr>
              <w:t>Month-close procedure</w:t>
            </w:r>
          </w:p>
        </w:tc>
      </w:tr>
      <w:tr>
        <w:trPr>
          <w:cantSplit w:val="true"/>
        </w:trPr>
        <w:tc>
          <w:tcPr>
            <w:tcW w:type="dxa" w:w="1755"/>
            <w:shd w:val="clear" w:color="auto" w:fill="F7F8FA"/>
          </w:tcPr>
          <w:p>
            <w:pPr>
              <w:spacing w:after="0"/>
            </w:pPr>
            <w:r>
              <w:rPr>
                <w:b w:val="0"/>
                <w:i w:val="0"/>
                <w:sz w:val="18"/>
              </w:rPr>
              <w:t>&amp;FcstMonths</w:t>
            </w:r>
          </w:p>
        </w:tc>
        <w:tc>
          <w:tcPr>
            <w:tcW w:type="dxa" w:w="3510"/>
            <w:shd w:val="clear" w:color="auto" w:fill="F7F8FA"/>
          </w:tcPr>
          <w:p>
            <w:pPr>
              <w:spacing w:after="0"/>
            </w:pPr>
            <w:r>
              <w:rPr>
                <w:b w:val="0"/>
                <w:i w:val="0"/>
                <w:sz w:val="18"/>
              </w:rPr>
              <w:t>Open forecast months</w:t>
            </w:r>
          </w:p>
        </w:tc>
        <w:tc>
          <w:tcPr>
            <w:tcW w:type="dxa" w:w="1950"/>
            <w:shd w:val="clear" w:color="auto" w:fill="F7F8FA"/>
          </w:tcPr>
          <w:p>
            <w:pPr>
              <w:spacing w:after="0"/>
            </w:pPr>
            <w:r>
              <w:rPr>
                <w:b w:val="0"/>
                <w:i w:val="0"/>
                <w:sz w:val="18"/>
              </w:rPr>
              <w:t>Sep to Dec</w:t>
            </w:r>
          </w:p>
        </w:tc>
        <w:tc>
          <w:tcPr>
            <w:tcW w:type="dxa" w:w="2535"/>
            <w:shd w:val="clear" w:color="auto" w:fill="F7F8FA"/>
          </w:tcPr>
          <w:p>
            <w:pPr>
              <w:spacing w:after="0"/>
            </w:pPr>
            <w:r>
              <w:rPr>
                <w:b w:val="0"/>
                <w:i w:val="0"/>
                <w:sz w:val="18"/>
              </w:rPr>
              <w:t>Month-close procedure</w:t>
            </w:r>
          </w:p>
        </w:tc>
      </w:tr>
      <w:tr>
        <w:trPr>
          <w:cantSplit w:val="true"/>
        </w:trPr>
        <w:tc>
          <w:tcPr>
            <w:tcW w:type="dxa" w:w="1755"/>
          </w:tcPr>
          <w:p>
            <w:pPr>
              <w:spacing w:after="0"/>
            </w:pPr>
            <w:r>
              <w:rPr>
                <w:b w:val="0"/>
                <w:i w:val="0"/>
                <w:sz w:val="18"/>
              </w:rPr>
              <w:t>&amp;CurYr</w:t>
            </w:r>
          </w:p>
        </w:tc>
        <w:tc>
          <w:tcPr>
            <w:tcW w:type="dxa" w:w="3510"/>
          </w:tcPr>
          <w:p>
            <w:pPr>
              <w:spacing w:after="0"/>
            </w:pPr>
            <w:r>
              <w:rPr>
                <w:b w:val="0"/>
                <w:i w:val="0"/>
                <w:sz w:val="18"/>
              </w:rPr>
              <w:t>Current year</w:t>
            </w:r>
          </w:p>
        </w:tc>
        <w:tc>
          <w:tcPr>
            <w:tcW w:type="dxa" w:w="1950"/>
          </w:tcPr>
          <w:p>
            <w:pPr>
              <w:spacing w:after="0"/>
            </w:pPr>
            <w:r>
              <w:rPr>
                <w:b w:val="0"/>
                <w:i w:val="0"/>
                <w:sz w:val="18"/>
              </w:rPr>
              <w:t>FY26</w:t>
            </w:r>
          </w:p>
        </w:tc>
        <w:tc>
          <w:tcPr>
            <w:tcW w:type="dxa" w:w="2535"/>
          </w:tcPr>
          <w:p>
            <w:pPr>
              <w:spacing w:after="0"/>
            </w:pPr>
            <w:r>
              <w:rPr>
                <w:b w:val="0"/>
                <w:i w:val="0"/>
                <w:sz w:val="18"/>
              </w:rPr>
              <w:t>Administrator, once a year</w:t>
            </w:r>
          </w:p>
        </w:tc>
      </w:tr>
      <w:tr>
        <w:trPr>
          <w:cantSplit w:val="true"/>
        </w:trPr>
        <w:tc>
          <w:tcPr>
            <w:tcW w:type="dxa" w:w="1755"/>
            <w:shd w:val="clear" w:color="auto" w:fill="F7F8FA"/>
          </w:tcPr>
          <w:p>
            <w:pPr>
              <w:spacing w:after="0"/>
            </w:pPr>
            <w:r>
              <w:rPr>
                <w:b w:val="0"/>
                <w:i w:val="0"/>
                <w:sz w:val="18"/>
              </w:rPr>
              <w:t>&amp;BudYr</w:t>
            </w:r>
          </w:p>
        </w:tc>
        <w:tc>
          <w:tcPr>
            <w:tcW w:type="dxa" w:w="3510"/>
            <w:shd w:val="clear" w:color="auto" w:fill="F7F8FA"/>
          </w:tcPr>
          <w:p>
            <w:pPr>
              <w:spacing w:after="0"/>
            </w:pPr>
            <w:r>
              <w:rPr>
                <w:b w:val="0"/>
                <w:i w:val="0"/>
                <w:sz w:val="18"/>
              </w:rPr>
              <w:t>Budget year</w:t>
            </w:r>
          </w:p>
        </w:tc>
        <w:tc>
          <w:tcPr>
            <w:tcW w:type="dxa" w:w="1950"/>
            <w:shd w:val="clear" w:color="auto" w:fill="F7F8FA"/>
          </w:tcPr>
          <w:p>
            <w:pPr>
              <w:spacing w:after="0"/>
            </w:pPr>
            <w:r>
              <w:rPr>
                <w:b w:val="0"/>
                <w:i w:val="0"/>
                <w:sz w:val="18"/>
              </w:rPr>
              <w:t>FY27</w:t>
            </w:r>
          </w:p>
        </w:tc>
        <w:tc>
          <w:tcPr>
            <w:tcW w:type="dxa" w:w="2535"/>
            <w:shd w:val="clear" w:color="auto" w:fill="F7F8FA"/>
          </w:tcPr>
          <w:p>
            <w:pPr>
              <w:spacing w:after="0"/>
            </w:pPr>
            <w:r>
              <w:rPr>
                <w:b w:val="0"/>
                <w:i w:val="0"/>
                <w:sz w:val="18"/>
              </w:rPr>
              <w:t>Administrator, once a year</w:t>
            </w:r>
          </w:p>
        </w:tc>
      </w:tr>
    </w:tbl>
    <w:p>
      <w:pPr>
        <w:spacing w:after="40"/>
      </w:pPr>
    </w:p>
    <w:p>
      <w:pPr>
        <w:pStyle w:val="Heading1"/>
      </w:pPr>
      <w:r>
        <w:t>5. Forms and data entry</w:t>
      </w:r>
    </w:p>
    <w:p>
      <w:pPr>
        <w:pStyle w:val="Heading2"/>
      </w:pPr>
      <w:r>
        <w:t>5.1 Forms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950"/>
        <w:gridCol w:w="2925"/>
        <w:gridCol w:w="2535"/>
        <w:gridCol w:w="2340"/>
      </w:tblGrid>
      <w:tr>
        <w:trPr>
          <w:tblHeader w:val="true"/>
        </w:trPr>
        <w:tc>
          <w:tcPr>
            <w:tcW w:type="dxa" w:w="1950"/>
            <w:shd w:val="clear" w:color="auto" w:fill="2F5D62"/>
          </w:tcPr>
          <w:p>
            <w:r>
              <w:rPr>
                <w:b/>
                <w:i w:val="0"/>
                <w:color w:val="FFFFFF"/>
                <w:sz w:val="18"/>
              </w:rPr>
              <w:t>Form</w:t>
            </w:r>
          </w:p>
        </w:tc>
        <w:tc>
          <w:tcPr>
            <w:tcW w:type="dxa" w:w="2925"/>
            <w:shd w:val="clear" w:color="auto" w:fill="2F5D62"/>
          </w:tcPr>
          <w:p>
            <w:r>
              <w:rPr>
                <w:b/>
                <w:i w:val="0"/>
                <w:color w:val="FFFFFF"/>
                <w:sz w:val="18"/>
              </w:rPr>
              <w:t>Purpose</w:t>
            </w:r>
          </w:p>
        </w:tc>
        <w:tc>
          <w:tcPr>
            <w:tcW w:type="dxa" w:w="2535"/>
            <w:shd w:val="clear" w:color="auto" w:fill="2F5D62"/>
          </w:tcPr>
          <w:p>
            <w:r>
              <w:rPr>
                <w:b/>
                <w:i w:val="0"/>
                <w:color w:val="FFFFFF"/>
                <w:sz w:val="18"/>
              </w:rPr>
              <w:t>Layout</w:t>
            </w:r>
          </w:p>
        </w:tc>
        <w:tc>
          <w:tcPr>
            <w:tcW w:type="dxa" w:w="2340"/>
            <w:shd w:val="clear" w:color="auto" w:fill="2F5D62"/>
          </w:tcPr>
          <w:p>
            <w:r>
              <w:rPr>
                <w:b/>
                <w:i w:val="0"/>
                <w:color w:val="FFFFFF"/>
                <w:sz w:val="18"/>
              </w:rPr>
              <w:t>Editable cells</w:t>
            </w:r>
          </w:p>
        </w:tc>
      </w:tr>
      <w:tr>
        <w:trPr>
          <w:cantSplit w:val="true"/>
        </w:trPr>
        <w:tc>
          <w:tcPr>
            <w:tcW w:type="dxa" w:w="1950"/>
          </w:tcPr>
          <w:p>
            <w:pPr>
              <w:spacing w:after="0"/>
            </w:pPr>
            <w:r>
              <w:rPr>
                <w:b w:val="0"/>
                <w:i w:val="0"/>
                <w:sz w:val="18"/>
              </w:rPr>
              <w:t>F01 Driver-based P&amp;L</w:t>
            </w:r>
          </w:p>
        </w:tc>
        <w:tc>
          <w:tcPr>
            <w:tcW w:type="dxa" w:w="2925"/>
          </w:tcPr>
          <w:p>
            <w:pPr>
              <w:spacing w:after="0"/>
            </w:pPr>
            <w:r>
              <w:rPr>
                <w:b w:val="0"/>
                <w:i w:val="0"/>
                <w:sz w:val="18"/>
              </w:rPr>
              <w:t>Enter forecast and budget drivers and costs</w:t>
            </w:r>
          </w:p>
        </w:tc>
        <w:tc>
          <w:tcPr>
            <w:tcW w:type="dxa" w:w="2535"/>
          </w:tcPr>
          <w:p>
            <w:pPr>
              <w:spacing w:after="0"/>
            </w:pPr>
            <w:r>
              <w:rPr>
                <w:b w:val="0"/>
                <w:i w:val="0"/>
                <w:sz w:val="18"/>
              </w:rPr>
              <w:t>Rows: drivers then P&amp;L lines · columns: months and year total</w:t>
            </w:r>
          </w:p>
        </w:tc>
        <w:tc>
          <w:tcPr>
            <w:tcW w:type="dxa" w:w="2340"/>
          </w:tcPr>
          <w:p>
            <w:pPr>
              <w:spacing w:after="0"/>
            </w:pPr>
            <w:r>
              <w:rPr>
                <w:b w:val="0"/>
                <w:i w:val="0"/>
                <w:sz w:val="18"/>
              </w:rPr>
              <w:t>Input accounts in open months</w:t>
            </w:r>
          </w:p>
        </w:tc>
      </w:tr>
      <w:tr>
        <w:trPr>
          <w:cantSplit w:val="true"/>
        </w:trPr>
        <w:tc>
          <w:tcPr>
            <w:tcW w:type="dxa" w:w="1950"/>
            <w:shd w:val="clear" w:color="auto" w:fill="F7F8FA"/>
          </w:tcPr>
          <w:p>
            <w:pPr>
              <w:spacing w:after="0"/>
            </w:pPr>
            <w:r>
              <w:rPr>
                <w:b w:val="0"/>
                <w:i w:val="0"/>
                <w:sz w:val="18"/>
              </w:rPr>
              <w:t>F02 Top-down spreading</w:t>
            </w:r>
          </w:p>
        </w:tc>
        <w:tc>
          <w:tcPr>
            <w:tcW w:type="dxa" w:w="2925"/>
            <w:shd w:val="clear" w:color="auto" w:fill="F7F8FA"/>
          </w:tcPr>
          <w:p>
            <w:pPr>
              <w:spacing w:after="0"/>
            </w:pPr>
            <w:r>
              <w:rPr>
                <w:b w:val="0"/>
                <w:i w:val="0"/>
                <w:sz w:val="18"/>
              </w:rPr>
              <w:t>Spread an annual total over the open months</w:t>
            </w:r>
          </w:p>
        </w:tc>
        <w:tc>
          <w:tcPr>
            <w:tcW w:type="dxa" w:w="2535"/>
            <w:shd w:val="clear" w:color="auto" w:fill="F7F8FA"/>
          </w:tcPr>
          <w:p>
            <w:pPr>
              <w:spacing w:after="0"/>
            </w:pPr>
            <w:r>
              <w:rPr>
                <w:b w:val="0"/>
                <w:i w:val="0"/>
                <w:sz w:val="18"/>
              </w:rPr>
              <w:t>One account, total then months</w:t>
            </w:r>
          </w:p>
        </w:tc>
        <w:tc>
          <w:tcPr>
            <w:tcW w:type="dxa" w:w="2340"/>
            <w:shd w:val="clear" w:color="auto" w:fill="F7F8FA"/>
          </w:tcPr>
          <w:p>
            <w:pPr>
              <w:spacing w:after="0"/>
            </w:pPr>
            <w:r>
              <w:rPr>
                <w:b w:val="0"/>
                <w:i w:val="0"/>
                <w:sz w:val="18"/>
              </w:rPr>
              <w:t>The total</w:t>
            </w:r>
          </w:p>
        </w:tc>
      </w:tr>
      <w:tr>
        <w:trPr>
          <w:cantSplit w:val="true"/>
        </w:trPr>
        <w:tc>
          <w:tcPr>
            <w:tcW w:type="dxa" w:w="1950"/>
          </w:tcPr>
          <w:p>
            <w:pPr>
              <w:spacing w:after="0"/>
            </w:pPr>
            <w:r>
              <w:rPr>
                <w:b w:val="0"/>
                <w:i w:val="0"/>
                <w:sz w:val="18"/>
              </w:rPr>
              <w:t>F03 What-if simulation</w:t>
            </w:r>
          </w:p>
        </w:tc>
        <w:tc>
          <w:tcPr>
            <w:tcW w:type="dxa" w:w="2925"/>
          </w:tcPr>
          <w:p>
            <w:pPr>
              <w:spacing w:after="0"/>
            </w:pPr>
            <w:r>
              <w:rPr>
                <w:b w:val="0"/>
                <w:i w:val="0"/>
                <w:sz w:val="18"/>
              </w:rPr>
              <w:t>Test changes in volume, price, costs and salaries</w:t>
            </w:r>
          </w:p>
        </w:tc>
        <w:tc>
          <w:tcPr>
            <w:tcW w:type="dxa" w:w="2535"/>
          </w:tcPr>
          <w:p>
            <w:pPr>
              <w:spacing w:after="0"/>
            </w:pPr>
            <w:r>
              <w:rPr>
                <w:b w:val="0"/>
                <w:i w:val="0"/>
                <w:sz w:val="18"/>
              </w:rPr>
              <w:t>Five levers against key results</w:t>
            </w:r>
          </w:p>
        </w:tc>
        <w:tc>
          <w:tcPr>
            <w:tcW w:type="dxa" w:w="2340"/>
          </w:tcPr>
          <w:p>
            <w:pPr>
              <w:spacing w:after="0"/>
            </w:pPr>
            <w:r>
              <w:rPr>
                <w:b w:val="0"/>
                <w:i w:val="0"/>
                <w:sz w:val="18"/>
              </w:rPr>
              <w:t>The levers only</w:t>
            </w:r>
          </w:p>
        </w:tc>
      </w:tr>
      <w:tr>
        <w:trPr>
          <w:cantSplit w:val="true"/>
        </w:trPr>
        <w:tc>
          <w:tcPr>
            <w:tcW w:type="dxa" w:w="1950"/>
            <w:shd w:val="clear" w:color="auto" w:fill="F7F8FA"/>
          </w:tcPr>
          <w:p>
            <w:pPr>
              <w:spacing w:after="0"/>
            </w:pPr>
            <w:r>
              <w:rPr>
                <w:b w:val="0"/>
                <w:i w:val="0"/>
                <w:sz w:val="18"/>
              </w:rPr>
              <w:t>F04 Variance analysis</w:t>
            </w:r>
          </w:p>
        </w:tc>
        <w:tc>
          <w:tcPr>
            <w:tcW w:type="dxa" w:w="2925"/>
            <w:shd w:val="clear" w:color="auto" w:fill="F7F8FA"/>
          </w:tcPr>
          <w:p>
            <w:pPr>
              <w:spacing w:after="0"/>
            </w:pPr>
            <w:r>
              <w:rPr>
                <w:b w:val="0"/>
                <w:i w:val="0"/>
                <w:sz w:val="18"/>
              </w:rPr>
              <w:t>Compare two plans, with price, volume and mix</w:t>
            </w:r>
          </w:p>
        </w:tc>
        <w:tc>
          <w:tcPr>
            <w:tcW w:type="dxa" w:w="2535"/>
            <w:shd w:val="clear" w:color="auto" w:fill="F7F8FA"/>
          </w:tcPr>
          <w:p>
            <w:pPr>
              <w:spacing w:after="0"/>
            </w:pPr>
            <w:r>
              <w:rPr>
                <w:b w:val="0"/>
                <w:i w:val="0"/>
                <w:sz w:val="18"/>
              </w:rPr>
              <w:t>Accounts × current, reference, variance</w:t>
            </w:r>
          </w:p>
        </w:tc>
        <w:tc>
          <w:tcPr>
            <w:tcW w:type="dxa" w:w="2340"/>
            <w:shd w:val="clear" w:color="auto" w:fill="F7F8FA"/>
          </w:tcPr>
          <w:p>
            <w:pPr>
              <w:spacing w:after="0"/>
            </w:pPr>
            <w:r>
              <w:rPr>
                <w:b w:val="0"/>
                <w:i w:val="0"/>
                <w:sz w:val="18"/>
              </w:rPr>
              <w:t>None (read-only)</w:t>
            </w:r>
          </w:p>
        </w:tc>
      </w:tr>
      <w:tr>
        <w:trPr>
          <w:cantSplit w:val="true"/>
        </w:trPr>
        <w:tc>
          <w:tcPr>
            <w:tcW w:type="dxa" w:w="1950"/>
          </w:tcPr>
          <w:p>
            <w:pPr>
              <w:spacing w:after="0"/>
            </w:pPr>
            <w:r>
              <w:rPr>
                <w:b w:val="0"/>
                <w:i w:val="0"/>
                <w:sz w:val="18"/>
              </w:rPr>
              <w:t>F05 Workflow dashboard</w:t>
            </w:r>
          </w:p>
        </w:tc>
        <w:tc>
          <w:tcPr>
            <w:tcW w:type="dxa" w:w="2925"/>
          </w:tcPr>
          <w:p>
            <w:pPr>
              <w:spacing w:after="0"/>
            </w:pPr>
            <w:r>
              <w:rPr>
                <w:b w:val="0"/>
                <w:i w:val="0"/>
                <w:sz w:val="18"/>
              </w:rPr>
              <w:t>Status, blockers and approvals by site</w:t>
            </w:r>
          </w:p>
        </w:tc>
        <w:tc>
          <w:tcPr>
            <w:tcW w:type="dxa" w:w="2535"/>
          </w:tcPr>
          <w:p>
            <w:pPr>
              <w:spacing w:after="0"/>
            </w:pPr>
            <w:r>
              <w:rPr>
                <w:b w:val="0"/>
                <w:i w:val="0"/>
                <w:sz w:val="18"/>
              </w:rPr>
              <w:t>One card per site</w:t>
            </w:r>
          </w:p>
        </w:tc>
        <w:tc>
          <w:tcPr>
            <w:tcW w:type="dxa" w:w="2340"/>
          </w:tcPr>
          <w:p>
            <w:pPr>
              <w:spacing w:after="0"/>
            </w:pPr>
            <w:r>
              <w:rPr>
                <w:b w:val="0"/>
                <w:i w:val="0"/>
                <w:sz w:val="18"/>
              </w:rPr>
              <w:t>Actions by role</w:t>
            </w:r>
          </w:p>
        </w:tc>
      </w:tr>
    </w:tbl>
    <w:p>
      <w:pPr>
        <w:spacing w:after="40"/>
      </w:pPr>
    </w:p>
    <w:p>
      <w:pPr>
        <w:pStyle w:val="Heading2"/>
      </w:pPr>
      <w:r>
        <w:t>5.2 Spreading methods</w:t>
      </w:r>
    </w:p>
    <w:p>
      <w:pPr>
        <w:pStyle w:val="ListBullet"/>
      </w:pPr>
      <w:r>
        <w:rPr>
          <w:b/>
          <w:i w:val="0"/>
        </w:rPr>
        <w:t>Seasonality of the reference plan</w:t>
      </w:r>
      <w:r>
        <w:rPr>
          <w:b w:val="0"/>
          <w:i w:val="0"/>
        </w:rPr>
        <w:t xml:space="preserve"> (default): the total follows last year's monthly profile.</w:t>
      </w:r>
    </w:p>
    <w:p>
      <w:pPr>
        <w:pStyle w:val="ListBullet"/>
      </w:pPr>
      <w:r>
        <w:rPr>
          <w:b/>
          <w:i w:val="0"/>
        </w:rPr>
        <w:t>Proportional</w:t>
      </w:r>
      <w:r>
        <w:rPr>
          <w:b w:val="0"/>
          <w:i w:val="0"/>
        </w:rPr>
        <w:t>: the total follows the current monthly values.</w:t>
      </w:r>
    </w:p>
    <w:p>
      <w:pPr>
        <w:pStyle w:val="ListBullet"/>
      </w:pPr>
      <w:r>
        <w:rPr>
          <w:b/>
          <w:i w:val="0"/>
        </w:rPr>
        <w:t>Even</w:t>
      </w:r>
      <w:r>
        <w:rPr>
          <w:b w:val="0"/>
          <w:i w:val="0"/>
        </w:rPr>
        <w:t>: the same amount in every open month.</w:t>
      </w:r>
    </w:p>
    <w:p>
      <w:pPr>
        <w:pStyle w:val="ListBullet"/>
      </w:pPr>
      <w:r>
        <w:rPr>
          <w:b w:val="0"/>
          <w:i w:val="0"/>
        </w:rPr>
        <w:t>Rounding differences go to the largest months, so the months always add up exactly to the total entered.</w:t>
      </w:r>
    </w:p>
    <w:p>
      <w:pPr>
        <w:pStyle w:val="Heading2"/>
      </w:pPr>
      <w:r>
        <w:t>5.3 What-if simulation</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2925"/>
        <w:gridCol w:w="1950"/>
        <w:gridCol w:w="4876"/>
      </w:tblGrid>
      <w:tr>
        <w:trPr>
          <w:tblHeader w:val="true"/>
        </w:trPr>
        <w:tc>
          <w:tcPr>
            <w:tcW w:type="dxa" w:w="2925"/>
            <w:shd w:val="clear" w:color="auto" w:fill="2F5D62"/>
          </w:tcPr>
          <w:p>
            <w:r>
              <w:rPr>
                <w:b/>
                <w:i w:val="0"/>
                <w:color w:val="FFFFFF"/>
                <w:sz w:val="18"/>
              </w:rPr>
              <w:t>Lever</w:t>
            </w:r>
          </w:p>
        </w:tc>
        <w:tc>
          <w:tcPr>
            <w:tcW w:type="dxa" w:w="1950"/>
            <w:shd w:val="clear" w:color="auto" w:fill="2F5D62"/>
          </w:tcPr>
          <w:p>
            <w:r>
              <w:rPr>
                <w:b/>
                <w:i w:val="0"/>
                <w:color w:val="FFFFFF"/>
                <w:sz w:val="18"/>
              </w:rPr>
              <w:t>Range</w:t>
            </w:r>
          </w:p>
        </w:tc>
        <w:tc>
          <w:tcPr>
            <w:tcW w:type="dxa" w:w="4876"/>
            <w:shd w:val="clear" w:color="auto" w:fill="2F5D62"/>
          </w:tcPr>
          <w:p>
            <w:r>
              <w:rPr>
                <w:b/>
                <w:i w:val="0"/>
                <w:color w:val="FFFFFF"/>
                <w:sz w:val="18"/>
              </w:rPr>
              <w:t>Effect</w:t>
            </w:r>
          </w:p>
        </w:tc>
      </w:tr>
      <w:tr>
        <w:trPr>
          <w:cantSplit w:val="true"/>
        </w:trPr>
        <w:tc>
          <w:tcPr>
            <w:tcW w:type="dxa" w:w="2925"/>
          </w:tcPr>
          <w:p>
            <w:pPr>
              <w:spacing w:after="0"/>
            </w:pPr>
            <w:r>
              <w:rPr>
                <w:b w:val="0"/>
                <w:i w:val="0"/>
                <w:sz w:val="18"/>
              </w:rPr>
              <w:t>Units sold</w:t>
            </w:r>
          </w:p>
        </w:tc>
        <w:tc>
          <w:tcPr>
            <w:tcW w:type="dxa" w:w="1950"/>
          </w:tcPr>
          <w:p>
            <w:pPr>
              <w:spacing w:after="0"/>
            </w:pPr>
            <w:r>
              <w:rPr>
                <w:b w:val="0"/>
                <w:i w:val="0"/>
                <w:sz w:val="18"/>
              </w:rPr>
              <w:t>−20 % to +20 %</w:t>
            </w:r>
          </w:p>
        </w:tc>
        <w:tc>
          <w:tcPr>
            <w:tcW w:type="dxa" w:w="4876"/>
          </w:tcPr>
          <w:p>
            <w:pPr>
              <w:spacing w:after="0"/>
            </w:pPr>
            <w:r>
              <w:rPr>
                <w:b w:val="0"/>
                <w:i w:val="0"/>
                <w:sz w:val="18"/>
              </w:rPr>
              <w:t>Applied to volumes and to purchases</w:t>
            </w:r>
          </w:p>
        </w:tc>
      </w:tr>
      <w:tr>
        <w:trPr>
          <w:cantSplit w:val="true"/>
        </w:trPr>
        <w:tc>
          <w:tcPr>
            <w:tcW w:type="dxa" w:w="2925"/>
            <w:shd w:val="clear" w:color="auto" w:fill="F7F8FA"/>
          </w:tcPr>
          <w:p>
            <w:pPr>
              <w:spacing w:after="0"/>
            </w:pPr>
            <w:r>
              <w:rPr>
                <w:b w:val="0"/>
                <w:i w:val="0"/>
                <w:sz w:val="18"/>
              </w:rPr>
              <w:t>Selling prices</w:t>
            </w:r>
          </w:p>
        </w:tc>
        <w:tc>
          <w:tcPr>
            <w:tcW w:type="dxa" w:w="1950"/>
            <w:shd w:val="clear" w:color="auto" w:fill="F7F8FA"/>
          </w:tcPr>
          <w:p>
            <w:pPr>
              <w:spacing w:after="0"/>
            </w:pPr>
            <w:r>
              <w:rPr>
                <w:b w:val="0"/>
                <w:i w:val="0"/>
                <w:sz w:val="18"/>
              </w:rPr>
              <w:t>−10 % to +10 %</w:t>
            </w:r>
          </w:p>
        </w:tc>
        <w:tc>
          <w:tcPr>
            <w:tcW w:type="dxa" w:w="4876"/>
            <w:shd w:val="clear" w:color="auto" w:fill="F7F8FA"/>
          </w:tcPr>
          <w:p>
            <w:pPr>
              <w:spacing w:after="0"/>
            </w:pPr>
            <w:r>
              <w:rPr>
                <w:b w:val="0"/>
                <w:i w:val="0"/>
                <w:sz w:val="18"/>
              </w:rPr>
              <w:t>Applied to the average selling price</w:t>
            </w:r>
          </w:p>
        </w:tc>
      </w:tr>
      <w:tr>
        <w:trPr>
          <w:cantSplit w:val="true"/>
        </w:trPr>
        <w:tc>
          <w:tcPr>
            <w:tcW w:type="dxa" w:w="2925"/>
          </w:tcPr>
          <w:p>
            <w:pPr>
              <w:spacing w:after="0"/>
            </w:pPr>
            <w:r>
              <w:rPr>
                <w:b w:val="0"/>
                <w:i w:val="0"/>
                <w:sz w:val="18"/>
              </w:rPr>
              <w:t>Unit purchase cost</w:t>
            </w:r>
          </w:p>
        </w:tc>
        <w:tc>
          <w:tcPr>
            <w:tcW w:type="dxa" w:w="1950"/>
          </w:tcPr>
          <w:p>
            <w:pPr>
              <w:spacing w:after="0"/>
            </w:pPr>
            <w:r>
              <w:rPr>
                <w:b w:val="0"/>
                <w:i w:val="0"/>
                <w:sz w:val="18"/>
              </w:rPr>
              <w:t>−10 % to +15 %</w:t>
            </w:r>
          </w:p>
        </w:tc>
        <w:tc>
          <w:tcPr>
            <w:tcW w:type="dxa" w:w="4876"/>
          </w:tcPr>
          <w:p>
            <w:pPr>
              <w:spacing w:after="0"/>
            </w:pPr>
            <w:r>
              <w:rPr>
                <w:b w:val="0"/>
                <w:i w:val="0"/>
                <w:sz w:val="18"/>
              </w:rPr>
              <w:t>Materials and components inflation</w:t>
            </w:r>
          </w:p>
        </w:tc>
      </w:tr>
      <w:tr>
        <w:trPr>
          <w:cantSplit w:val="true"/>
        </w:trPr>
        <w:tc>
          <w:tcPr>
            <w:tcW w:type="dxa" w:w="2925"/>
            <w:shd w:val="clear" w:color="auto" w:fill="F7F8FA"/>
          </w:tcPr>
          <w:p>
            <w:pPr>
              <w:spacing w:after="0"/>
            </w:pPr>
            <w:r>
              <w:rPr>
                <w:b w:val="0"/>
                <w:i w:val="0"/>
                <w:sz w:val="18"/>
              </w:rPr>
              <w:t>Average salaries</w:t>
            </w:r>
          </w:p>
        </w:tc>
        <w:tc>
          <w:tcPr>
            <w:tcW w:type="dxa" w:w="1950"/>
            <w:shd w:val="clear" w:color="auto" w:fill="F7F8FA"/>
          </w:tcPr>
          <w:p>
            <w:pPr>
              <w:spacing w:after="0"/>
            </w:pPr>
            <w:r>
              <w:rPr>
                <w:b w:val="0"/>
                <w:i w:val="0"/>
                <w:sz w:val="18"/>
              </w:rPr>
              <w:t>−5 % to +10 %</w:t>
            </w:r>
          </w:p>
        </w:tc>
        <w:tc>
          <w:tcPr>
            <w:tcW w:type="dxa" w:w="4876"/>
            <w:shd w:val="clear" w:color="auto" w:fill="F7F8FA"/>
          </w:tcPr>
          <w:p>
            <w:pPr>
              <w:spacing w:after="0"/>
            </w:pPr>
            <w:r>
              <w:rPr>
                <w:b w:val="0"/>
                <w:i w:val="0"/>
                <w:sz w:val="18"/>
              </w:rPr>
              <w:t>Social charges recalculated in turn</w:t>
            </w:r>
          </w:p>
        </w:tc>
      </w:tr>
      <w:tr>
        <w:trPr>
          <w:cantSplit w:val="true"/>
        </w:trPr>
        <w:tc>
          <w:tcPr>
            <w:tcW w:type="dxa" w:w="2925"/>
          </w:tcPr>
          <w:p>
            <w:pPr>
              <w:spacing w:after="0"/>
            </w:pPr>
            <w:r>
              <w:rPr>
                <w:b w:val="0"/>
                <w:i w:val="0"/>
                <w:sz w:val="18"/>
              </w:rPr>
              <w:t>External services</w:t>
            </w:r>
          </w:p>
        </w:tc>
        <w:tc>
          <w:tcPr>
            <w:tcW w:type="dxa" w:w="1950"/>
          </w:tcPr>
          <w:p>
            <w:pPr>
              <w:spacing w:after="0"/>
            </w:pPr>
            <w:r>
              <w:rPr>
                <w:b w:val="0"/>
                <w:i w:val="0"/>
                <w:sz w:val="18"/>
              </w:rPr>
              <w:t>−15 % to +15 %</w:t>
            </w:r>
          </w:p>
        </w:tc>
        <w:tc>
          <w:tcPr>
            <w:tcW w:type="dxa" w:w="4876"/>
          </w:tcPr>
          <w:p>
            <w:pPr>
              <w:spacing w:after="0"/>
            </w:pPr>
            <w:r>
              <w:rPr>
                <w:b w:val="0"/>
                <w:i w:val="0"/>
                <w:sz w:val="18"/>
              </w:rPr>
              <w:t>Accounts 61 and 62 (rent, energy, fees)</w:t>
            </w:r>
          </w:p>
        </w:tc>
      </w:tr>
    </w:tbl>
    <w:p>
      <w:pPr>
        <w:spacing w:after="40"/>
      </w:pPr>
    </w:p>
    <w:p>
      <w:r>
        <w:rPr>
          <w:b w:val="0"/>
          <w:i w:val="0"/>
        </w:rPr>
        <w:t>A simulation never changes the plan by itself. The planner can publish it to the open months of the forecast, or to the budget of sites still in draft; the published changes then appear in the audit trail.</w:t>
      </w:r>
    </w:p>
    <w:p>
      <w:pPr>
        <w:pStyle w:val="Heading2"/>
      </w:pPr>
      <w:r>
        <w:t>5.4 Validation rules and audit trail</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975"/>
        <w:gridCol w:w="2535"/>
        <w:gridCol w:w="1365"/>
        <w:gridCol w:w="4876"/>
      </w:tblGrid>
      <w:tr>
        <w:trPr>
          <w:tblHeader w:val="true"/>
        </w:trPr>
        <w:tc>
          <w:tcPr>
            <w:tcW w:type="dxa" w:w="975"/>
            <w:shd w:val="clear" w:color="auto" w:fill="2F5D62"/>
          </w:tcPr>
          <w:p>
            <w:r>
              <w:rPr>
                <w:b/>
                <w:i w:val="0"/>
                <w:color w:val="FFFFFF"/>
                <w:sz w:val="18"/>
              </w:rPr>
              <w:t>Rule</w:t>
            </w:r>
          </w:p>
        </w:tc>
        <w:tc>
          <w:tcPr>
            <w:tcW w:type="dxa" w:w="2535"/>
            <w:shd w:val="clear" w:color="auto" w:fill="2F5D62"/>
          </w:tcPr>
          <w:p>
            <w:r>
              <w:rPr>
                <w:b/>
                <w:i w:val="0"/>
                <w:color w:val="FFFFFF"/>
                <w:sz w:val="18"/>
              </w:rPr>
              <w:t>Applies to</w:t>
            </w:r>
          </w:p>
        </w:tc>
        <w:tc>
          <w:tcPr>
            <w:tcW w:type="dxa" w:w="1365"/>
            <w:shd w:val="clear" w:color="auto" w:fill="2F5D62"/>
          </w:tcPr>
          <w:p>
            <w:r>
              <w:rPr>
                <w:b/>
                <w:i w:val="0"/>
                <w:color w:val="FFFFFF"/>
                <w:sz w:val="18"/>
              </w:rPr>
              <w:t>Severity</w:t>
            </w:r>
          </w:p>
        </w:tc>
        <w:tc>
          <w:tcPr>
            <w:tcW w:type="dxa" w:w="4876"/>
            <w:shd w:val="clear" w:color="auto" w:fill="2F5D62"/>
          </w:tcPr>
          <w:p>
            <w:r>
              <w:rPr>
                <w:b/>
                <w:i w:val="0"/>
                <w:color w:val="FFFFFF"/>
                <w:sz w:val="18"/>
              </w:rPr>
              <w:t>Message</w:t>
            </w:r>
          </w:p>
        </w:tc>
      </w:tr>
      <w:tr>
        <w:trPr>
          <w:cantSplit w:val="true"/>
        </w:trPr>
        <w:tc>
          <w:tcPr>
            <w:tcW w:type="dxa" w:w="975"/>
          </w:tcPr>
          <w:p>
            <w:pPr>
              <w:spacing w:after="0"/>
            </w:pPr>
            <w:r>
              <w:rPr>
                <w:b w:val="0"/>
                <w:i w:val="0"/>
                <w:sz w:val="18"/>
              </w:rPr>
              <w:t>V01</w:t>
            </w:r>
          </w:p>
        </w:tc>
        <w:tc>
          <w:tcPr>
            <w:tcW w:type="dxa" w:w="2535"/>
          </w:tcPr>
          <w:p>
            <w:pPr>
              <w:spacing w:after="0"/>
            </w:pPr>
            <w:r>
              <w:rPr>
                <w:b w:val="0"/>
                <w:i w:val="0"/>
                <w:sz w:val="18"/>
              </w:rPr>
              <w:t>All input cells</w:t>
            </w:r>
          </w:p>
        </w:tc>
        <w:tc>
          <w:tcPr>
            <w:tcW w:type="dxa" w:w="1365"/>
          </w:tcPr>
          <w:p>
            <w:pPr>
              <w:spacing w:after="0"/>
            </w:pPr>
            <w:r>
              <w:rPr>
                <w:b w:val="0"/>
                <w:i w:val="0"/>
                <w:sz w:val="18"/>
              </w:rPr>
              <w:t>Error</w:t>
            </w:r>
          </w:p>
        </w:tc>
        <w:tc>
          <w:tcPr>
            <w:tcW w:type="dxa" w:w="4876"/>
          </w:tcPr>
          <w:p>
            <w:pPr>
              <w:spacing w:after="0"/>
            </w:pPr>
            <w:r>
              <w:rPr>
                <w:b w:val="0"/>
                <w:i w:val="0"/>
                <w:sz w:val="18"/>
              </w:rPr>
              <w:t>Not a number</w:t>
            </w:r>
          </w:p>
        </w:tc>
      </w:tr>
      <w:tr>
        <w:trPr>
          <w:cantSplit w:val="true"/>
        </w:trPr>
        <w:tc>
          <w:tcPr>
            <w:tcW w:type="dxa" w:w="975"/>
            <w:shd w:val="clear" w:color="auto" w:fill="F7F8FA"/>
          </w:tcPr>
          <w:p>
            <w:pPr>
              <w:spacing w:after="0"/>
            </w:pPr>
            <w:r>
              <w:rPr>
                <w:b w:val="0"/>
                <w:i w:val="0"/>
                <w:sz w:val="18"/>
              </w:rPr>
              <w:t>V02</w:t>
            </w:r>
          </w:p>
        </w:tc>
        <w:tc>
          <w:tcPr>
            <w:tcW w:type="dxa" w:w="2535"/>
            <w:shd w:val="clear" w:color="auto" w:fill="F7F8FA"/>
          </w:tcPr>
          <w:p>
            <w:pPr>
              <w:spacing w:after="0"/>
            </w:pPr>
            <w:r>
              <w:rPr>
                <w:b w:val="0"/>
                <w:i w:val="0"/>
                <w:sz w:val="18"/>
              </w:rPr>
              <w:t>All input accounts</w:t>
            </w:r>
          </w:p>
        </w:tc>
        <w:tc>
          <w:tcPr>
            <w:tcW w:type="dxa" w:w="1365"/>
            <w:shd w:val="clear" w:color="auto" w:fill="F7F8FA"/>
          </w:tcPr>
          <w:p>
            <w:pPr>
              <w:spacing w:after="0"/>
            </w:pPr>
            <w:r>
              <w:rPr>
                <w:b w:val="0"/>
                <w:i w:val="0"/>
                <w:sz w:val="18"/>
              </w:rPr>
              <w:t>Error</w:t>
            </w:r>
          </w:p>
        </w:tc>
        <w:tc>
          <w:tcPr>
            <w:tcW w:type="dxa" w:w="4876"/>
            <w:shd w:val="clear" w:color="auto" w:fill="F7F8FA"/>
          </w:tcPr>
          <w:p>
            <w:pPr>
              <w:spacing w:after="0"/>
            </w:pPr>
            <w:r>
              <w:rPr>
                <w:b w:val="0"/>
                <w:i w:val="0"/>
                <w:sz w:val="18"/>
              </w:rPr>
              <w:t>Negative amounts are not allowed on this account</w:t>
            </w:r>
          </w:p>
        </w:tc>
      </w:tr>
      <w:tr>
        <w:trPr>
          <w:cantSplit w:val="true"/>
        </w:trPr>
        <w:tc>
          <w:tcPr>
            <w:tcW w:type="dxa" w:w="975"/>
          </w:tcPr>
          <w:p>
            <w:pPr>
              <w:spacing w:after="0"/>
            </w:pPr>
            <w:r>
              <w:rPr>
                <w:b w:val="0"/>
                <w:i w:val="0"/>
                <w:sz w:val="18"/>
              </w:rPr>
              <w:t>V03</w:t>
            </w:r>
          </w:p>
        </w:tc>
        <w:tc>
          <w:tcPr>
            <w:tcW w:type="dxa" w:w="2535"/>
          </w:tcPr>
          <w:p>
            <w:pPr>
              <w:spacing w:after="0"/>
            </w:pPr>
            <w:r>
              <w:rPr>
                <w:b w:val="0"/>
                <w:i w:val="0"/>
                <w:sz w:val="18"/>
              </w:rPr>
              <w:t>PRICE, SAL</w:t>
            </w:r>
          </w:p>
        </w:tc>
        <w:tc>
          <w:tcPr>
            <w:tcW w:type="dxa" w:w="1365"/>
          </w:tcPr>
          <w:p>
            <w:pPr>
              <w:spacing w:after="0"/>
            </w:pPr>
            <w:r>
              <w:rPr>
                <w:b w:val="0"/>
                <w:i w:val="0"/>
                <w:sz w:val="18"/>
              </w:rPr>
              <w:t>Error</w:t>
            </w:r>
          </w:p>
        </w:tc>
        <w:tc>
          <w:tcPr>
            <w:tcW w:type="dxa" w:w="4876"/>
          </w:tcPr>
          <w:p>
            <w:pPr>
              <w:spacing w:after="0"/>
            </w:pPr>
            <w:r>
              <w:rPr>
                <w:b w:val="0"/>
                <w:i w:val="0"/>
                <w:sz w:val="18"/>
              </w:rPr>
              <w:t>Value must be greater than zero</w:t>
            </w:r>
          </w:p>
        </w:tc>
      </w:tr>
      <w:tr>
        <w:trPr>
          <w:cantSplit w:val="true"/>
        </w:trPr>
        <w:tc>
          <w:tcPr>
            <w:tcW w:type="dxa" w:w="975"/>
            <w:shd w:val="clear" w:color="auto" w:fill="F7F8FA"/>
          </w:tcPr>
          <w:p>
            <w:pPr>
              <w:spacing w:after="0"/>
            </w:pPr>
            <w:r>
              <w:rPr>
                <w:b w:val="0"/>
                <w:i w:val="0"/>
                <w:sz w:val="18"/>
              </w:rPr>
              <w:t>V04</w:t>
            </w:r>
          </w:p>
        </w:tc>
        <w:tc>
          <w:tcPr>
            <w:tcW w:type="dxa" w:w="2535"/>
            <w:shd w:val="clear" w:color="auto" w:fill="F7F8FA"/>
          </w:tcPr>
          <w:p>
            <w:pPr>
              <w:spacing w:after="0"/>
            </w:pPr>
            <w:r>
              <w:rPr>
                <w:b w:val="0"/>
                <w:i w:val="0"/>
                <w:sz w:val="18"/>
              </w:rPr>
              <w:t>UNITS</w:t>
            </w:r>
          </w:p>
        </w:tc>
        <w:tc>
          <w:tcPr>
            <w:tcW w:type="dxa" w:w="1365"/>
            <w:shd w:val="clear" w:color="auto" w:fill="F7F8FA"/>
          </w:tcPr>
          <w:p>
            <w:pPr>
              <w:spacing w:after="0"/>
            </w:pPr>
            <w:r>
              <w:rPr>
                <w:b w:val="0"/>
                <w:i w:val="0"/>
                <w:sz w:val="18"/>
              </w:rPr>
              <w:t>Error</w:t>
            </w:r>
          </w:p>
        </w:tc>
        <w:tc>
          <w:tcPr>
            <w:tcW w:type="dxa" w:w="4876"/>
            <w:shd w:val="clear" w:color="auto" w:fill="F7F8FA"/>
          </w:tcPr>
          <w:p>
            <w:pPr>
              <w:spacing w:after="0"/>
            </w:pPr>
            <w:r>
              <w:rPr>
                <w:b w:val="0"/>
                <w:i w:val="0"/>
                <w:sz w:val="18"/>
              </w:rPr>
              <w:t>Units must be a whole number</w:t>
            </w:r>
          </w:p>
        </w:tc>
      </w:tr>
      <w:tr>
        <w:trPr>
          <w:cantSplit w:val="true"/>
        </w:trPr>
        <w:tc>
          <w:tcPr>
            <w:tcW w:type="dxa" w:w="975"/>
          </w:tcPr>
          <w:p>
            <w:pPr>
              <w:spacing w:after="0"/>
            </w:pPr>
            <w:r>
              <w:rPr>
                <w:b w:val="0"/>
                <w:i w:val="0"/>
                <w:sz w:val="18"/>
              </w:rPr>
              <w:t>V05</w:t>
            </w:r>
          </w:p>
        </w:tc>
        <w:tc>
          <w:tcPr>
            <w:tcW w:type="dxa" w:w="2535"/>
          </w:tcPr>
          <w:p>
            <w:pPr>
              <w:spacing w:after="0"/>
            </w:pPr>
            <w:r>
              <w:rPr>
                <w:b w:val="0"/>
                <w:i w:val="0"/>
                <w:sz w:val="18"/>
              </w:rPr>
              <w:t>All input accounts</w:t>
            </w:r>
          </w:p>
        </w:tc>
        <w:tc>
          <w:tcPr>
            <w:tcW w:type="dxa" w:w="1365"/>
          </w:tcPr>
          <w:p>
            <w:pPr>
              <w:spacing w:after="0"/>
            </w:pPr>
            <w:r>
              <w:rPr>
                <w:b w:val="0"/>
                <w:i w:val="0"/>
                <w:sz w:val="18"/>
              </w:rPr>
              <w:t>Warning</w:t>
            </w:r>
          </w:p>
        </w:tc>
        <w:tc>
          <w:tcPr>
            <w:tcW w:type="dxa" w:w="4876"/>
          </w:tcPr>
          <w:p>
            <w:pPr>
              <w:spacing w:after="0"/>
            </w:pPr>
            <w:r>
              <w:rPr>
                <w:b w:val="0"/>
                <w:i w:val="0"/>
                <w:sz w:val="18"/>
              </w:rPr>
              <w:t>Change of more than ±50 % against the reference plan for the same month</w:t>
            </w:r>
          </w:p>
        </w:tc>
      </w:tr>
    </w:tbl>
    <w:p>
      <w:pPr>
        <w:spacing w:after="40"/>
      </w:pPr>
    </w:p>
    <w:p>
      <w:r>
        <w:rPr>
          <w:b w:val="0"/>
          <w:i w:val="0"/>
        </w:rPr>
        <w:t>Errors block saving. Warnings are shown on the cell and can be justified with a cell comment. Every saved change is logged with its author, time, old and new value, and source (form, spreading, simulation or import).</w:t>
      </w:r>
    </w:p>
    <w:p>
      <w:pPr>
        <w:pStyle w:val="Heading1"/>
      </w:pPr>
      <w:r>
        <w:t>6. Business rules</w:t>
      </w:r>
    </w:p>
    <w:p>
      <w:r>
        <w:rPr>
          <w:b w:val="0"/>
          <w:i w:val="0"/>
        </w:rPr>
        <w:t>Rules run automatically when a form is saved (for the planning unit being edited) and can also be launched from the rules page. On the forecast they only touch open months; on the Working budget they cover the whole year.</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755"/>
        <w:gridCol w:w="1950"/>
        <w:gridCol w:w="1950"/>
        <w:gridCol w:w="4096"/>
      </w:tblGrid>
      <w:tr>
        <w:trPr>
          <w:tblHeader w:val="true"/>
        </w:trPr>
        <w:tc>
          <w:tcPr>
            <w:tcW w:type="dxa" w:w="1755"/>
            <w:shd w:val="clear" w:color="auto" w:fill="2F5D62"/>
          </w:tcPr>
          <w:p>
            <w:r>
              <w:rPr>
                <w:b/>
                <w:i w:val="0"/>
                <w:color w:val="FFFFFF"/>
                <w:sz w:val="18"/>
              </w:rPr>
              <w:t>Rule</w:t>
            </w:r>
          </w:p>
        </w:tc>
        <w:tc>
          <w:tcPr>
            <w:tcW w:type="dxa" w:w="1950"/>
            <w:shd w:val="clear" w:color="auto" w:fill="2F5D62"/>
          </w:tcPr>
          <w:p>
            <w:r>
              <w:rPr>
                <w:b/>
                <w:i w:val="0"/>
                <w:color w:val="FFFFFF"/>
                <w:sz w:val="18"/>
              </w:rPr>
              <w:t>Trigger</w:t>
            </w:r>
          </w:p>
        </w:tc>
        <w:tc>
          <w:tcPr>
            <w:tcW w:type="dxa" w:w="1950"/>
            <w:shd w:val="clear" w:color="auto" w:fill="2F5D62"/>
          </w:tcPr>
          <w:p>
            <w:r>
              <w:rPr>
                <w:b/>
                <w:i w:val="0"/>
                <w:color w:val="FFFFFF"/>
                <w:sz w:val="18"/>
              </w:rPr>
              <w:t>Scope</w:t>
            </w:r>
          </w:p>
        </w:tc>
        <w:tc>
          <w:tcPr>
            <w:tcW w:type="dxa" w:w="4095"/>
            <w:shd w:val="clear" w:color="auto" w:fill="2F5D62"/>
          </w:tcPr>
          <w:p>
            <w:r>
              <w:rPr>
                <w:b/>
                <w:i w:val="0"/>
                <w:color w:val="FFFFFF"/>
                <w:sz w:val="18"/>
              </w:rPr>
              <w:t>Logic</w:t>
            </w:r>
          </w:p>
        </w:tc>
      </w:tr>
      <w:tr>
        <w:trPr>
          <w:cantSplit w:val="true"/>
        </w:trPr>
        <w:tc>
          <w:tcPr>
            <w:tcW w:type="dxa" w:w="1755"/>
          </w:tcPr>
          <w:p>
            <w:pPr>
              <w:spacing w:after="0"/>
            </w:pPr>
            <w:r>
              <w:rPr>
                <w:b w:val="0"/>
                <w:i w:val="0"/>
                <w:sz w:val="18"/>
              </w:rPr>
              <w:t>BR_CalcRevenue</w:t>
            </w:r>
          </w:p>
        </w:tc>
        <w:tc>
          <w:tcPr>
            <w:tcW w:type="dxa" w:w="1950"/>
          </w:tcPr>
          <w:p>
            <w:pPr>
              <w:spacing w:after="0"/>
            </w:pPr>
            <w:r>
              <w:rPr>
                <w:b w:val="0"/>
                <w:i w:val="0"/>
                <w:sz w:val="18"/>
              </w:rPr>
              <w:t>On save; on demand</w:t>
            </w:r>
          </w:p>
        </w:tc>
        <w:tc>
          <w:tcPr>
            <w:tcW w:type="dxa" w:w="1950"/>
          </w:tcPr>
          <w:p>
            <w:pPr>
              <w:spacing w:after="0"/>
            </w:pPr>
            <w:r>
              <w:rPr>
                <w:b w:val="0"/>
                <w:i w:val="0"/>
                <w:sz w:val="18"/>
              </w:rPr>
              <w:t>Sales sites (PAR, LIL)</w:t>
            </w:r>
          </w:p>
        </w:tc>
        <w:tc>
          <w:tcPr>
            <w:tcW w:type="dxa" w:w="4095"/>
          </w:tcPr>
          <w:p>
            <w:pPr>
              <w:spacing w:after="0"/>
            </w:pPr>
            <w:r>
              <w:rPr>
                <w:b w:val="0"/>
                <w:i w:val="0"/>
                <w:sz w:val="18"/>
              </w:rPr>
              <w:t>706 = round(UNITS × PRICE)</w:t>
            </w:r>
          </w:p>
        </w:tc>
      </w:tr>
      <w:tr>
        <w:trPr>
          <w:cantSplit w:val="true"/>
        </w:trPr>
        <w:tc>
          <w:tcPr>
            <w:tcW w:type="dxa" w:w="1755"/>
            <w:shd w:val="clear" w:color="auto" w:fill="F7F8FA"/>
          </w:tcPr>
          <w:p>
            <w:pPr>
              <w:spacing w:after="0"/>
            </w:pPr>
            <w:r>
              <w:rPr>
                <w:b w:val="0"/>
                <w:i w:val="0"/>
                <w:sz w:val="18"/>
              </w:rPr>
              <w:t>BR_CalcPayroll</w:t>
            </w:r>
          </w:p>
        </w:tc>
        <w:tc>
          <w:tcPr>
            <w:tcW w:type="dxa" w:w="1950"/>
            <w:shd w:val="clear" w:color="auto" w:fill="F7F8FA"/>
          </w:tcPr>
          <w:p>
            <w:pPr>
              <w:spacing w:after="0"/>
            </w:pPr>
            <w:r>
              <w:rPr>
                <w:b w:val="0"/>
                <w:i w:val="0"/>
                <w:sz w:val="18"/>
              </w:rPr>
              <w:t>On save; on demand</w:t>
            </w:r>
          </w:p>
        </w:tc>
        <w:tc>
          <w:tcPr>
            <w:tcW w:type="dxa" w:w="1950"/>
            <w:shd w:val="clear" w:color="auto" w:fill="F7F8FA"/>
          </w:tcPr>
          <w:p>
            <w:pPr>
              <w:spacing w:after="0"/>
            </w:pPr>
            <w:r>
              <w:rPr>
                <w:b w:val="0"/>
                <w:i w:val="0"/>
                <w:sz w:val="18"/>
              </w:rPr>
              <w:t>All sites</w:t>
            </w:r>
          </w:p>
        </w:tc>
        <w:tc>
          <w:tcPr>
            <w:tcW w:type="dxa" w:w="4095"/>
            <w:shd w:val="clear" w:color="auto" w:fill="F7F8FA"/>
          </w:tcPr>
          <w:p>
            <w:pPr>
              <w:spacing w:after="0"/>
            </w:pPr>
            <w:r>
              <w:rPr>
                <w:b w:val="0"/>
                <w:i w:val="0"/>
                <w:sz w:val="18"/>
              </w:rPr>
              <w:t>641 = HC × SAL, doubled in December (13th month); 645 = 641 × 42 %</w:t>
            </w:r>
          </w:p>
        </w:tc>
      </w:tr>
      <w:tr>
        <w:trPr>
          <w:cantSplit w:val="true"/>
        </w:trPr>
        <w:tc>
          <w:tcPr>
            <w:tcW w:type="dxa" w:w="1755"/>
          </w:tcPr>
          <w:p>
            <w:pPr>
              <w:spacing w:after="0"/>
            </w:pPr>
            <w:r>
              <w:rPr>
                <w:b w:val="0"/>
                <w:i w:val="0"/>
                <w:sz w:val="18"/>
              </w:rPr>
              <w:t>BR_AllocHQ</w:t>
            </w:r>
          </w:p>
        </w:tc>
        <w:tc>
          <w:tcPr>
            <w:tcW w:type="dxa" w:w="1950"/>
          </w:tcPr>
          <w:p>
            <w:pPr>
              <w:spacing w:after="0"/>
            </w:pPr>
            <w:r>
              <w:rPr>
                <w:b w:val="0"/>
                <w:i w:val="0"/>
                <w:sz w:val="18"/>
              </w:rPr>
              <w:t>After payroll; on demand</w:t>
            </w:r>
          </w:p>
        </w:tc>
        <w:tc>
          <w:tcPr>
            <w:tcW w:type="dxa" w:w="1950"/>
          </w:tcPr>
          <w:p>
            <w:pPr>
              <w:spacing w:after="0"/>
            </w:pPr>
            <w:r>
              <w:rPr>
                <w:b w:val="0"/>
                <w:i w:val="0"/>
                <w:sz w:val="18"/>
              </w:rPr>
              <w:t>LYO to PAR and LIL</w:t>
            </w:r>
          </w:p>
        </w:tc>
        <w:tc>
          <w:tcPr>
            <w:tcW w:type="dxa" w:w="4095"/>
          </w:tcPr>
          <w:p>
            <w:pPr>
              <w:spacing w:after="0"/>
            </w:pPr>
            <w:r>
              <w:rPr>
                <w:b w:val="0"/>
                <w:i w:val="0"/>
                <w:sz w:val="18"/>
              </w:rPr>
              <w:t>Pool = LYO 61 + 62 + 63 + 641 + 645; PAR receives pool × HC(PAR) / (HC(PAR) + HC(LIL)); LIL the rest; LYO ALLOC = − pool</w:t>
            </w:r>
          </w:p>
        </w:tc>
      </w:tr>
      <w:tr>
        <w:trPr>
          <w:cantSplit w:val="true"/>
        </w:trPr>
        <w:tc>
          <w:tcPr>
            <w:tcW w:type="dxa" w:w="1755"/>
            <w:shd w:val="clear" w:color="auto" w:fill="F7F8FA"/>
          </w:tcPr>
          <w:p>
            <w:pPr>
              <w:spacing w:after="0"/>
            </w:pPr>
            <w:r>
              <w:rPr>
                <w:b w:val="0"/>
                <w:i w:val="0"/>
                <w:sz w:val="18"/>
              </w:rPr>
              <w:t>BR_CopyToFinal</w:t>
            </w:r>
          </w:p>
        </w:tc>
        <w:tc>
          <w:tcPr>
            <w:tcW w:type="dxa" w:w="1950"/>
            <w:shd w:val="clear" w:color="auto" w:fill="F7F8FA"/>
          </w:tcPr>
          <w:p>
            <w:pPr>
              <w:spacing w:after="0"/>
            </w:pPr>
            <w:r>
              <w:rPr>
                <w:b w:val="0"/>
                <w:i w:val="0"/>
                <w:sz w:val="18"/>
              </w:rPr>
              <w:t>On budget approval</w:t>
            </w:r>
          </w:p>
        </w:tc>
        <w:tc>
          <w:tcPr>
            <w:tcW w:type="dxa" w:w="1950"/>
            <w:shd w:val="clear" w:color="auto" w:fill="F7F8FA"/>
          </w:tcPr>
          <w:p>
            <w:pPr>
              <w:spacing w:after="0"/>
            </w:pPr>
            <w:r>
              <w:rPr>
                <w:b w:val="0"/>
                <w:i w:val="0"/>
                <w:sz w:val="18"/>
              </w:rPr>
              <w:t>The approved site, FY27</w:t>
            </w:r>
          </w:p>
        </w:tc>
        <w:tc>
          <w:tcPr>
            <w:tcW w:type="dxa" w:w="4095"/>
            <w:shd w:val="clear" w:color="auto" w:fill="F7F8FA"/>
          </w:tcPr>
          <w:p>
            <w:pPr>
              <w:spacing w:after="0"/>
            </w:pPr>
            <w:r>
              <w:rPr>
                <w:b w:val="0"/>
                <w:i w:val="0"/>
                <w:sz w:val="18"/>
              </w:rPr>
              <w:t>Copy every stored account from Working to Final</w:t>
            </w:r>
          </w:p>
        </w:tc>
      </w:tr>
    </w:tbl>
    <w:p>
      <w:pPr>
        <w:spacing w:after="40"/>
      </w:pPr>
    </w:p>
    <w:tbl>
      <w:tblPr>
        <w:tblW w:type="dxa" w:w="9752"/>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752"/>
      </w:tblGrid>
      <w:tr>
        <w:tc>
          <w:tcPr>
            <w:tcW w:type="dxa" w:w="9751"/>
            <w:shd w:val="clear" w:color="auto" w:fill="FBF3E4"/>
          </w:tcPr>
          <w:p>
            <w:pPr>
              <w:spacing w:after="40"/>
            </w:pPr>
            <w:r>
              <w:rPr>
                <w:b/>
                <w:i w:val="0"/>
                <w:color w:val="8A5410"/>
                <w:sz w:val="21"/>
              </w:rPr>
              <w:t>Rule order and stale data</w:t>
            </w:r>
          </w:p>
          <w:p>
            <w:r>
              <w:rPr>
                <w:b w:val="0"/>
                <w:i w:val="0"/>
              </w:rPr>
              <w:t>Revenue and payroll run before the allocation, because the allocation uses the head office's payroll. If a driver changes and a rule has not run since, the form shows the calculation as out of date and the site cannot submit its budget until the rules are run again.</w:t>
            </w:r>
          </w:p>
        </w:tc>
      </w:tr>
    </w:tbl>
    <w:p>
      <w:pPr>
        <w:spacing w:after="40"/>
      </w:pPr>
    </w:p>
    <w:p>
      <w:pPr>
        <w:pStyle w:val="Heading1"/>
      </w:pPr>
      <w:r>
        <w:t>7. Data integration</w:t>
      </w:r>
    </w:p>
    <w:p>
      <w:pPr>
        <w:pStyle w:val="Heading2"/>
      </w:pPr>
      <w:r>
        <w:t>7.1 Source file</w:t>
      </w:r>
    </w:p>
    <w:p>
      <w:r>
        <w:rPr>
          <w:b w:val="0"/>
          <w:i w:val="0"/>
        </w:rPr>
        <w:t>Each month the ERP produces one semicolon-separated file per company (FR01, FR02, FR03) with the columns company, account, label, period (YYYY-MM) and amount, using a decimal comma. Statistical accounts carry units sold and headcount.</w:t>
      </w:r>
    </w:p>
    <w:p>
      <w:pPr>
        <w:pStyle w:val="Heading2"/>
      </w:pPr>
      <w:r>
        <w:t>7.2 Account mapping</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755"/>
        <w:gridCol w:w="4096"/>
        <w:gridCol w:w="2145"/>
        <w:gridCol w:w="1755"/>
      </w:tblGrid>
      <w:tr>
        <w:trPr>
          <w:tblHeader w:val="true"/>
        </w:trPr>
        <w:tc>
          <w:tcPr>
            <w:tcW w:type="dxa" w:w="1755"/>
            <w:shd w:val="clear" w:color="auto" w:fill="2F5D62"/>
          </w:tcPr>
          <w:p>
            <w:r>
              <w:rPr>
                <w:b/>
                <w:i w:val="0"/>
                <w:color w:val="FFFFFF"/>
                <w:sz w:val="18"/>
              </w:rPr>
              <w:t>ERP account</w:t>
            </w:r>
          </w:p>
        </w:tc>
        <w:tc>
          <w:tcPr>
            <w:tcW w:type="dxa" w:w="4095"/>
            <w:shd w:val="clear" w:color="auto" w:fill="2F5D62"/>
          </w:tcPr>
          <w:p>
            <w:r>
              <w:rPr>
                <w:b/>
                <w:i w:val="0"/>
                <w:color w:val="FFFFFF"/>
                <w:sz w:val="18"/>
              </w:rPr>
              <w:t>Description</w:t>
            </w:r>
          </w:p>
        </w:tc>
        <w:tc>
          <w:tcPr>
            <w:tcW w:type="dxa" w:w="2145"/>
            <w:shd w:val="clear" w:color="auto" w:fill="2F5D62"/>
          </w:tcPr>
          <w:p>
            <w:r>
              <w:rPr>
                <w:b/>
                <w:i w:val="0"/>
                <w:color w:val="FFFFFF"/>
                <w:sz w:val="18"/>
              </w:rPr>
              <w:t>Planning account</w:t>
            </w:r>
          </w:p>
        </w:tc>
        <w:tc>
          <w:tcPr>
            <w:tcW w:type="dxa" w:w="1755"/>
            <w:shd w:val="clear" w:color="auto" w:fill="2F5D62"/>
          </w:tcPr>
          <w:p>
            <w:r>
              <w:rPr>
                <w:b/>
                <w:i w:val="0"/>
                <w:color w:val="FFFFFF"/>
                <w:sz w:val="18"/>
              </w:rPr>
              <w:t>Sign</w:t>
            </w:r>
          </w:p>
        </w:tc>
      </w:tr>
      <w:tr>
        <w:trPr>
          <w:cantSplit w:val="true"/>
        </w:trPr>
        <w:tc>
          <w:tcPr>
            <w:tcW w:type="dxa" w:w="1755"/>
          </w:tcPr>
          <w:p>
            <w:pPr>
              <w:spacing w:after="0"/>
            </w:pPr>
            <w:r>
              <w:rPr>
                <w:b w:val="0"/>
                <w:i w:val="0"/>
                <w:sz w:val="18"/>
              </w:rPr>
              <w:t>706*</w:t>
            </w:r>
          </w:p>
        </w:tc>
        <w:tc>
          <w:tcPr>
            <w:tcW w:type="dxa" w:w="4095"/>
          </w:tcPr>
          <w:p>
            <w:pPr>
              <w:spacing w:after="0"/>
            </w:pPr>
            <w:r>
              <w:rPr>
                <w:b w:val="0"/>
                <w:i w:val="0"/>
                <w:sz w:val="18"/>
              </w:rPr>
              <w:t>Sales of finished goods</w:t>
            </w:r>
          </w:p>
        </w:tc>
        <w:tc>
          <w:tcPr>
            <w:tcW w:type="dxa" w:w="2145"/>
          </w:tcPr>
          <w:p>
            <w:pPr>
              <w:spacing w:after="0"/>
            </w:pPr>
            <w:r>
              <w:rPr>
                <w:b w:val="0"/>
                <w:i w:val="0"/>
                <w:sz w:val="18"/>
              </w:rPr>
              <w:t>706</w:t>
            </w:r>
          </w:p>
        </w:tc>
        <w:tc>
          <w:tcPr>
            <w:tcW w:type="dxa" w:w="1755"/>
          </w:tcPr>
          <w:p>
            <w:pPr>
              <w:spacing w:after="0"/>
            </w:pPr>
            <w:r>
              <w:rPr>
                <w:b w:val="0"/>
                <w:i w:val="0"/>
                <w:sz w:val="18"/>
              </w:rPr>
              <w:t>Reversed (credit)</w:t>
            </w:r>
          </w:p>
        </w:tc>
      </w:tr>
      <w:tr>
        <w:trPr>
          <w:cantSplit w:val="true"/>
        </w:trPr>
        <w:tc>
          <w:tcPr>
            <w:tcW w:type="dxa" w:w="1755"/>
            <w:shd w:val="clear" w:color="auto" w:fill="F7F8FA"/>
          </w:tcPr>
          <w:p>
            <w:pPr>
              <w:spacing w:after="0"/>
            </w:pPr>
            <w:r>
              <w:rPr>
                <w:b w:val="0"/>
                <w:i w:val="0"/>
                <w:sz w:val="18"/>
              </w:rPr>
              <w:t>607*</w:t>
            </w:r>
          </w:p>
        </w:tc>
        <w:tc>
          <w:tcPr>
            <w:tcW w:type="dxa" w:w="4095"/>
            <w:shd w:val="clear" w:color="auto" w:fill="F7F8FA"/>
          </w:tcPr>
          <w:p>
            <w:pPr>
              <w:spacing w:after="0"/>
            </w:pPr>
            <w:r>
              <w:rPr>
                <w:b w:val="0"/>
                <w:i w:val="0"/>
                <w:sz w:val="18"/>
              </w:rPr>
              <w:t>Purchases of goods</w:t>
            </w:r>
          </w:p>
        </w:tc>
        <w:tc>
          <w:tcPr>
            <w:tcW w:type="dxa" w:w="2145"/>
            <w:shd w:val="clear" w:color="auto" w:fill="F7F8FA"/>
          </w:tcPr>
          <w:p>
            <w:pPr>
              <w:spacing w:after="0"/>
            </w:pPr>
            <w:r>
              <w:rPr>
                <w:b w:val="0"/>
                <w:i w:val="0"/>
                <w:sz w:val="18"/>
              </w:rPr>
              <w:t>607</w:t>
            </w:r>
          </w:p>
        </w:tc>
        <w:tc>
          <w:tcPr>
            <w:tcW w:type="dxa" w:w="1755"/>
            <w:shd w:val="clear" w:color="auto" w:fill="F7F8FA"/>
          </w:tcPr>
          <w:p>
            <w:pPr>
              <w:spacing w:after="0"/>
            </w:pPr>
            <w:r>
              <w:rPr>
                <w:b w:val="0"/>
                <w:i w:val="0"/>
                <w:sz w:val="18"/>
              </w:rPr>
              <w:t>As loaded</w:t>
            </w:r>
          </w:p>
        </w:tc>
      </w:tr>
      <w:tr>
        <w:trPr>
          <w:cantSplit w:val="true"/>
        </w:trPr>
        <w:tc>
          <w:tcPr>
            <w:tcW w:type="dxa" w:w="1755"/>
          </w:tcPr>
          <w:p>
            <w:pPr>
              <w:spacing w:after="0"/>
            </w:pPr>
            <w:r>
              <w:rPr>
                <w:b w:val="0"/>
                <w:i w:val="0"/>
                <w:sz w:val="18"/>
              </w:rPr>
              <w:t>606*, 613*</w:t>
            </w:r>
          </w:p>
        </w:tc>
        <w:tc>
          <w:tcPr>
            <w:tcW w:type="dxa" w:w="4095"/>
          </w:tcPr>
          <w:p>
            <w:pPr>
              <w:spacing w:after="0"/>
            </w:pPr>
            <w:r>
              <w:rPr>
                <w:b w:val="0"/>
                <w:i w:val="0"/>
                <w:sz w:val="18"/>
              </w:rPr>
              <w:t>Energy and supplies; rent</w:t>
            </w:r>
          </w:p>
        </w:tc>
        <w:tc>
          <w:tcPr>
            <w:tcW w:type="dxa" w:w="2145"/>
          </w:tcPr>
          <w:p>
            <w:pPr>
              <w:spacing w:after="0"/>
            </w:pPr>
            <w:r>
              <w:rPr>
                <w:b w:val="0"/>
                <w:i w:val="0"/>
                <w:sz w:val="18"/>
              </w:rPr>
              <w:t>61</w:t>
            </w:r>
          </w:p>
        </w:tc>
        <w:tc>
          <w:tcPr>
            <w:tcW w:type="dxa" w:w="1755"/>
          </w:tcPr>
          <w:p>
            <w:pPr>
              <w:spacing w:after="0"/>
            </w:pPr>
            <w:r>
              <w:rPr>
                <w:b w:val="0"/>
                <w:i w:val="0"/>
                <w:sz w:val="18"/>
              </w:rPr>
              <w:t>As loaded</w:t>
            </w:r>
          </w:p>
        </w:tc>
      </w:tr>
      <w:tr>
        <w:trPr>
          <w:cantSplit w:val="true"/>
        </w:trPr>
        <w:tc>
          <w:tcPr>
            <w:tcW w:type="dxa" w:w="1755"/>
            <w:shd w:val="clear" w:color="auto" w:fill="F7F8FA"/>
          </w:tcPr>
          <w:p>
            <w:pPr>
              <w:spacing w:after="0"/>
            </w:pPr>
            <w:r>
              <w:rPr>
                <w:b w:val="0"/>
                <w:i w:val="0"/>
                <w:sz w:val="18"/>
              </w:rPr>
              <w:t>622*, 625*, 626*</w:t>
            </w:r>
          </w:p>
        </w:tc>
        <w:tc>
          <w:tcPr>
            <w:tcW w:type="dxa" w:w="4095"/>
            <w:shd w:val="clear" w:color="auto" w:fill="F7F8FA"/>
          </w:tcPr>
          <w:p>
            <w:pPr>
              <w:spacing w:after="0"/>
            </w:pPr>
            <w:r>
              <w:rPr>
                <w:b w:val="0"/>
                <w:i w:val="0"/>
                <w:sz w:val="18"/>
              </w:rPr>
              <w:t>Fees; travel; telecoms</w:t>
            </w:r>
          </w:p>
        </w:tc>
        <w:tc>
          <w:tcPr>
            <w:tcW w:type="dxa" w:w="2145"/>
            <w:shd w:val="clear" w:color="auto" w:fill="F7F8FA"/>
          </w:tcPr>
          <w:p>
            <w:pPr>
              <w:spacing w:after="0"/>
            </w:pPr>
            <w:r>
              <w:rPr>
                <w:b w:val="0"/>
                <w:i w:val="0"/>
                <w:sz w:val="18"/>
              </w:rPr>
              <w:t>62</w:t>
            </w:r>
          </w:p>
        </w:tc>
        <w:tc>
          <w:tcPr>
            <w:tcW w:type="dxa" w:w="1755"/>
            <w:shd w:val="clear" w:color="auto" w:fill="F7F8FA"/>
          </w:tcPr>
          <w:p>
            <w:pPr>
              <w:spacing w:after="0"/>
            </w:pPr>
            <w:r>
              <w:rPr>
                <w:b w:val="0"/>
                <w:i w:val="0"/>
                <w:sz w:val="18"/>
              </w:rPr>
              <w:t>As loaded</w:t>
            </w:r>
          </w:p>
        </w:tc>
      </w:tr>
      <w:tr>
        <w:trPr>
          <w:cantSplit w:val="true"/>
        </w:trPr>
        <w:tc>
          <w:tcPr>
            <w:tcW w:type="dxa" w:w="1755"/>
          </w:tcPr>
          <w:p>
            <w:pPr>
              <w:spacing w:after="0"/>
            </w:pPr>
            <w:r>
              <w:rPr>
                <w:b w:val="0"/>
                <w:i w:val="0"/>
                <w:sz w:val="18"/>
              </w:rPr>
              <w:t>635*</w:t>
            </w:r>
          </w:p>
        </w:tc>
        <w:tc>
          <w:tcPr>
            <w:tcW w:type="dxa" w:w="4095"/>
          </w:tcPr>
          <w:p>
            <w:pPr>
              <w:spacing w:after="0"/>
            </w:pPr>
            <w:r>
              <w:rPr>
                <w:b w:val="0"/>
                <w:i w:val="0"/>
                <w:sz w:val="18"/>
              </w:rPr>
              <w:t>Taxes (CFE)</w:t>
            </w:r>
          </w:p>
        </w:tc>
        <w:tc>
          <w:tcPr>
            <w:tcW w:type="dxa" w:w="2145"/>
          </w:tcPr>
          <w:p>
            <w:pPr>
              <w:spacing w:after="0"/>
            </w:pPr>
            <w:r>
              <w:rPr>
                <w:b w:val="0"/>
                <w:i w:val="0"/>
                <w:sz w:val="18"/>
              </w:rPr>
              <w:t>63</w:t>
            </w:r>
          </w:p>
        </w:tc>
        <w:tc>
          <w:tcPr>
            <w:tcW w:type="dxa" w:w="1755"/>
          </w:tcPr>
          <w:p>
            <w:pPr>
              <w:spacing w:after="0"/>
            </w:pPr>
            <w:r>
              <w:rPr>
                <w:b w:val="0"/>
                <w:i w:val="0"/>
                <w:sz w:val="18"/>
              </w:rPr>
              <w:t>As loaded</w:t>
            </w:r>
          </w:p>
        </w:tc>
      </w:tr>
      <w:tr>
        <w:trPr>
          <w:cantSplit w:val="true"/>
        </w:trPr>
        <w:tc>
          <w:tcPr>
            <w:tcW w:type="dxa" w:w="1755"/>
            <w:shd w:val="clear" w:color="auto" w:fill="F7F8FA"/>
          </w:tcPr>
          <w:p>
            <w:pPr>
              <w:spacing w:after="0"/>
            </w:pPr>
            <w:r>
              <w:rPr>
                <w:b w:val="0"/>
                <w:i w:val="0"/>
                <w:sz w:val="18"/>
              </w:rPr>
              <w:t>641*</w:t>
            </w:r>
          </w:p>
        </w:tc>
        <w:tc>
          <w:tcPr>
            <w:tcW w:type="dxa" w:w="4095"/>
            <w:shd w:val="clear" w:color="auto" w:fill="F7F8FA"/>
          </w:tcPr>
          <w:p>
            <w:pPr>
              <w:spacing w:after="0"/>
            </w:pPr>
            <w:r>
              <w:rPr>
                <w:b w:val="0"/>
                <w:i w:val="0"/>
                <w:sz w:val="18"/>
              </w:rPr>
              <w:t>Salaries and bonuses</w:t>
            </w:r>
          </w:p>
        </w:tc>
        <w:tc>
          <w:tcPr>
            <w:tcW w:type="dxa" w:w="2145"/>
            <w:shd w:val="clear" w:color="auto" w:fill="F7F8FA"/>
          </w:tcPr>
          <w:p>
            <w:pPr>
              <w:spacing w:after="0"/>
            </w:pPr>
            <w:r>
              <w:rPr>
                <w:b w:val="0"/>
                <w:i w:val="0"/>
                <w:sz w:val="18"/>
              </w:rPr>
              <w:t>641</w:t>
            </w:r>
          </w:p>
        </w:tc>
        <w:tc>
          <w:tcPr>
            <w:tcW w:type="dxa" w:w="1755"/>
            <w:shd w:val="clear" w:color="auto" w:fill="F7F8FA"/>
          </w:tcPr>
          <w:p>
            <w:pPr>
              <w:spacing w:after="0"/>
            </w:pPr>
            <w:r>
              <w:rPr>
                <w:b w:val="0"/>
                <w:i w:val="0"/>
                <w:sz w:val="18"/>
              </w:rPr>
              <w:t>As loaded</w:t>
            </w:r>
          </w:p>
        </w:tc>
      </w:tr>
      <w:tr>
        <w:trPr>
          <w:cantSplit w:val="true"/>
        </w:trPr>
        <w:tc>
          <w:tcPr>
            <w:tcW w:type="dxa" w:w="1755"/>
          </w:tcPr>
          <w:p>
            <w:pPr>
              <w:spacing w:after="0"/>
            </w:pPr>
            <w:r>
              <w:rPr>
                <w:b w:val="0"/>
                <w:i w:val="0"/>
                <w:sz w:val="18"/>
              </w:rPr>
              <w:t>645*</w:t>
            </w:r>
          </w:p>
        </w:tc>
        <w:tc>
          <w:tcPr>
            <w:tcW w:type="dxa" w:w="4095"/>
          </w:tcPr>
          <w:p>
            <w:pPr>
              <w:spacing w:after="0"/>
            </w:pPr>
            <w:r>
              <w:rPr>
                <w:b w:val="0"/>
                <w:i w:val="0"/>
                <w:sz w:val="18"/>
              </w:rPr>
              <w:t>Social security and pension</w:t>
            </w:r>
          </w:p>
        </w:tc>
        <w:tc>
          <w:tcPr>
            <w:tcW w:type="dxa" w:w="2145"/>
          </w:tcPr>
          <w:p>
            <w:pPr>
              <w:spacing w:after="0"/>
            </w:pPr>
            <w:r>
              <w:rPr>
                <w:b w:val="0"/>
                <w:i w:val="0"/>
                <w:sz w:val="18"/>
              </w:rPr>
              <w:t>645</w:t>
            </w:r>
          </w:p>
        </w:tc>
        <w:tc>
          <w:tcPr>
            <w:tcW w:type="dxa" w:w="1755"/>
          </w:tcPr>
          <w:p>
            <w:pPr>
              <w:spacing w:after="0"/>
            </w:pPr>
            <w:r>
              <w:rPr>
                <w:b w:val="0"/>
                <w:i w:val="0"/>
                <w:sz w:val="18"/>
              </w:rPr>
              <w:t>As loaded</w:t>
            </w:r>
          </w:p>
        </w:tc>
      </w:tr>
      <w:tr>
        <w:trPr>
          <w:cantSplit w:val="true"/>
        </w:trPr>
        <w:tc>
          <w:tcPr>
            <w:tcW w:type="dxa" w:w="1755"/>
            <w:shd w:val="clear" w:color="auto" w:fill="F7F8FA"/>
          </w:tcPr>
          <w:p>
            <w:pPr>
              <w:spacing w:after="0"/>
            </w:pPr>
            <w:r>
              <w:rPr>
                <w:b w:val="0"/>
                <w:i w:val="0"/>
                <w:sz w:val="18"/>
              </w:rPr>
              <w:t>681*</w:t>
            </w:r>
          </w:p>
        </w:tc>
        <w:tc>
          <w:tcPr>
            <w:tcW w:type="dxa" w:w="4095"/>
            <w:shd w:val="clear" w:color="auto" w:fill="F7F8FA"/>
          </w:tcPr>
          <w:p>
            <w:pPr>
              <w:spacing w:after="0"/>
            </w:pPr>
            <w:r>
              <w:rPr>
                <w:b w:val="0"/>
                <w:i w:val="0"/>
                <w:sz w:val="18"/>
              </w:rPr>
              <w:t>Depreciation</w:t>
            </w:r>
          </w:p>
        </w:tc>
        <w:tc>
          <w:tcPr>
            <w:tcW w:type="dxa" w:w="2145"/>
            <w:shd w:val="clear" w:color="auto" w:fill="F7F8FA"/>
          </w:tcPr>
          <w:p>
            <w:pPr>
              <w:spacing w:after="0"/>
            </w:pPr>
            <w:r>
              <w:rPr>
                <w:b w:val="0"/>
                <w:i w:val="0"/>
                <w:sz w:val="18"/>
              </w:rPr>
              <w:t>681</w:t>
            </w:r>
          </w:p>
        </w:tc>
        <w:tc>
          <w:tcPr>
            <w:tcW w:type="dxa" w:w="1755"/>
            <w:shd w:val="clear" w:color="auto" w:fill="F7F8FA"/>
          </w:tcPr>
          <w:p>
            <w:pPr>
              <w:spacing w:after="0"/>
            </w:pPr>
            <w:r>
              <w:rPr>
                <w:b w:val="0"/>
                <w:i w:val="0"/>
                <w:sz w:val="18"/>
              </w:rPr>
              <w:t>As loaded</w:t>
            </w:r>
          </w:p>
        </w:tc>
      </w:tr>
      <w:tr>
        <w:trPr>
          <w:cantSplit w:val="true"/>
        </w:trPr>
        <w:tc>
          <w:tcPr>
            <w:tcW w:type="dxa" w:w="1755"/>
          </w:tcPr>
          <w:p>
            <w:pPr>
              <w:spacing w:after="0"/>
            </w:pPr>
            <w:r>
              <w:rPr>
                <w:b w:val="0"/>
                <w:i w:val="0"/>
                <w:sz w:val="18"/>
              </w:rPr>
              <w:t>STAT_UNITS</w:t>
            </w:r>
          </w:p>
        </w:tc>
        <w:tc>
          <w:tcPr>
            <w:tcW w:type="dxa" w:w="4095"/>
          </w:tcPr>
          <w:p>
            <w:pPr>
              <w:spacing w:after="0"/>
            </w:pPr>
            <w:r>
              <w:rPr>
                <w:b w:val="0"/>
                <w:i w:val="0"/>
                <w:sz w:val="18"/>
              </w:rPr>
              <w:t>Statistic: units sold</w:t>
            </w:r>
          </w:p>
        </w:tc>
        <w:tc>
          <w:tcPr>
            <w:tcW w:type="dxa" w:w="2145"/>
          </w:tcPr>
          <w:p>
            <w:pPr>
              <w:spacing w:after="0"/>
            </w:pPr>
            <w:r>
              <w:rPr>
                <w:b w:val="0"/>
                <w:i w:val="0"/>
                <w:sz w:val="18"/>
              </w:rPr>
              <w:t>UNITS</w:t>
            </w:r>
          </w:p>
        </w:tc>
        <w:tc>
          <w:tcPr>
            <w:tcW w:type="dxa" w:w="1755"/>
          </w:tcPr>
          <w:p>
            <w:pPr>
              <w:spacing w:after="0"/>
            </w:pPr>
            <w:r>
              <w:rPr>
                <w:b w:val="0"/>
                <w:i w:val="0"/>
                <w:sz w:val="18"/>
              </w:rPr>
              <w:t>As loaded</w:t>
            </w:r>
          </w:p>
        </w:tc>
      </w:tr>
      <w:tr>
        <w:trPr>
          <w:cantSplit w:val="true"/>
        </w:trPr>
        <w:tc>
          <w:tcPr>
            <w:tcW w:type="dxa" w:w="1755"/>
            <w:shd w:val="clear" w:color="auto" w:fill="F7F8FA"/>
          </w:tcPr>
          <w:p>
            <w:pPr>
              <w:spacing w:after="0"/>
            </w:pPr>
            <w:r>
              <w:rPr>
                <w:b w:val="0"/>
                <w:i w:val="0"/>
                <w:sz w:val="18"/>
              </w:rPr>
              <w:t>STAT_HC</w:t>
            </w:r>
          </w:p>
        </w:tc>
        <w:tc>
          <w:tcPr>
            <w:tcW w:type="dxa" w:w="4095"/>
            <w:shd w:val="clear" w:color="auto" w:fill="F7F8FA"/>
          </w:tcPr>
          <w:p>
            <w:pPr>
              <w:spacing w:after="0"/>
            </w:pPr>
            <w:r>
              <w:rPr>
                <w:b w:val="0"/>
                <w:i w:val="0"/>
                <w:sz w:val="18"/>
              </w:rPr>
              <w:t>Statistic: FTE headcount</w:t>
            </w:r>
          </w:p>
        </w:tc>
        <w:tc>
          <w:tcPr>
            <w:tcW w:type="dxa" w:w="2145"/>
            <w:shd w:val="clear" w:color="auto" w:fill="F7F8FA"/>
          </w:tcPr>
          <w:p>
            <w:pPr>
              <w:spacing w:after="0"/>
            </w:pPr>
            <w:r>
              <w:rPr>
                <w:b w:val="0"/>
                <w:i w:val="0"/>
                <w:sz w:val="18"/>
              </w:rPr>
              <w:t>HC</w:t>
            </w:r>
          </w:p>
        </w:tc>
        <w:tc>
          <w:tcPr>
            <w:tcW w:type="dxa" w:w="1755"/>
            <w:shd w:val="clear" w:color="auto" w:fill="F7F8FA"/>
          </w:tcPr>
          <w:p>
            <w:pPr>
              <w:spacing w:after="0"/>
            </w:pPr>
            <w:r>
              <w:rPr>
                <w:b w:val="0"/>
                <w:i w:val="0"/>
                <w:sz w:val="18"/>
              </w:rPr>
              <w:t>As loaded</w:t>
            </w:r>
          </w:p>
        </w:tc>
      </w:tr>
    </w:tbl>
    <w:p>
      <w:pPr>
        <w:spacing w:after="40"/>
      </w:pPr>
    </w:p>
    <w:p>
      <w:r>
        <w:rPr>
          <w:b w:val="0"/>
          <w:i w:val="0"/>
        </w:rPr>
        <w:t>Accounts without a mapping are rejected (kick-outs) and listed for correction; the load is run again once the mapping is updated. The period column maps to the Period and Years dimensions.</w:t>
      </w:r>
    </w:p>
    <w:p>
      <w:pPr>
        <w:pStyle w:val="Heading2"/>
      </w:pPr>
      <w:r>
        <w:t>7.3 Month-close procedure</w:t>
      </w:r>
    </w:p>
    <w:p>
      <w:pPr>
        <w:tabs>
          <w:tab w:pos="340" w:val="left"/>
        </w:tabs>
        <w:spacing w:after="40"/>
        <w:ind w:left="340" w:hanging="340"/>
      </w:pPr>
      <w:r>
        <w:rPr>
          <w:b w:val="0"/>
          <w:i w:val="0"/>
        </w:rPr>
        <w:t>1.</w:t>
        <w:tab/>
        <w:t>Load the month's actuals and check that no line was rejected.</w:t>
      </w:r>
    </w:p>
    <w:p>
      <w:pPr>
        <w:tabs>
          <w:tab w:pos="340" w:val="left"/>
        </w:tabs>
        <w:spacing w:after="40"/>
        <w:ind w:left="340" w:hanging="340"/>
      </w:pPr>
      <w:r>
        <w:rPr>
          <w:b w:val="0"/>
          <w:i w:val="0"/>
        </w:rPr>
        <w:t>2.</w:t>
        <w:tab/>
        <w:t>Reconcile the loaded totals with the ERP trial balance, company by company.</w:t>
      </w:r>
    </w:p>
    <w:p>
      <w:pPr>
        <w:tabs>
          <w:tab w:pos="340" w:val="left"/>
        </w:tabs>
        <w:spacing w:after="40"/>
        <w:ind w:left="340" w:hanging="340"/>
      </w:pPr>
      <w:r>
        <w:rPr>
          <w:b w:val="0"/>
          <w:i w:val="0"/>
        </w:rPr>
        <w:t>3.</w:t>
        <w:tab/>
        <w:t>Close the month: its actuals replace the forecast, the month locks, and &amp;ActMonths moves on one month (8+4 becomes 9+3).</w:t>
      </w:r>
    </w:p>
    <w:p>
      <w:pPr>
        <w:tabs>
          <w:tab w:pos="340" w:val="left"/>
        </w:tabs>
        <w:spacing w:after="40"/>
        <w:ind w:left="340" w:hanging="340"/>
      </w:pPr>
      <w:r>
        <w:rPr>
          <w:b w:val="0"/>
          <w:i w:val="0"/>
        </w:rPr>
        <w:t>4.</w:t>
        <w:tab/>
        <w:t>Site controllers update the remaining forecast months before the CFO review.</w:t>
      </w:r>
    </w:p>
    <w:p>
      <w:pPr>
        <w:pStyle w:val="Heading1"/>
      </w:pPr>
      <w:r>
        <w:t>8. Workflow and approvals</w:t>
      </w:r>
    </w:p>
    <w:p>
      <w:r>
        <w:drawing>
          <wp:inline xmlns:a="http://schemas.openxmlformats.org/drawingml/2006/main" xmlns:pic="http://schemas.openxmlformats.org/drawingml/2006/picture">
            <wp:extent cx="6192000" cy="1548000"/>
            <wp:docPr id="2" name="Picture 2"/>
            <wp:cNvGraphicFramePr>
              <a:graphicFrameLocks noChangeAspect="1"/>
            </wp:cNvGraphicFramePr>
            <a:graphic>
              <a:graphicData uri="http://schemas.openxmlformats.org/drawingml/2006/picture">
                <pic:pic>
                  <pic:nvPicPr>
                    <pic:cNvPr id="0" name="Lumen-Plan-Solution-Design-Document-fig2.png"/>
                    <pic:cNvPicPr/>
                  </pic:nvPicPr>
                  <pic:blipFill>
                    <a:blip r:embed="rId12"/>
                    <a:stretch>
                      <a:fillRect/>
                    </a:stretch>
                  </pic:blipFill>
                  <pic:spPr>
                    <a:xfrm>
                      <a:off x="0" y="0"/>
                      <a:ext cx="6192000" cy="1548000"/>
                    </a:xfrm>
                    <a:prstGeom prst="rect"/>
                  </pic:spPr>
                </pic:pic>
              </a:graphicData>
            </a:graphic>
          </wp:inline>
        </w:drawing>
      </w:r>
    </w:p>
    <w:p>
      <w:r>
        <w:rPr>
          <w:b w:val="0"/>
          <w:i/>
          <w:color w:val="5B6673"/>
          <w:sz w:val="18"/>
        </w:rPr>
        <w:t>Figure 2. Budget approval workflow for each site (planning unit)</w:t>
      </w:r>
    </w:p>
    <w:p>
      <w:r>
        <w:rPr>
          <w:b w:val="0"/>
          <w:i w:val="0"/>
        </w:rPr>
        <w:t>Each site's FY27 budget is a planning unit. The site controller starts it, plans and submits; the CFO approves it, or rejects it with a mandatory reason, which sends it back to draft. Approval runs BR_CopyToFinal and locks the site. Only the CFO can reopen an approved site.</w:t>
      </w:r>
    </w:p>
    <w:p>
      <w:pPr>
        <w:pStyle w:val="Heading2"/>
      </w:pPr>
      <w:r>
        <w:t>Checks before submission</w:t>
      </w:r>
    </w:p>
    <w:p>
      <w:pPr>
        <w:pStyle w:val="ListBullet"/>
      </w:pPr>
      <w:r>
        <w:rPr>
          <w:b w:val="0"/>
          <w:i w:val="0"/>
        </w:rPr>
        <w:t>No unsaved changes in the site's forms</w:t>
      </w:r>
    </w:p>
    <w:p>
      <w:pPr>
        <w:pStyle w:val="ListBullet"/>
      </w:pPr>
      <w:r>
        <w:rPr>
          <w:b w:val="0"/>
          <w:i w:val="0"/>
        </w:rPr>
        <w:t>Revenue and payroll recalculated since the last driver change</w:t>
      </w:r>
    </w:p>
    <w:p>
      <w:pPr>
        <w:pStyle w:val="ListBullet"/>
      </w:pPr>
      <w:r>
        <w:rPr>
          <w:b w:val="0"/>
          <w:i w:val="0"/>
        </w:rPr>
        <w:t>Head-office allocation run after the last payroll change</w:t>
      </w:r>
    </w:p>
    <w:p>
      <w:pPr>
        <w:pStyle w:val="ListBullet"/>
      </w:pPr>
      <w:r>
        <w:rPr>
          <w:b w:val="0"/>
          <w:i w:val="0"/>
        </w:rPr>
        <w:t>No validation errors (V01 to V04)</w:t>
      </w:r>
    </w:p>
    <w:p>
      <w:pPr>
        <w:pStyle w:val="Heading1"/>
      </w:pPr>
      <w:r>
        <w:t>9. Security</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755"/>
        <w:gridCol w:w="3608"/>
        <w:gridCol w:w="4388"/>
      </w:tblGrid>
      <w:tr>
        <w:trPr>
          <w:tblHeader w:val="true"/>
        </w:trPr>
        <w:tc>
          <w:tcPr>
            <w:tcW w:type="dxa" w:w="1755"/>
            <w:shd w:val="clear" w:color="auto" w:fill="2F5D62"/>
          </w:tcPr>
          <w:p>
            <w:r>
              <w:rPr>
                <w:b/>
                <w:i w:val="0"/>
                <w:color w:val="FFFFFF"/>
                <w:sz w:val="18"/>
              </w:rPr>
              <w:t>Role</w:t>
            </w:r>
          </w:p>
        </w:tc>
        <w:tc>
          <w:tcPr>
            <w:tcW w:type="dxa" w:w="3608"/>
            <w:shd w:val="clear" w:color="auto" w:fill="2F5D62"/>
          </w:tcPr>
          <w:p>
            <w:r>
              <w:rPr>
                <w:b/>
                <w:i w:val="0"/>
                <w:color w:val="FFFFFF"/>
                <w:sz w:val="18"/>
              </w:rPr>
              <w:t>Who</w:t>
            </w:r>
          </w:p>
        </w:tc>
        <w:tc>
          <w:tcPr>
            <w:tcW w:type="dxa" w:w="4388"/>
            <w:shd w:val="clear" w:color="auto" w:fill="2F5D62"/>
          </w:tcPr>
          <w:p>
            <w:r>
              <w:rPr>
                <w:b/>
                <w:i w:val="0"/>
                <w:color w:val="FFFFFF"/>
                <w:sz w:val="18"/>
              </w:rPr>
              <w:t>Access</w:t>
            </w:r>
          </w:p>
        </w:tc>
      </w:tr>
      <w:tr>
        <w:trPr>
          <w:cantSplit w:val="true"/>
        </w:trPr>
        <w:tc>
          <w:tcPr>
            <w:tcW w:type="dxa" w:w="1755"/>
          </w:tcPr>
          <w:p>
            <w:pPr>
              <w:spacing w:after="0"/>
            </w:pPr>
            <w:r>
              <w:rPr>
                <w:b w:val="0"/>
                <w:i w:val="0"/>
                <w:sz w:val="18"/>
              </w:rPr>
              <w:t>Service administrator</w:t>
            </w:r>
          </w:p>
        </w:tc>
        <w:tc>
          <w:tcPr>
            <w:tcW w:type="dxa" w:w="3608"/>
          </w:tcPr>
          <w:p>
            <w:pPr>
              <w:spacing w:after="0"/>
            </w:pPr>
            <w:r>
              <w:rPr>
                <w:b w:val="0"/>
                <w:i w:val="0"/>
                <w:sz w:val="18"/>
              </w:rPr>
              <w:t>EPM consultant during the project, then IT support</w:t>
            </w:r>
          </w:p>
        </w:tc>
        <w:tc>
          <w:tcPr>
            <w:tcW w:type="dxa" w:w="4388"/>
          </w:tcPr>
          <w:p>
            <w:pPr>
              <w:spacing w:after="0"/>
            </w:pPr>
            <w:r>
              <w:rPr>
                <w:b w:val="0"/>
                <w:i w:val="0"/>
                <w:sz w:val="18"/>
              </w:rPr>
              <w:t>Full administration of the application</w:t>
            </w:r>
          </w:p>
        </w:tc>
      </w:tr>
      <w:tr>
        <w:trPr>
          <w:cantSplit w:val="true"/>
        </w:trPr>
        <w:tc>
          <w:tcPr>
            <w:tcW w:type="dxa" w:w="1755"/>
            <w:shd w:val="clear" w:color="auto" w:fill="F7F8FA"/>
          </w:tcPr>
          <w:p>
            <w:pPr>
              <w:spacing w:after="0"/>
            </w:pPr>
            <w:r>
              <w:rPr>
                <w:b w:val="0"/>
                <w:i w:val="0"/>
                <w:sz w:val="18"/>
              </w:rPr>
              <w:t>Power user</w:t>
            </w:r>
          </w:p>
        </w:tc>
        <w:tc>
          <w:tcPr>
            <w:tcW w:type="dxa" w:w="3608"/>
            <w:shd w:val="clear" w:color="auto" w:fill="F7F8FA"/>
          </w:tcPr>
          <w:p>
            <w:pPr>
              <w:spacing w:after="0"/>
            </w:pPr>
            <w:r>
              <w:rPr>
                <w:b w:val="0"/>
                <w:i w:val="0"/>
                <w:sz w:val="18"/>
              </w:rPr>
              <w:t>FP&amp;A lead</w:t>
            </w:r>
          </w:p>
        </w:tc>
        <w:tc>
          <w:tcPr>
            <w:tcW w:type="dxa" w:w="4388"/>
            <w:shd w:val="clear" w:color="auto" w:fill="F7F8FA"/>
          </w:tcPr>
          <w:p>
            <w:pPr>
              <w:spacing w:after="0"/>
            </w:pPr>
            <w:r>
              <w:rPr>
                <w:b w:val="0"/>
                <w:i w:val="0"/>
                <w:sz w:val="18"/>
              </w:rPr>
              <w:t>All sites; runs rules, closes months, maintains substitution variables</w:t>
            </w:r>
          </w:p>
        </w:tc>
      </w:tr>
      <w:tr>
        <w:trPr>
          <w:cantSplit w:val="true"/>
        </w:trPr>
        <w:tc>
          <w:tcPr>
            <w:tcW w:type="dxa" w:w="1755"/>
          </w:tcPr>
          <w:p>
            <w:pPr>
              <w:spacing w:after="0"/>
            </w:pPr>
            <w:r>
              <w:rPr>
                <w:b w:val="0"/>
                <w:i w:val="0"/>
                <w:sz w:val="18"/>
              </w:rPr>
              <w:t>Planner</w:t>
            </w:r>
          </w:p>
        </w:tc>
        <w:tc>
          <w:tcPr>
            <w:tcW w:type="dxa" w:w="3608"/>
          </w:tcPr>
          <w:p>
            <w:pPr>
              <w:spacing w:after="0"/>
            </w:pPr>
            <w:r>
              <w:rPr>
                <w:b w:val="0"/>
                <w:i w:val="0"/>
                <w:sz w:val="18"/>
              </w:rPr>
              <w:t>Site controllers: Sophie Bernard (LYO), Claire Martin (PAR), Thomas Leroy (LIL)</w:t>
            </w:r>
          </w:p>
        </w:tc>
        <w:tc>
          <w:tcPr>
            <w:tcW w:type="dxa" w:w="4388"/>
          </w:tcPr>
          <w:p>
            <w:pPr>
              <w:spacing w:after="0"/>
            </w:pPr>
            <w:r>
              <w:rPr>
                <w:b w:val="0"/>
                <w:i w:val="0"/>
                <w:sz w:val="18"/>
              </w:rPr>
              <w:t>Write access to their own site; read access to Total entities</w:t>
            </w:r>
          </w:p>
        </w:tc>
      </w:tr>
      <w:tr>
        <w:trPr>
          <w:cantSplit w:val="true"/>
        </w:trPr>
        <w:tc>
          <w:tcPr>
            <w:tcW w:type="dxa" w:w="1755"/>
            <w:shd w:val="clear" w:color="auto" w:fill="F7F8FA"/>
          </w:tcPr>
          <w:p>
            <w:pPr>
              <w:spacing w:after="0"/>
            </w:pPr>
            <w:r>
              <w:rPr>
                <w:b w:val="0"/>
                <w:i w:val="0"/>
                <w:sz w:val="18"/>
              </w:rPr>
              <w:t>Approver</w:t>
            </w:r>
          </w:p>
        </w:tc>
        <w:tc>
          <w:tcPr>
            <w:tcW w:type="dxa" w:w="3608"/>
            <w:shd w:val="clear" w:color="auto" w:fill="F7F8FA"/>
          </w:tcPr>
          <w:p>
            <w:pPr>
              <w:spacing w:after="0"/>
            </w:pPr>
            <w:r>
              <w:rPr>
                <w:b w:val="0"/>
                <w:i w:val="0"/>
                <w:sz w:val="18"/>
              </w:rPr>
              <w:t>CFO (Marc Dubois)</w:t>
            </w:r>
          </w:p>
        </w:tc>
        <w:tc>
          <w:tcPr>
            <w:tcW w:type="dxa" w:w="4388"/>
            <w:shd w:val="clear" w:color="auto" w:fill="F7F8FA"/>
          </w:tcPr>
          <w:p>
            <w:pPr>
              <w:spacing w:after="0"/>
            </w:pPr>
            <w:r>
              <w:rPr>
                <w:b w:val="0"/>
                <w:i w:val="0"/>
                <w:sz w:val="18"/>
              </w:rPr>
              <w:t>Read access to all sites; approves or rejects budgets</w:t>
            </w:r>
          </w:p>
        </w:tc>
      </w:tr>
      <w:tr>
        <w:trPr>
          <w:cantSplit w:val="true"/>
        </w:trPr>
        <w:tc>
          <w:tcPr>
            <w:tcW w:type="dxa" w:w="1755"/>
          </w:tcPr>
          <w:p>
            <w:pPr>
              <w:spacing w:after="0"/>
            </w:pPr>
            <w:r>
              <w:rPr>
                <w:b w:val="0"/>
                <w:i w:val="0"/>
                <w:sz w:val="18"/>
              </w:rPr>
              <w:t>Viewer</w:t>
            </w:r>
          </w:p>
        </w:tc>
        <w:tc>
          <w:tcPr>
            <w:tcW w:type="dxa" w:w="3608"/>
          </w:tcPr>
          <w:p>
            <w:pPr>
              <w:spacing w:after="0"/>
            </w:pPr>
            <w:r>
              <w:rPr>
                <w:b w:val="0"/>
                <w:i w:val="0"/>
                <w:sz w:val="18"/>
              </w:rPr>
              <w:t>Management committee</w:t>
            </w:r>
          </w:p>
        </w:tc>
        <w:tc>
          <w:tcPr>
            <w:tcW w:type="dxa" w:w="4388"/>
          </w:tcPr>
          <w:p>
            <w:pPr>
              <w:spacing w:after="0"/>
            </w:pPr>
            <w:r>
              <w:rPr>
                <w:b w:val="0"/>
                <w:i w:val="0"/>
                <w:sz w:val="18"/>
              </w:rPr>
              <w:t>Read-only access to reports and variance analysis</w:t>
            </w:r>
          </w:p>
        </w:tc>
      </w:tr>
    </w:tbl>
    <w:p>
      <w:pPr>
        <w:spacing w:after="40"/>
      </w:pPr>
    </w:p>
    <w:p>
      <w:r>
        <w:rPr>
          <w:b w:val="0"/>
          <w:i w:val="0"/>
        </w:rPr>
        <w:t>Access is granted to groups (for example LP_Planner_PAR), never to named users, so a change of controller only means changing group membership. Security is tested in the test environment before production (UAT cases U23 and U24).</w:t>
      </w:r>
    </w:p>
    <w:p>
      <w:pPr>
        <w:pStyle w:val="Heading1"/>
      </w:pPr>
      <w:r>
        <w:t>10. Reporting and analysis</w:t>
      </w:r>
    </w:p>
    <w:p>
      <w:r>
        <w:rPr>
          <w:b w:val="0"/>
          <w:i w:val="0"/>
        </w:rPr>
        <w:t>Three comparisons are available: forecast FY26 against budget FY26, actual against budget FY26 (year to date), and budget FY27 against forecast FY26. Each is available by site or for the total, by quarter or for the year.</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950"/>
        <w:gridCol w:w="7801"/>
      </w:tblGrid>
      <w:tr>
        <w:trPr>
          <w:tblHeader w:val="true"/>
        </w:trPr>
        <w:tc>
          <w:tcPr>
            <w:tcW w:type="dxa" w:w="1950"/>
            <w:shd w:val="clear" w:color="auto" w:fill="2F5D62"/>
          </w:tcPr>
          <w:p>
            <w:r>
              <w:rPr>
                <w:b/>
                <w:i w:val="0"/>
                <w:color w:val="FFFFFF"/>
                <w:sz w:val="18"/>
              </w:rPr>
              <w:t>Effect</w:t>
            </w:r>
          </w:p>
        </w:tc>
        <w:tc>
          <w:tcPr>
            <w:tcW w:type="dxa" w:w="7801"/>
            <w:shd w:val="clear" w:color="auto" w:fill="2F5D62"/>
          </w:tcPr>
          <w:p>
            <w:r>
              <w:rPr>
                <w:b/>
                <w:i w:val="0"/>
                <w:color w:val="FFFFFF"/>
                <w:sz w:val="18"/>
              </w:rPr>
              <w:t>Formula (calculated by site, then added up)</w:t>
            </w:r>
          </w:p>
        </w:tc>
      </w:tr>
      <w:tr>
        <w:trPr>
          <w:cantSplit w:val="true"/>
        </w:trPr>
        <w:tc>
          <w:tcPr>
            <w:tcW w:type="dxa" w:w="1950"/>
          </w:tcPr>
          <w:p>
            <w:pPr>
              <w:spacing w:after="0"/>
            </w:pPr>
            <w:r>
              <w:rPr>
                <w:b w:val="0"/>
                <w:i w:val="0"/>
                <w:sz w:val="18"/>
              </w:rPr>
              <w:t>Volume</w:t>
            </w:r>
          </w:p>
        </w:tc>
        <w:tc>
          <w:tcPr>
            <w:tcW w:type="dxa" w:w="7801"/>
          </w:tcPr>
          <w:p>
            <w:pPr>
              <w:spacing w:after="0"/>
            </w:pPr>
            <w:r>
              <w:rPr>
                <w:b w:val="0"/>
                <w:i w:val="0"/>
                <w:sz w:val="18"/>
              </w:rPr>
              <w:t>(units in the plan − units in the reference) × reference price</w:t>
            </w:r>
          </w:p>
        </w:tc>
      </w:tr>
      <w:tr>
        <w:trPr>
          <w:cantSplit w:val="true"/>
        </w:trPr>
        <w:tc>
          <w:tcPr>
            <w:tcW w:type="dxa" w:w="1950"/>
            <w:shd w:val="clear" w:color="auto" w:fill="F7F8FA"/>
          </w:tcPr>
          <w:p>
            <w:pPr>
              <w:spacing w:after="0"/>
            </w:pPr>
            <w:r>
              <w:rPr>
                <w:b w:val="0"/>
                <w:i w:val="0"/>
                <w:sz w:val="18"/>
              </w:rPr>
              <w:t>Price</w:t>
            </w:r>
          </w:p>
        </w:tc>
        <w:tc>
          <w:tcPr>
            <w:tcW w:type="dxa" w:w="7801"/>
            <w:shd w:val="clear" w:color="auto" w:fill="F7F8FA"/>
          </w:tcPr>
          <w:p>
            <w:pPr>
              <w:spacing w:after="0"/>
            </w:pPr>
            <w:r>
              <w:rPr>
                <w:b w:val="0"/>
                <w:i w:val="0"/>
                <w:sz w:val="18"/>
              </w:rPr>
              <w:t>(price in the plan − reference price) × units in the plan</w:t>
            </w:r>
          </w:p>
        </w:tc>
      </w:tr>
      <w:tr>
        <w:trPr>
          <w:cantSplit w:val="true"/>
        </w:trPr>
        <w:tc>
          <w:tcPr>
            <w:tcW w:type="dxa" w:w="1950"/>
          </w:tcPr>
          <w:p>
            <w:pPr>
              <w:spacing w:after="0"/>
            </w:pPr>
            <w:r>
              <w:rPr>
                <w:b w:val="0"/>
                <w:i w:val="0"/>
                <w:sz w:val="18"/>
              </w:rPr>
              <w:t>Mix</w:t>
            </w:r>
          </w:p>
        </w:tc>
        <w:tc>
          <w:tcPr>
            <w:tcW w:type="dxa" w:w="7801"/>
          </w:tcPr>
          <w:p>
            <w:pPr>
              <w:spacing w:after="0"/>
            </w:pPr>
            <w:r>
              <w:rPr>
                <w:b w:val="0"/>
                <w:i w:val="0"/>
                <w:sz w:val="18"/>
              </w:rPr>
              <w:t>At total level: sum of the site volume effects − the total volume effect at the average reference price</w:t>
            </w:r>
          </w:p>
        </w:tc>
      </w:tr>
    </w:tbl>
    <w:p>
      <w:pPr>
        <w:spacing w:after="40"/>
      </w:pPr>
    </w:p>
    <w:p>
      <w:r>
        <w:rPr>
          <w:b w:val="0"/>
          <w:i w:val="0"/>
        </w:rPr>
        <w:t>A CFO dashboard with the main indicators by site completes the reporting (REQ-12).</w:t>
      </w:r>
    </w:p>
    <w:p>
      <w:pPr>
        <w:pStyle w:val="Heading1"/>
      </w:pPr>
      <w:r>
        <w:t>11. Non-functional requirements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1950"/>
        <w:gridCol w:w="7801"/>
      </w:tblGrid>
      <w:tr>
        <w:trPr>
          <w:tblHeader w:val="true"/>
        </w:trPr>
        <w:tc>
          <w:tcPr>
            <w:tcW w:type="dxa" w:w="1950"/>
            <w:shd w:val="clear" w:color="auto" w:fill="2F5D62"/>
          </w:tcPr>
          <w:p>
            <w:r>
              <w:rPr>
                <w:b/>
                <w:i w:val="0"/>
                <w:color w:val="FFFFFF"/>
                <w:sz w:val="18"/>
              </w:rPr>
              <w:t>Area</w:t>
            </w:r>
          </w:p>
        </w:tc>
        <w:tc>
          <w:tcPr>
            <w:tcW w:type="dxa" w:w="7801"/>
            <w:shd w:val="clear" w:color="auto" w:fill="2F5D62"/>
          </w:tcPr>
          <w:p>
            <w:r>
              <w:rPr>
                <w:b/>
                <w:i w:val="0"/>
                <w:color w:val="FFFFFF"/>
                <w:sz w:val="18"/>
              </w:rPr>
              <w:t>Requirement</w:t>
            </w:r>
          </w:p>
        </w:tc>
      </w:tr>
      <w:tr>
        <w:trPr>
          <w:cantSplit w:val="true"/>
        </w:trPr>
        <w:tc>
          <w:tcPr>
            <w:tcW w:type="dxa" w:w="1950"/>
          </w:tcPr>
          <w:p>
            <w:pPr>
              <w:spacing w:after="0"/>
            </w:pPr>
            <w:r>
              <w:rPr>
                <w:b w:val="0"/>
                <w:i w:val="0"/>
                <w:sz w:val="18"/>
              </w:rPr>
              <w:t>Performance</w:t>
            </w:r>
          </w:p>
        </w:tc>
        <w:tc>
          <w:tcPr>
            <w:tcW w:type="dxa" w:w="7801"/>
          </w:tcPr>
          <w:p>
            <w:pPr>
              <w:spacing w:after="0"/>
            </w:pPr>
            <w:r>
              <w:rPr>
                <w:b w:val="0"/>
                <w:i w:val="0"/>
                <w:sz w:val="18"/>
              </w:rPr>
              <w:t>Forms open in under 3 seconds; rules for one site run in under 30 seconds</w:t>
            </w:r>
          </w:p>
        </w:tc>
      </w:tr>
      <w:tr>
        <w:trPr>
          <w:cantSplit w:val="true"/>
        </w:trPr>
        <w:tc>
          <w:tcPr>
            <w:tcW w:type="dxa" w:w="1950"/>
            <w:shd w:val="clear" w:color="auto" w:fill="F7F8FA"/>
          </w:tcPr>
          <w:p>
            <w:pPr>
              <w:spacing w:after="0"/>
            </w:pPr>
            <w:r>
              <w:rPr>
                <w:b w:val="0"/>
                <w:i w:val="0"/>
                <w:sz w:val="18"/>
              </w:rPr>
              <w:t>Oracle updates</w:t>
            </w:r>
          </w:p>
        </w:tc>
        <w:tc>
          <w:tcPr>
            <w:tcW w:type="dxa" w:w="7801"/>
            <w:shd w:val="clear" w:color="auto" w:fill="F7F8FA"/>
          </w:tcPr>
          <w:p>
            <w:pPr>
              <w:spacing w:after="0"/>
            </w:pPr>
            <w:r>
              <w:rPr>
                <w:b w:val="0"/>
                <w:i w:val="0"/>
                <w:sz w:val="18"/>
              </w:rPr>
              <w:t>Oracle updates test environments on the first Friday of each month and production on the third; regression tests run in between</w:t>
            </w:r>
          </w:p>
        </w:tc>
      </w:tr>
      <w:tr>
        <w:trPr>
          <w:cantSplit w:val="true"/>
        </w:trPr>
        <w:tc>
          <w:tcPr>
            <w:tcW w:type="dxa" w:w="1950"/>
          </w:tcPr>
          <w:p>
            <w:pPr>
              <w:spacing w:after="0"/>
            </w:pPr>
            <w:r>
              <w:rPr>
                <w:b w:val="0"/>
                <w:i w:val="0"/>
                <w:sz w:val="18"/>
              </w:rPr>
              <w:t>Backup</w:t>
            </w:r>
          </w:p>
        </w:tc>
        <w:tc>
          <w:tcPr>
            <w:tcW w:type="dxa" w:w="7801"/>
          </w:tcPr>
          <w:p>
            <w:pPr>
              <w:spacing w:after="0"/>
            </w:pPr>
            <w:r>
              <w:rPr>
                <w:b w:val="0"/>
                <w:i w:val="0"/>
                <w:sz w:val="18"/>
              </w:rPr>
              <w:t>Oracle's daily maintenance snapshot, plus an application snapshot before each release to production</w:t>
            </w:r>
          </w:p>
        </w:tc>
      </w:tr>
      <w:tr>
        <w:trPr>
          <w:cantSplit w:val="true"/>
        </w:trPr>
        <w:tc>
          <w:tcPr>
            <w:tcW w:type="dxa" w:w="1950"/>
            <w:shd w:val="clear" w:color="auto" w:fill="F7F8FA"/>
          </w:tcPr>
          <w:p>
            <w:pPr>
              <w:spacing w:after="0"/>
            </w:pPr>
            <w:r>
              <w:rPr>
                <w:b w:val="0"/>
                <w:i w:val="0"/>
                <w:sz w:val="18"/>
              </w:rPr>
              <w:t>Audit</w:t>
            </w:r>
          </w:p>
        </w:tc>
        <w:tc>
          <w:tcPr>
            <w:tcW w:type="dxa" w:w="7801"/>
            <w:shd w:val="clear" w:color="auto" w:fill="F7F8FA"/>
          </w:tcPr>
          <w:p>
            <w:pPr>
              <w:spacing w:after="0"/>
            </w:pPr>
            <w:r>
              <w:rPr>
                <w:b w:val="0"/>
                <w:i w:val="0"/>
                <w:sz w:val="18"/>
              </w:rPr>
              <w:t>Cell history and comments kept for the life of the application</w:t>
            </w:r>
          </w:p>
        </w:tc>
      </w:tr>
      <w:tr>
        <w:trPr>
          <w:cantSplit w:val="true"/>
        </w:trPr>
        <w:tc>
          <w:tcPr>
            <w:tcW w:type="dxa" w:w="1950"/>
          </w:tcPr>
          <w:p>
            <w:pPr>
              <w:spacing w:after="0"/>
            </w:pPr>
            <w:r>
              <w:rPr>
                <w:b w:val="0"/>
                <w:i w:val="0"/>
                <w:sz w:val="18"/>
              </w:rPr>
              <w:t>Naming</w:t>
            </w:r>
          </w:p>
        </w:tc>
        <w:tc>
          <w:tcPr>
            <w:tcW w:type="dxa" w:w="7801"/>
          </w:tcPr>
          <w:p>
            <w:pPr>
              <w:spacing w:after="0"/>
            </w:pPr>
            <w:r>
              <w:rPr>
                <w:b w:val="0"/>
                <w:i w:val="0"/>
                <w:sz w:val="18"/>
              </w:rPr>
              <w:t>Rules BR_*, forms F0x, security groups LP_&lt;role&gt;_&lt;site&gt;, variables &amp;Name</w:t>
            </w:r>
          </w:p>
        </w:tc>
      </w:tr>
    </w:tbl>
    <w:p>
      <w:pPr>
        <w:spacing w:after="40"/>
      </w:pPr>
    </w:p>
    <w:p>
      <w:pPr>
        <w:pStyle w:val="Heading1"/>
      </w:pPr>
      <w:r>
        <w:t>12. Design decisions</w:t>
      </w:r>
    </w:p>
    <w:tbl>
      <w:tblPr>
        <w:tblW w:type="dxa" w:w="9752"/>
        <w:jc w:val="left"/>
        <w:tblBorders>
          <w:top w:val="single" w:sz="4" w:color="D5DAE0"/>
          <w:left w:val="single" w:sz="4" w:color="D5DAE0"/>
          <w:bottom w:val="single" w:sz="4" w:color="D5DAE0"/>
          <w:right w:val="single" w:sz="4" w:color="D5DAE0"/>
          <w:insideH w:val="single" w:sz="4" w:color="D5DAE0"/>
          <w:insideV w:val="single" w:sz="4" w:color="D5DAE0"/>
        </w:tblBorders>
        <w:tblLayout w:type="fixed"/>
        <w:tblCellMar>
          <w:top w:w="60" w:type="dxa"/>
          <w:left w:w="100" w:type="dxa"/>
          <w:bottom w:w="60" w:type="dxa"/>
          <w:right w:w="100" w:type="dxa"/>
        </w:tblCellMar>
        <w:tblLook w:firstColumn="1" w:firstRow="1" w:lastColumn="0" w:lastRow="0" w:noHBand="0" w:noVBand="1" w:val="04A0"/>
      </w:tblPr>
      <w:tblGrid>
        <w:gridCol w:w="780"/>
        <w:gridCol w:w="2925"/>
        <w:gridCol w:w="3315"/>
        <w:gridCol w:w="2730"/>
      </w:tblGrid>
      <w:tr>
        <w:trPr>
          <w:tblHeader w:val="true"/>
        </w:trPr>
        <w:tc>
          <w:tcPr>
            <w:tcW w:type="dxa" w:w="780"/>
            <w:shd w:val="clear" w:color="auto" w:fill="2F5D62"/>
          </w:tcPr>
          <w:p>
            <w:r>
              <w:rPr>
                <w:b/>
                <w:i w:val="0"/>
                <w:color w:val="FFFFFF"/>
                <w:sz w:val="18"/>
              </w:rPr>
              <w:t>ID</w:t>
            </w:r>
          </w:p>
        </w:tc>
        <w:tc>
          <w:tcPr>
            <w:tcW w:type="dxa" w:w="2925"/>
            <w:shd w:val="clear" w:color="auto" w:fill="2F5D62"/>
          </w:tcPr>
          <w:p>
            <w:r>
              <w:rPr>
                <w:b/>
                <w:i w:val="0"/>
                <w:color w:val="FFFFFF"/>
                <w:sz w:val="18"/>
              </w:rPr>
              <w:t>Decision</w:t>
            </w:r>
          </w:p>
        </w:tc>
        <w:tc>
          <w:tcPr>
            <w:tcW w:type="dxa" w:w="3315"/>
            <w:shd w:val="clear" w:color="auto" w:fill="2F5D62"/>
          </w:tcPr>
          <w:p>
            <w:r>
              <w:rPr>
                <w:b/>
                <w:i w:val="0"/>
                <w:color w:val="FFFFFF"/>
                <w:sz w:val="18"/>
              </w:rPr>
              <w:t>Rationale</w:t>
            </w:r>
          </w:p>
        </w:tc>
        <w:tc>
          <w:tcPr>
            <w:tcW w:type="dxa" w:w="2730"/>
            <w:shd w:val="clear" w:color="auto" w:fill="2F5D62"/>
          </w:tcPr>
          <w:p>
            <w:r>
              <w:rPr>
                <w:b/>
                <w:i w:val="0"/>
                <w:color w:val="FFFFFF"/>
                <w:sz w:val="18"/>
              </w:rPr>
              <w:t>Alternative rejected</w:t>
            </w:r>
          </w:p>
        </w:tc>
      </w:tr>
      <w:tr>
        <w:trPr>
          <w:cantSplit w:val="true"/>
        </w:trPr>
        <w:tc>
          <w:tcPr>
            <w:tcW w:type="dxa" w:w="780"/>
          </w:tcPr>
          <w:p>
            <w:pPr>
              <w:spacing w:after="0"/>
            </w:pPr>
            <w:r>
              <w:rPr>
                <w:b w:val="0"/>
                <w:i w:val="0"/>
                <w:sz w:val="18"/>
              </w:rPr>
              <w:t>DD-01</w:t>
            </w:r>
          </w:p>
        </w:tc>
        <w:tc>
          <w:tcPr>
            <w:tcW w:type="dxa" w:w="2925"/>
          </w:tcPr>
          <w:p>
            <w:pPr>
              <w:spacing w:after="0"/>
            </w:pPr>
            <w:r>
              <w:rPr>
                <w:b w:val="0"/>
                <w:i w:val="0"/>
                <w:sz w:val="18"/>
              </w:rPr>
              <w:t>Revenue = units × average price, by site</w:t>
            </w:r>
          </w:p>
        </w:tc>
        <w:tc>
          <w:tcPr>
            <w:tcW w:type="dxa" w:w="3315"/>
          </w:tcPr>
          <w:p>
            <w:pPr>
              <w:spacing w:after="0"/>
            </w:pPr>
            <w:r>
              <w:rPr>
                <w:b w:val="0"/>
                <w:i w:val="0"/>
                <w:sz w:val="18"/>
              </w:rPr>
              <w:t>Matches how sales teams plan, and explains variances by volume and price</w:t>
            </w:r>
          </w:p>
        </w:tc>
        <w:tc>
          <w:tcPr>
            <w:tcW w:type="dxa" w:w="2730"/>
          </w:tcPr>
          <w:p>
            <w:pPr>
              <w:spacing w:after="0"/>
            </w:pPr>
            <w:r>
              <w:rPr>
                <w:b w:val="0"/>
                <w:i w:val="0"/>
                <w:sz w:val="18"/>
              </w:rPr>
              <w:t>Revenue entered directly: no volume or price view</w:t>
            </w:r>
          </w:p>
        </w:tc>
      </w:tr>
      <w:tr>
        <w:trPr>
          <w:cantSplit w:val="true"/>
        </w:trPr>
        <w:tc>
          <w:tcPr>
            <w:tcW w:type="dxa" w:w="780"/>
            <w:shd w:val="clear" w:color="auto" w:fill="F7F8FA"/>
          </w:tcPr>
          <w:p>
            <w:pPr>
              <w:spacing w:after="0"/>
            </w:pPr>
            <w:r>
              <w:rPr>
                <w:b w:val="0"/>
                <w:i w:val="0"/>
                <w:sz w:val="18"/>
              </w:rPr>
              <w:t>DD-02</w:t>
            </w:r>
          </w:p>
        </w:tc>
        <w:tc>
          <w:tcPr>
            <w:tcW w:type="dxa" w:w="2925"/>
            <w:shd w:val="clear" w:color="auto" w:fill="F7F8FA"/>
          </w:tcPr>
          <w:p>
            <w:pPr>
              <w:spacing w:after="0"/>
            </w:pPr>
            <w:r>
              <w:rPr>
                <w:b w:val="0"/>
                <w:i w:val="0"/>
                <w:sz w:val="18"/>
              </w:rPr>
              <w:t>Payroll from average headcount and salary, 13th month in December</w:t>
            </w:r>
          </w:p>
        </w:tc>
        <w:tc>
          <w:tcPr>
            <w:tcW w:type="dxa" w:w="3315"/>
            <w:shd w:val="clear" w:color="auto" w:fill="F7F8FA"/>
          </w:tcPr>
          <w:p>
            <w:pPr>
              <w:spacing w:after="0"/>
            </w:pPr>
            <w:r>
              <w:rPr>
                <w:b w:val="0"/>
                <w:i w:val="0"/>
                <w:sz w:val="18"/>
              </w:rPr>
              <w:t>Accurate enough by site, with no personal data in the tool</w:t>
            </w:r>
          </w:p>
        </w:tc>
        <w:tc>
          <w:tcPr>
            <w:tcW w:type="dxa" w:w="2730"/>
            <w:shd w:val="clear" w:color="auto" w:fill="F7F8FA"/>
          </w:tcPr>
          <w:p>
            <w:pPr>
              <w:spacing w:after="0"/>
            </w:pPr>
            <w:r>
              <w:rPr>
                <w:b w:val="0"/>
                <w:i w:val="0"/>
                <w:sz w:val="18"/>
              </w:rPr>
              <w:t>Employee-level planning: moved to phase 2 (CR-05)</w:t>
            </w:r>
          </w:p>
        </w:tc>
      </w:tr>
      <w:tr>
        <w:trPr>
          <w:cantSplit w:val="true"/>
        </w:trPr>
        <w:tc>
          <w:tcPr>
            <w:tcW w:type="dxa" w:w="780"/>
          </w:tcPr>
          <w:p>
            <w:pPr>
              <w:spacing w:after="0"/>
            </w:pPr>
            <w:r>
              <w:rPr>
                <w:b w:val="0"/>
                <w:i w:val="0"/>
                <w:sz w:val="18"/>
              </w:rPr>
              <w:t>DD-03</w:t>
            </w:r>
          </w:p>
        </w:tc>
        <w:tc>
          <w:tcPr>
            <w:tcW w:type="dxa" w:w="2925"/>
          </w:tcPr>
          <w:p>
            <w:pPr>
              <w:spacing w:after="0"/>
            </w:pPr>
            <w:r>
              <w:rPr>
                <w:b w:val="0"/>
                <w:i w:val="0"/>
                <w:sz w:val="18"/>
              </w:rPr>
              <w:t>Head-office costs allocated by headcount</w:t>
            </w:r>
          </w:p>
        </w:tc>
        <w:tc>
          <w:tcPr>
            <w:tcW w:type="dxa" w:w="3315"/>
          </w:tcPr>
          <w:p>
            <w:pPr>
              <w:spacing w:after="0"/>
            </w:pPr>
            <w:r>
              <w:rPr>
                <w:b w:val="0"/>
                <w:i w:val="0"/>
                <w:sz w:val="18"/>
              </w:rPr>
              <w:t>Simple, stable and agreed by the site controllers</w:t>
            </w:r>
          </w:p>
        </w:tc>
        <w:tc>
          <w:tcPr>
            <w:tcW w:type="dxa" w:w="2730"/>
          </w:tcPr>
          <w:p>
            <w:pPr>
              <w:spacing w:after="0"/>
            </w:pPr>
            <w:r>
              <w:rPr>
                <w:b w:val="0"/>
                <w:i w:val="0"/>
                <w:sz w:val="18"/>
              </w:rPr>
              <w:t>Allocation by revenue: penalises growing sites</w:t>
            </w:r>
          </w:p>
        </w:tc>
      </w:tr>
      <w:tr>
        <w:trPr>
          <w:cantSplit w:val="true"/>
        </w:trPr>
        <w:tc>
          <w:tcPr>
            <w:tcW w:type="dxa" w:w="780"/>
            <w:shd w:val="clear" w:color="auto" w:fill="F7F8FA"/>
          </w:tcPr>
          <w:p>
            <w:pPr>
              <w:spacing w:after="0"/>
            </w:pPr>
            <w:r>
              <w:rPr>
                <w:b w:val="0"/>
                <w:i w:val="0"/>
                <w:sz w:val="18"/>
              </w:rPr>
              <w:t>DD-04</w:t>
            </w:r>
          </w:p>
        </w:tc>
        <w:tc>
          <w:tcPr>
            <w:tcW w:type="dxa" w:w="2925"/>
            <w:shd w:val="clear" w:color="auto" w:fill="F7F8FA"/>
          </w:tcPr>
          <w:p>
            <w:pPr>
              <w:spacing w:after="0"/>
            </w:pPr>
            <w:r>
              <w:rPr>
                <w:b w:val="0"/>
                <w:i w:val="0"/>
                <w:sz w:val="18"/>
              </w:rPr>
              <w:t>Final version filled by copy on approval</w:t>
            </w:r>
          </w:p>
        </w:tc>
        <w:tc>
          <w:tcPr>
            <w:tcW w:type="dxa" w:w="3315"/>
            <w:shd w:val="clear" w:color="auto" w:fill="F7F8FA"/>
          </w:tcPr>
          <w:p>
            <w:pPr>
              <w:spacing w:after="0"/>
            </w:pPr>
            <w:r>
              <w:rPr>
                <w:b w:val="0"/>
                <w:i w:val="0"/>
                <w:sz w:val="18"/>
              </w:rPr>
              <w:t>Keeps a frozen reference for variances and audit</w:t>
            </w:r>
          </w:p>
        </w:tc>
        <w:tc>
          <w:tcPr>
            <w:tcW w:type="dxa" w:w="2730"/>
            <w:shd w:val="clear" w:color="auto" w:fill="F7F8FA"/>
          </w:tcPr>
          <w:p>
            <w:pPr>
              <w:spacing w:after="0"/>
            </w:pPr>
            <w:r>
              <w:rPr>
                <w:b w:val="0"/>
                <w:i w:val="0"/>
                <w:sz w:val="18"/>
              </w:rPr>
              <w:t>Approval in place: no frozen copy</w:t>
            </w:r>
          </w:p>
        </w:tc>
      </w:tr>
      <w:tr>
        <w:trPr>
          <w:cantSplit w:val="true"/>
        </w:trPr>
        <w:tc>
          <w:tcPr>
            <w:tcW w:type="dxa" w:w="780"/>
          </w:tcPr>
          <w:p>
            <w:pPr>
              <w:spacing w:after="0"/>
            </w:pPr>
            <w:r>
              <w:rPr>
                <w:b w:val="0"/>
                <w:i w:val="0"/>
                <w:sz w:val="18"/>
              </w:rPr>
              <w:t>DD-05</w:t>
            </w:r>
          </w:p>
        </w:tc>
        <w:tc>
          <w:tcPr>
            <w:tcW w:type="dxa" w:w="2925"/>
          </w:tcPr>
          <w:p>
            <w:pPr>
              <w:spacing w:after="0"/>
            </w:pPr>
            <w:r>
              <w:rPr>
                <w:b w:val="0"/>
                <w:i w:val="0"/>
                <w:sz w:val="18"/>
              </w:rPr>
              <w:t>Forecast horizon moved by substitution variables</w:t>
            </w:r>
          </w:p>
        </w:tc>
        <w:tc>
          <w:tcPr>
            <w:tcW w:type="dxa" w:w="3315"/>
          </w:tcPr>
          <w:p>
            <w:pPr>
              <w:spacing w:after="0"/>
            </w:pPr>
            <w:r>
              <w:rPr>
                <w:b w:val="0"/>
                <w:i w:val="0"/>
                <w:sz w:val="18"/>
              </w:rPr>
              <w:t>The same forms work every month, with no redesign</w:t>
            </w:r>
          </w:p>
        </w:tc>
        <w:tc>
          <w:tcPr>
            <w:tcW w:type="dxa" w:w="2730"/>
          </w:tcPr>
          <w:p>
            <w:pPr>
              <w:spacing w:after="0"/>
            </w:pPr>
            <w:r>
              <w:rPr>
                <w:b w:val="0"/>
                <w:i w:val="0"/>
                <w:sz w:val="18"/>
              </w:rPr>
              <w:t>One form per month: heavy to maintain</w:t>
            </w:r>
          </w:p>
        </w:tc>
      </w:tr>
      <w:tr>
        <w:trPr>
          <w:cantSplit w:val="true"/>
        </w:trPr>
        <w:tc>
          <w:tcPr>
            <w:tcW w:type="dxa" w:w="780"/>
            <w:shd w:val="clear" w:color="auto" w:fill="F7F8FA"/>
          </w:tcPr>
          <w:p>
            <w:pPr>
              <w:spacing w:after="0"/>
            </w:pPr>
            <w:r>
              <w:rPr>
                <w:b w:val="0"/>
                <w:i w:val="0"/>
                <w:sz w:val="18"/>
              </w:rPr>
              <w:t>DD-06</w:t>
            </w:r>
          </w:p>
        </w:tc>
        <w:tc>
          <w:tcPr>
            <w:tcW w:type="dxa" w:w="2925"/>
            <w:shd w:val="clear" w:color="auto" w:fill="F7F8FA"/>
          </w:tcPr>
          <w:p>
            <w:pPr>
              <w:spacing w:after="0"/>
            </w:pPr>
            <w:r>
              <w:rPr>
                <w:b w:val="0"/>
                <w:i w:val="0"/>
                <w:sz w:val="18"/>
              </w:rPr>
              <w:t>Single currency (EUR), no Currency dimension</w:t>
            </w:r>
          </w:p>
        </w:tc>
        <w:tc>
          <w:tcPr>
            <w:tcW w:type="dxa" w:w="3315"/>
            <w:shd w:val="clear" w:color="auto" w:fill="F7F8FA"/>
          </w:tcPr>
          <w:p>
            <w:pPr>
              <w:spacing w:after="0"/>
            </w:pPr>
            <w:r>
              <w:rPr>
                <w:b w:val="0"/>
                <w:i w:val="0"/>
                <w:sz w:val="18"/>
              </w:rPr>
              <w:t>All three sites report in euros</w:t>
            </w:r>
          </w:p>
        </w:tc>
        <w:tc>
          <w:tcPr>
            <w:tcW w:type="dxa" w:w="2730"/>
            <w:shd w:val="clear" w:color="auto" w:fill="F7F8FA"/>
          </w:tcPr>
          <w:p>
            <w:pPr>
              <w:spacing w:after="0"/>
            </w:pPr>
            <w:r>
              <w:rPr>
                <w:b w:val="0"/>
                <w:i w:val="0"/>
                <w:sz w:val="18"/>
              </w:rPr>
              <w:t>Multi-currency: not needed here; subsidiaries are in FCCS</w:t>
            </w:r>
          </w:p>
        </w:tc>
      </w:tr>
    </w:tbl>
    <w:p>
      <w:pPr>
        <w:spacing w:after="40"/>
      </w:pPr>
    </w:p>
    <w:tbl>
      <w:tblPr>
        <w:tblW w:type="dxa" w:w="9752"/>
        <w:tblBorders>
          <w:top w:val="nil"/>
          <w:left w:val="nil"/>
          <w:bottom w:val="nil"/>
          <w:right w:val="nil"/>
          <w:insideH w:val="nil"/>
          <w:insideV w:val="nil"/>
        </w:tblBorders>
        <w:tblLayout w:type="fixed"/>
        <w:tblCellMar>
          <w:top w:w="110" w:type="dxa"/>
          <w:left w:w="160" w:type="dxa"/>
          <w:bottom w:w="110" w:type="dxa"/>
          <w:right w:w="160" w:type="dxa"/>
        </w:tblCellMar>
        <w:tblLook w:firstColumn="1" w:firstRow="1" w:lastColumn="0" w:lastRow="0" w:noHBand="0" w:noVBand="1" w:val="04A0"/>
      </w:tblPr>
      <w:tblGrid>
        <w:gridCol w:w="9752"/>
      </w:tblGrid>
      <w:tr>
        <w:tc>
          <w:tcPr>
            <w:tcW w:type="dxa" w:w="9751"/>
            <w:shd w:val="clear" w:color="auto" w:fill="FBF3E4"/>
          </w:tcPr>
          <w:p>
            <w:pPr>
              <w:spacing w:after="40"/>
            </w:pPr>
            <w:r>
              <w:rPr>
                <w:b/>
                <w:i w:val="0"/>
                <w:color w:val="8A5410"/>
                <w:sz w:val="21"/>
              </w:rPr>
              <w:t>Sign-off</w:t>
            </w:r>
          </w:p>
          <w:p>
            <w:r>
              <w:rPr>
                <w:b w:val="0"/>
                <w:i w:val="0"/>
              </w:rPr>
              <w:t>This design was approved by the steering committee on 15 May 2026 (milestone M2, decision log). Any change after sign-off goes through change control.</w:t>
            </w:r>
          </w:p>
        </w:tc>
      </w:tr>
    </w:tbl>
    <w:p>
      <w:pPr>
        <w:spacing w:after="40"/>
      </w:pPr>
    </w:p>
    <w:sectPr w:rsidR="00FC693F" w:rsidRPr="0006063C" w:rsidSect="00034616">
      <w:headerReference w:type="default" r:id="rId9"/>
      <w:footerReference w:type="default" r:id="rId10"/>
      <w:pgSz w:w="11906" w:h="16838"/>
      <w:pgMar w:top="1134" w:right="1077" w:bottom="1020"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3"/>
        <w:sz w:val="18"/>
      </w:rPr>
      <w:t xml:space="preserve">Page </w:t>
    </w:r>
    <w:r>
      <w:rPr>
        <w:color w:val="5B6673"/>
        <w:sz w:val="18"/>
      </w:rPr>
      <w:fldChar w:fldCharType="begin"/>
    </w:r>
    <w:r>
      <w:rPr>
        <w:color w:val="5B6673"/>
        <w:sz w:val="18"/>
      </w:rPr>
      <w:instrText xml:space="preserve"> PAGE </w:instrText>
    </w:r>
    <w:r>
      <w:rPr>
        <w:color w:val="5B6673"/>
        <w:sz w:val="18"/>
      </w:rPr>
      <w:fldChar w:fldCharType="separate"/>
    </w:r>
    <w:r>
      <w:rPr>
        <w:color w:val="5B6673"/>
        <w:sz w:val="18"/>
      </w:rPr>
      <w:t>1</w:t>
    </w:r>
    <w:r>
      <w:rPr>
        <w:color w:val="5B6673"/>
        <w:sz w:val="18"/>
      </w:rPr>
      <w:fldChar w:fldCharType="end"/>
    </w:r>
    <w:r>
      <w:rPr>
        <w:color w:val="5B6673"/>
        <w:sz w:val="18"/>
      </w:rPr>
      <w:t xml:space="preserve"> of </w:t>
    </w:r>
    <w:r>
      <w:rPr>
        <w:color w:val="5B6673"/>
        <w:sz w:val="18"/>
      </w:rPr>
      <w:fldChar w:fldCharType="begin"/>
    </w:r>
    <w:r>
      <w:rPr>
        <w:color w:val="5B6673"/>
        <w:sz w:val="18"/>
      </w:rPr>
      <w:instrText xml:space="preserve"> NUMPAGES </w:instrText>
    </w:r>
    <w:r>
      <w:rPr>
        <w:color w:val="5B6673"/>
        <w:sz w:val="18"/>
      </w:rPr>
      <w:fldChar w:fldCharType="separate"/>
    </w:r>
    <w:r>
      <w:rPr>
        <w:color w:val="5B6673"/>
        <w:sz w:val="18"/>
      </w:rPr>
      <w:t>1</w:t>
    </w:r>
    <w:r>
      <w:rPr>
        <w:color w:val="5B667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B6673"/>
        <w:sz w:val="18"/>
      </w:rPr>
      <w:t>Maison Lumen · Lumen Plan · Solution Design Document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s="Calibri" w:eastAsia="Calibri"/>
      <w:color w:val="1C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hAnsi="Cambria" w:cs="Cambria" w:eastAsia="Cambria"/>
      <w:b/>
      <w:bCs/>
      <w:color w:val="1C253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Cambria" w:hAnsi="Cambria" w:cs="Cambria" w:eastAsia="Cambria"/>
      <w:b/>
      <w:bCs/>
      <w:color w:val="2F5D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Cambria" w:hAnsi="Cambria" w:cs="Cambria" w:eastAsia="Cambria"/>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cs="Calibri" w:eastAsia="Calibri"/>
      <w:color w:val="1C253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Document</dc:title>
  <dc:subject>Lumen Plan: driver-based forecast and FY27 budget for the French sites</dc:subject>
  <dc:creator>Gaurav Sharma</dc:creator>
  <cp:keywords>Oracle EPM Planning, EPBCS, solution design, portfolio sample</cp:keywords>
  <dc:description>generated by python-docx</dc:description>
  <cp:lastModifiedBy/>
  <cp:revision>1</cp:revision>
  <dcterms:created xsi:type="dcterms:W3CDTF">2013-12-23T23:15:00Z</dcterms:created>
  <dcterms:modified xsi:type="dcterms:W3CDTF">2013-12-23T23:15:00Z</dcterms:modified>
  <cp:category/>
</cp:coreProperties>
</file>