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752"/>
        <w:tblBorders>
          <w:top w:val="nil"/>
          <w:left w:val="nil"/>
          <w:bottom w:val="nil"/>
          <w:right w:val="nil"/>
          <w:insideH w:val="nil"/>
          <w:insideV w:val="nil"/>
        </w:tblBorders>
        <w:tblLayout w:type="fixed"/>
        <w:tblCellMar>
          <w:top w:w="500" w:type="dxa"/>
          <w:left w:w="500" w:type="dxa"/>
          <w:bottom w:w="500" w:type="dxa"/>
          <w:right w:w="500" w:type="dxa"/>
        </w:tblCellMar>
        <w:tblLook w:firstColumn="1" w:firstRow="1" w:lastColumn="0" w:lastRow="0" w:noHBand="0" w:noVBand="1" w:val="04A0"/>
      </w:tblPr>
      <w:tblGrid>
        <w:gridCol w:w="9752"/>
      </w:tblGrid>
      <w:tr>
        <w:trPr>
          <w:trHeight w:val="13891" w:hRule="exact"/>
        </w:trPr>
        <w:tc>
          <w:tcPr>
            <w:tcW w:type="dxa" w:w="9751"/>
            <w:shd w:val="clear" w:color="auto" w:fill="1C2530"/>
          </w:tcPr>
          <w:p>
            <w:pPr>
              <w:spacing w:after="1400"/>
            </w:pPr>
            <w:r>
              <w:rPr>
                <w:b/>
                <w:i w:val="0"/>
                <w:color w:val="E9B866"/>
                <w:sz w:val="21"/>
              </w:rPr>
              <w:t>MAISON LUMEN · ORACLE EPM ROLLOUT</w:t>
            </w:r>
          </w:p>
          <w:p>
            <w:pPr>
              <w:pStyle w:val="Title"/>
            </w:pPr>
            <w:r>
              <w:t>Project Initiation Documentation</w:t>
            </w:r>
          </w:p>
          <w:p>
            <w:pPr>
              <w:spacing w:after="3000"/>
            </w:pPr>
            <w:r>
              <w:rPr>
                <w:b w:val="0"/>
                <w:i w:val="0"/>
                <w:color w:val="D6DCE3"/>
                <w:sz w:val="27"/>
              </w:rPr>
              <w:t>Lumen Rollout: deploying Oracle EPM Planning (EPBCS) and Financial Consolidation (FCCS)</w:t>
            </w:r>
          </w:p>
          <w:p>
            <w:pPr>
              <w:spacing w:after="60"/>
            </w:pPr>
            <w:r>
              <w:rPr>
                <w:b w:val="0"/>
                <w:i w:val="0"/>
                <w:color w:val="9AA6B2"/>
                <w:sz w:val="20"/>
              </w:rPr>
              <w:t xml:space="preserve">Project   </w:t>
            </w:r>
            <w:r>
              <w:rPr>
                <w:b w:val="0"/>
                <w:i w:val="0"/>
                <w:color w:val="E6EAEE"/>
                <w:sz w:val="20"/>
              </w:rPr>
              <w:t>Lumen Rollout · Maison Lumen Group</w:t>
            </w:r>
          </w:p>
          <w:p>
            <w:pPr>
              <w:spacing w:after="60"/>
            </w:pPr>
            <w:r>
              <w:rPr>
                <w:b w:val="0"/>
                <w:i w:val="0"/>
                <w:color w:val="9AA6B2"/>
                <w:sz w:val="20"/>
              </w:rPr>
              <w:t xml:space="preserve">Document   </w:t>
            </w:r>
            <w:r>
              <w:rPr>
                <w:b w:val="0"/>
                <w:i w:val="0"/>
                <w:color w:val="E6EAEE"/>
                <w:sz w:val="20"/>
              </w:rPr>
              <w:t>LR-PID-001 · version 1.0 · approved</w:t>
            </w:r>
          </w:p>
          <w:p>
            <w:pPr>
              <w:spacing w:after="60"/>
            </w:pPr>
            <w:r>
              <w:rPr>
                <w:b w:val="0"/>
                <w:i w:val="0"/>
                <w:color w:val="9AA6B2"/>
                <w:sz w:val="20"/>
              </w:rPr>
              <w:t xml:space="preserve">Date   </w:t>
            </w:r>
            <w:r>
              <w:rPr>
                <w:b w:val="0"/>
                <w:i w:val="0"/>
                <w:color w:val="E6EAEE"/>
                <w:sz w:val="20"/>
              </w:rPr>
              <w:t>27 March 2026 (charter approval, milestone M1)</w:t>
            </w:r>
          </w:p>
          <w:p>
            <w:pPr>
              <w:spacing w:after="60"/>
            </w:pPr>
            <w:r>
              <w:rPr>
                <w:b w:val="0"/>
                <w:i w:val="0"/>
                <w:color w:val="9AA6B2"/>
                <w:sz w:val="20"/>
              </w:rPr>
              <w:t xml:space="preserve">Prepared by   </w:t>
            </w:r>
            <w:r>
              <w:rPr>
                <w:b w:val="0"/>
                <w:i w:val="0"/>
                <w:color w:val="E6EAEE"/>
                <w:sz w:val="20"/>
              </w:rPr>
              <w:t>Gaurav Sharma, project manager</w:t>
            </w:r>
          </w:p>
          <w:p>
            <w:pPr>
              <w:spacing w:after="60"/>
            </w:pPr>
            <w:r>
              <w:rPr>
                <w:b w:val="0"/>
                <w:i w:val="0"/>
                <w:color w:val="9AA6B2"/>
                <w:sz w:val="20"/>
              </w:rPr>
              <w:t xml:space="preserve">Approved by   </w:t>
            </w:r>
            <w:r>
              <w:rPr>
                <w:b w:val="0"/>
                <w:i w:val="0"/>
                <w:color w:val="E6EAEE"/>
                <w:sz w:val="20"/>
              </w:rPr>
              <w:t>Marc Dubois, CFO and project executive</w:t>
            </w:r>
          </w:p>
          <w:p>
            <w:pPr>
              <w:spacing w:before="280"/>
            </w:pPr>
            <w:r>
              <w:rPr>
                <w:b w:val="0"/>
                <w:i/>
                <w:color w:val="9AA6B2"/>
                <w:sz w:val="18"/>
              </w:rPr>
              <w:t>Portfolio sample. Maison Lumen, its people and all figures are fictional. PRINCE2® is a registered trademark of PeopleCert; Oracle, EPBCS and FCCS are trademarks of Oracle Corporation. Not affiliated with either.</w:t>
            </w:r>
          </w:p>
        </w:tc>
      </w:tr>
    </w:tbl>
    <w:p>
      <w:r>
        <w:br w:type="page"/>
      </w:r>
    </w:p>
    <w:p>
      <w:pPr>
        <w:pStyle w:val="Heading1"/>
      </w:pPr>
      <w:r>
        <w:t>Document control</w:t>
      </w:r>
    </w:p>
    <w:tbl>
      <w:tblPr>
        <w:tblW w:type="dxa" w:w="9752"/>
        <w:jc w:val="left"/>
        <w:tblBorders>
          <w:top w:val="single" w:sz="4" w:color="D5DAE0"/>
          <w:left w:val="single" w:sz="4" w:color="D5DAE0"/>
          <w:bottom w:val="single" w:sz="4" w:color="D5DAE0"/>
          <w:right w:val="single" w:sz="4" w:color="D5DAE0"/>
          <w:insideH w:val="single" w:sz="4" w:color="D5DAE0"/>
          <w:insideV w:val="single" w:sz="4" w:color="D5DAE0"/>
        </w:tblBorders>
        <w:tblLayout w:type="fixed"/>
        <w:tblCellMar>
          <w:top w:w="60" w:type="dxa"/>
          <w:left w:w="100" w:type="dxa"/>
          <w:bottom w:w="60" w:type="dxa"/>
          <w:right w:w="100" w:type="dxa"/>
        </w:tblCellMar>
        <w:tblLook w:firstColumn="1" w:firstRow="1" w:lastColumn="0" w:lastRow="0" w:noHBand="0" w:noVBand="1" w:val="04A0"/>
      </w:tblPr>
      <w:tblGrid>
        <w:gridCol w:w="2925"/>
        <w:gridCol w:w="6826"/>
      </w:tblGrid>
      <w:tr>
        <w:trPr>
          <w:cantSplit w:val="true"/>
        </w:trPr>
        <w:tc>
          <w:tcPr>
            <w:tcW w:type="dxa" w:w="2925"/>
            <w:shd w:val="clear" w:color="auto" w:fill="F3F4F6"/>
          </w:tcPr>
          <w:p>
            <w:pPr>
              <w:spacing w:after="0"/>
            </w:pPr>
            <w:r>
              <w:rPr>
                <w:b/>
                <w:i w:val="0"/>
                <w:sz w:val="18"/>
              </w:rPr>
              <w:t>Document ID</w:t>
            </w:r>
          </w:p>
        </w:tc>
        <w:tc>
          <w:tcPr>
            <w:tcW w:type="dxa" w:w="6826"/>
          </w:tcPr>
          <w:p>
            <w:pPr>
              <w:spacing w:after="0"/>
            </w:pPr>
            <w:r>
              <w:rPr>
                <w:b w:val="0"/>
                <w:i w:val="0"/>
                <w:sz w:val="18"/>
              </w:rPr>
              <w:t>LR-PID-001</w:t>
            </w:r>
          </w:p>
        </w:tc>
      </w:tr>
      <w:tr>
        <w:trPr>
          <w:cantSplit w:val="true"/>
        </w:trPr>
        <w:tc>
          <w:tcPr>
            <w:tcW w:type="dxa" w:w="2925"/>
            <w:shd w:val="clear" w:color="auto" w:fill="F3F4F6"/>
          </w:tcPr>
          <w:p>
            <w:pPr>
              <w:spacing w:after="0"/>
            </w:pPr>
            <w:r>
              <w:rPr>
                <w:b/>
                <w:i w:val="0"/>
                <w:sz w:val="18"/>
              </w:rPr>
              <w:t>Status</w:t>
            </w:r>
          </w:p>
        </w:tc>
        <w:tc>
          <w:tcPr>
            <w:tcW w:type="dxa" w:w="6826"/>
          </w:tcPr>
          <w:p>
            <w:pPr>
              <w:spacing w:after="0"/>
            </w:pPr>
            <w:r>
              <w:rPr>
                <w:b w:val="0"/>
                <w:i w:val="0"/>
                <w:sz w:val="18"/>
              </w:rPr>
              <w:t>Approved by the steering committee on 27 March 2026 (decision DC1)</w:t>
            </w:r>
          </w:p>
        </w:tc>
      </w:tr>
      <w:tr>
        <w:trPr>
          <w:cantSplit w:val="true"/>
        </w:trPr>
        <w:tc>
          <w:tcPr>
            <w:tcW w:type="dxa" w:w="2925"/>
            <w:shd w:val="clear" w:color="auto" w:fill="F3F4F6"/>
          </w:tcPr>
          <w:p>
            <w:pPr>
              <w:spacing w:after="0"/>
            </w:pPr>
            <w:r>
              <w:rPr>
                <w:b/>
                <w:i w:val="0"/>
                <w:sz w:val="18"/>
              </w:rPr>
              <w:t>Purpose</w:t>
            </w:r>
          </w:p>
        </w:tc>
        <w:tc>
          <w:tcPr>
            <w:tcW w:type="dxa" w:w="6826"/>
          </w:tcPr>
          <w:p>
            <w:pPr>
              <w:spacing w:after="0"/>
            </w:pPr>
            <w:r>
              <w:rPr>
                <w:b w:val="0"/>
                <w:i w:val="0"/>
                <w:sz w:val="18"/>
              </w:rPr>
              <w:t>Defines the project so the steering committee can authorise it and use it as the baseline for all later decisions</w:t>
            </w:r>
          </w:p>
        </w:tc>
      </w:tr>
      <w:tr>
        <w:trPr>
          <w:cantSplit w:val="true"/>
        </w:trPr>
        <w:tc>
          <w:tcPr>
            <w:tcW w:type="dxa" w:w="2925"/>
            <w:shd w:val="clear" w:color="auto" w:fill="F3F4F6"/>
          </w:tcPr>
          <w:p>
            <w:pPr>
              <w:spacing w:after="0"/>
            </w:pPr>
            <w:r>
              <w:rPr>
                <w:b/>
                <w:i w:val="0"/>
                <w:sz w:val="18"/>
              </w:rPr>
              <w:t>Related documents</w:t>
            </w:r>
          </w:p>
        </w:tc>
        <w:tc>
          <w:tcPr>
            <w:tcW w:type="dxa" w:w="6826"/>
          </w:tcPr>
          <w:p>
            <w:pPr>
              <w:spacing w:after="0"/>
            </w:pPr>
            <w:r>
              <w:rPr>
                <w:b w:val="0"/>
                <w:i w:val="0"/>
                <w:sz w:val="18"/>
              </w:rPr>
              <w:t>Solution design documents (LR-DES-EPBCS-001, LR-DES-FCCS-001) · Project control workbook (RAID log, change log, UAT test plan, go/no-go checklist)</w:t>
            </w:r>
          </w:p>
        </w:tc>
      </w:tr>
    </w:tbl>
    <w:p>
      <w:pPr>
        <w:spacing w:after="40"/>
      </w:pPr>
    </w:p>
    <w:p>
      <w:pPr>
        <w:pStyle w:val="Heading2"/>
      </w:pPr>
      <w:r>
        <w:t>Version history</w:t>
      </w:r>
    </w:p>
    <w:tbl>
      <w:tblPr>
        <w:tblW w:type="dxa" w:w="9752"/>
        <w:jc w:val="left"/>
        <w:tblBorders>
          <w:top w:val="single" w:sz="4" w:color="D5DAE0"/>
          <w:left w:val="single" w:sz="4" w:color="D5DAE0"/>
          <w:bottom w:val="single" w:sz="4" w:color="D5DAE0"/>
          <w:right w:val="single" w:sz="4" w:color="D5DAE0"/>
          <w:insideH w:val="single" w:sz="4" w:color="D5DAE0"/>
          <w:insideV w:val="single" w:sz="4" w:color="D5DAE0"/>
        </w:tblBorders>
        <w:tblLayout w:type="fixed"/>
        <w:tblCellMar>
          <w:top w:w="60" w:type="dxa"/>
          <w:left w:w="100" w:type="dxa"/>
          <w:bottom w:w="60" w:type="dxa"/>
          <w:right w:w="100" w:type="dxa"/>
        </w:tblCellMar>
        <w:tblLook w:firstColumn="1" w:firstRow="1" w:lastColumn="0" w:lastRow="0" w:noHBand="0" w:noVBand="1" w:val="04A0"/>
      </w:tblPr>
      <w:tblGrid>
        <w:gridCol w:w="975"/>
        <w:gridCol w:w="1560"/>
        <w:gridCol w:w="1755"/>
        <w:gridCol w:w="5461"/>
      </w:tblGrid>
      <w:tr>
        <w:trPr>
          <w:tblHeader w:val="true"/>
        </w:trPr>
        <w:tc>
          <w:tcPr>
            <w:tcW w:type="dxa" w:w="975"/>
            <w:shd w:val="clear" w:color="auto" w:fill="2F5D62"/>
          </w:tcPr>
          <w:p>
            <w:r>
              <w:rPr>
                <w:b/>
                <w:i w:val="0"/>
                <w:color w:val="FFFFFF"/>
                <w:sz w:val="18"/>
              </w:rPr>
              <w:t>Version</w:t>
            </w:r>
          </w:p>
        </w:tc>
        <w:tc>
          <w:tcPr>
            <w:tcW w:type="dxa" w:w="1560"/>
            <w:shd w:val="clear" w:color="auto" w:fill="2F5D62"/>
          </w:tcPr>
          <w:p>
            <w:r>
              <w:rPr>
                <w:b/>
                <w:i w:val="0"/>
                <w:color w:val="FFFFFF"/>
                <w:sz w:val="18"/>
              </w:rPr>
              <w:t>Date</w:t>
            </w:r>
          </w:p>
        </w:tc>
        <w:tc>
          <w:tcPr>
            <w:tcW w:type="dxa" w:w="1755"/>
            <w:shd w:val="clear" w:color="auto" w:fill="2F5D62"/>
          </w:tcPr>
          <w:p>
            <w:r>
              <w:rPr>
                <w:b/>
                <w:i w:val="0"/>
                <w:color w:val="FFFFFF"/>
                <w:sz w:val="18"/>
              </w:rPr>
              <w:t>Author</w:t>
            </w:r>
          </w:p>
        </w:tc>
        <w:tc>
          <w:tcPr>
            <w:tcW w:type="dxa" w:w="5461"/>
            <w:shd w:val="clear" w:color="auto" w:fill="2F5D62"/>
          </w:tcPr>
          <w:p>
            <w:r>
              <w:rPr>
                <w:b/>
                <w:i w:val="0"/>
                <w:color w:val="FFFFFF"/>
                <w:sz w:val="18"/>
              </w:rPr>
              <w:t>Changes</w:t>
            </w:r>
          </w:p>
        </w:tc>
      </w:tr>
      <w:tr>
        <w:trPr>
          <w:cantSplit w:val="true"/>
        </w:trPr>
        <w:tc>
          <w:tcPr>
            <w:tcW w:type="dxa" w:w="975"/>
          </w:tcPr>
          <w:p>
            <w:pPr>
              <w:spacing w:after="0"/>
            </w:pPr>
            <w:r>
              <w:rPr>
                <w:b w:val="0"/>
                <w:i w:val="0"/>
                <w:sz w:val="18"/>
              </w:rPr>
              <w:t>0.1</w:t>
            </w:r>
          </w:p>
        </w:tc>
        <w:tc>
          <w:tcPr>
            <w:tcW w:type="dxa" w:w="1560"/>
          </w:tcPr>
          <w:p>
            <w:pPr>
              <w:spacing w:after="0"/>
            </w:pPr>
            <w:r>
              <w:rPr>
                <w:b w:val="0"/>
                <w:i w:val="0"/>
                <w:sz w:val="18"/>
              </w:rPr>
              <w:t>13 Mar 2026</w:t>
            </w:r>
          </w:p>
        </w:tc>
        <w:tc>
          <w:tcPr>
            <w:tcW w:type="dxa" w:w="1755"/>
          </w:tcPr>
          <w:p>
            <w:pPr>
              <w:spacing w:after="0"/>
            </w:pPr>
            <w:r>
              <w:rPr>
                <w:b w:val="0"/>
                <w:i w:val="0"/>
                <w:sz w:val="18"/>
              </w:rPr>
              <w:t>G. Sharma</w:t>
            </w:r>
          </w:p>
        </w:tc>
        <w:tc>
          <w:tcPr>
            <w:tcW w:type="dxa" w:w="5461"/>
          </w:tcPr>
          <w:p>
            <w:pPr>
              <w:spacing w:after="0"/>
            </w:pPr>
            <w:r>
              <w:rPr>
                <w:b w:val="0"/>
                <w:i w:val="0"/>
                <w:sz w:val="18"/>
              </w:rPr>
              <w:t>First draft after the kick-off</w:t>
            </w:r>
          </w:p>
        </w:tc>
      </w:tr>
      <w:tr>
        <w:trPr>
          <w:cantSplit w:val="true"/>
        </w:trPr>
        <w:tc>
          <w:tcPr>
            <w:tcW w:type="dxa" w:w="975"/>
            <w:shd w:val="clear" w:color="auto" w:fill="F7F8FA"/>
          </w:tcPr>
          <w:p>
            <w:pPr>
              <w:spacing w:after="0"/>
            </w:pPr>
            <w:r>
              <w:rPr>
                <w:b w:val="0"/>
                <w:i w:val="0"/>
                <w:sz w:val="18"/>
              </w:rPr>
              <w:t>0.4</w:t>
            </w:r>
          </w:p>
        </w:tc>
        <w:tc>
          <w:tcPr>
            <w:tcW w:type="dxa" w:w="1560"/>
            <w:shd w:val="clear" w:color="auto" w:fill="F7F8FA"/>
          </w:tcPr>
          <w:p>
            <w:pPr>
              <w:spacing w:after="0"/>
            </w:pPr>
            <w:r>
              <w:rPr>
                <w:b w:val="0"/>
                <w:i w:val="0"/>
                <w:sz w:val="18"/>
              </w:rPr>
              <w:t>20 Mar 2026</w:t>
            </w:r>
          </w:p>
        </w:tc>
        <w:tc>
          <w:tcPr>
            <w:tcW w:type="dxa" w:w="1755"/>
            <w:shd w:val="clear" w:color="auto" w:fill="F7F8FA"/>
          </w:tcPr>
          <w:p>
            <w:pPr>
              <w:spacing w:after="0"/>
            </w:pPr>
            <w:r>
              <w:rPr>
                <w:b w:val="0"/>
                <w:i w:val="0"/>
                <w:sz w:val="18"/>
              </w:rPr>
              <w:t>G. Sharma</w:t>
            </w:r>
          </w:p>
        </w:tc>
        <w:tc>
          <w:tcPr>
            <w:tcW w:type="dxa" w:w="5461"/>
            <w:shd w:val="clear" w:color="auto" w:fill="F7F8FA"/>
          </w:tcPr>
          <w:p>
            <w:pPr>
              <w:spacing w:after="0"/>
            </w:pPr>
            <w:r>
              <w:rPr>
                <w:b w:val="0"/>
                <w:i w:val="0"/>
                <w:sz w:val="18"/>
              </w:rPr>
              <w:t>Business case figures from finance; tolerances proposed</w:t>
            </w:r>
          </w:p>
        </w:tc>
      </w:tr>
      <w:tr>
        <w:trPr>
          <w:cantSplit w:val="true"/>
        </w:trPr>
        <w:tc>
          <w:tcPr>
            <w:tcW w:type="dxa" w:w="975"/>
          </w:tcPr>
          <w:p>
            <w:pPr>
              <w:spacing w:after="0"/>
            </w:pPr>
            <w:r>
              <w:rPr>
                <w:b w:val="0"/>
                <w:i w:val="0"/>
                <w:sz w:val="18"/>
              </w:rPr>
              <w:t>1.0</w:t>
            </w:r>
          </w:p>
        </w:tc>
        <w:tc>
          <w:tcPr>
            <w:tcW w:type="dxa" w:w="1560"/>
          </w:tcPr>
          <w:p>
            <w:pPr>
              <w:spacing w:after="0"/>
            </w:pPr>
            <w:r>
              <w:rPr>
                <w:b w:val="0"/>
                <w:i w:val="0"/>
                <w:sz w:val="18"/>
              </w:rPr>
              <w:t>27 Mar 2026</w:t>
            </w:r>
          </w:p>
        </w:tc>
        <w:tc>
          <w:tcPr>
            <w:tcW w:type="dxa" w:w="1755"/>
          </w:tcPr>
          <w:p>
            <w:pPr>
              <w:spacing w:after="0"/>
            </w:pPr>
            <w:r>
              <w:rPr>
                <w:b w:val="0"/>
                <w:i w:val="0"/>
                <w:sz w:val="18"/>
              </w:rPr>
              <w:t>G. Sharma</w:t>
            </w:r>
          </w:p>
        </w:tc>
        <w:tc>
          <w:tcPr>
            <w:tcW w:type="dxa" w:w="5461"/>
          </w:tcPr>
          <w:p>
            <w:pPr>
              <w:spacing w:after="0"/>
            </w:pPr>
            <w:r>
              <w:rPr>
                <w:b w:val="0"/>
                <w:i w:val="0"/>
                <w:sz w:val="18"/>
              </w:rPr>
              <w:t>Approved at the steering committee (milestone M1)</w:t>
            </w:r>
          </w:p>
        </w:tc>
      </w:tr>
    </w:tbl>
    <w:p>
      <w:pPr>
        <w:spacing w:after="40"/>
      </w:pPr>
    </w:p>
    <w:p>
      <w:pPr>
        <w:pStyle w:val="Heading2"/>
      </w:pPr>
      <w:r>
        <w:t>Approval</w:t>
      </w:r>
    </w:p>
    <w:tbl>
      <w:tblPr>
        <w:tblW w:type="dxa" w:w="9752"/>
        <w:jc w:val="left"/>
        <w:tblBorders>
          <w:top w:val="single" w:sz="4" w:color="D5DAE0"/>
          <w:left w:val="single" w:sz="4" w:color="D5DAE0"/>
          <w:bottom w:val="single" w:sz="4" w:color="D5DAE0"/>
          <w:right w:val="single" w:sz="4" w:color="D5DAE0"/>
          <w:insideH w:val="single" w:sz="4" w:color="D5DAE0"/>
          <w:insideV w:val="single" w:sz="4" w:color="D5DAE0"/>
        </w:tblBorders>
        <w:tblLayout w:type="fixed"/>
        <w:tblCellMar>
          <w:top w:w="60" w:type="dxa"/>
          <w:left w:w="100" w:type="dxa"/>
          <w:bottom w:w="60" w:type="dxa"/>
          <w:right w:w="100" w:type="dxa"/>
        </w:tblCellMar>
        <w:tblLook w:firstColumn="1" w:firstRow="1" w:lastColumn="0" w:lastRow="0" w:noHBand="0" w:noVBand="1" w:val="04A0"/>
      </w:tblPr>
      <w:tblGrid>
        <w:gridCol w:w="2535"/>
        <w:gridCol w:w="1950"/>
        <w:gridCol w:w="3315"/>
        <w:gridCol w:w="1950"/>
      </w:tblGrid>
      <w:tr>
        <w:trPr>
          <w:tblHeader w:val="true"/>
        </w:trPr>
        <w:tc>
          <w:tcPr>
            <w:tcW w:type="dxa" w:w="2535"/>
            <w:shd w:val="clear" w:color="auto" w:fill="2F5D62"/>
          </w:tcPr>
          <w:p>
            <w:r>
              <w:rPr>
                <w:b/>
                <w:i w:val="0"/>
                <w:color w:val="FFFFFF"/>
                <w:sz w:val="18"/>
              </w:rPr>
              <w:t>Project board role</w:t>
            </w:r>
          </w:p>
        </w:tc>
        <w:tc>
          <w:tcPr>
            <w:tcW w:type="dxa" w:w="1950"/>
            <w:shd w:val="clear" w:color="auto" w:fill="2F5D62"/>
          </w:tcPr>
          <w:p>
            <w:r>
              <w:rPr>
                <w:b/>
                <w:i w:val="0"/>
                <w:color w:val="FFFFFF"/>
                <w:sz w:val="18"/>
              </w:rPr>
              <w:t>Name</w:t>
            </w:r>
          </w:p>
        </w:tc>
        <w:tc>
          <w:tcPr>
            <w:tcW w:type="dxa" w:w="3315"/>
            <w:shd w:val="clear" w:color="auto" w:fill="2F5D62"/>
          </w:tcPr>
          <w:p>
            <w:r>
              <w:rPr>
                <w:b/>
                <w:i w:val="0"/>
                <w:color w:val="FFFFFF"/>
                <w:sz w:val="18"/>
              </w:rPr>
              <w:t>Position</w:t>
            </w:r>
          </w:p>
        </w:tc>
        <w:tc>
          <w:tcPr>
            <w:tcW w:type="dxa" w:w="1950"/>
            <w:shd w:val="clear" w:color="auto" w:fill="2F5D62"/>
          </w:tcPr>
          <w:p>
            <w:r>
              <w:rPr>
                <w:b/>
                <w:i w:val="0"/>
                <w:color w:val="FFFFFF"/>
                <w:sz w:val="18"/>
              </w:rPr>
              <w:t>Decision</w:t>
            </w:r>
          </w:p>
        </w:tc>
      </w:tr>
      <w:tr>
        <w:trPr>
          <w:cantSplit w:val="true"/>
        </w:trPr>
        <w:tc>
          <w:tcPr>
            <w:tcW w:type="dxa" w:w="2535"/>
          </w:tcPr>
          <w:p>
            <w:pPr>
              <w:spacing w:after="0"/>
            </w:pPr>
            <w:r>
              <w:rPr>
                <w:b w:val="0"/>
                <w:i w:val="0"/>
                <w:sz w:val="18"/>
              </w:rPr>
              <w:t>Executive (sponsor)</w:t>
            </w:r>
          </w:p>
        </w:tc>
        <w:tc>
          <w:tcPr>
            <w:tcW w:type="dxa" w:w="1950"/>
          </w:tcPr>
          <w:p>
            <w:pPr>
              <w:spacing w:after="0"/>
            </w:pPr>
            <w:r>
              <w:rPr>
                <w:b w:val="0"/>
                <w:i w:val="0"/>
                <w:sz w:val="18"/>
              </w:rPr>
              <w:t>Marc Dubois</w:t>
            </w:r>
          </w:p>
        </w:tc>
        <w:tc>
          <w:tcPr>
            <w:tcW w:type="dxa" w:w="3315"/>
          </w:tcPr>
          <w:p>
            <w:pPr>
              <w:spacing w:after="0"/>
            </w:pPr>
            <w:r>
              <w:rPr>
                <w:b w:val="0"/>
                <w:i w:val="0"/>
                <w:sz w:val="18"/>
              </w:rPr>
              <w:t>Chief financial officer</w:t>
            </w:r>
          </w:p>
        </w:tc>
        <w:tc>
          <w:tcPr>
            <w:tcW w:type="dxa" w:w="1950"/>
          </w:tcPr>
          <w:p>
            <w:pPr>
              <w:spacing w:after="0"/>
            </w:pPr>
            <w:r>
              <w:rPr>
                <w:b/>
                <w:i w:val="0"/>
                <w:sz w:val="18"/>
              </w:rPr>
              <w:t>Approved</w:t>
            </w:r>
          </w:p>
        </w:tc>
      </w:tr>
      <w:tr>
        <w:trPr>
          <w:cantSplit w:val="true"/>
        </w:trPr>
        <w:tc>
          <w:tcPr>
            <w:tcW w:type="dxa" w:w="2535"/>
            <w:shd w:val="clear" w:color="auto" w:fill="F7F8FA"/>
          </w:tcPr>
          <w:p>
            <w:pPr>
              <w:spacing w:after="0"/>
            </w:pPr>
            <w:r>
              <w:rPr>
                <w:b w:val="0"/>
                <w:i w:val="0"/>
                <w:sz w:val="18"/>
              </w:rPr>
              <w:t>Senior user, planning</w:t>
            </w:r>
          </w:p>
        </w:tc>
        <w:tc>
          <w:tcPr>
            <w:tcW w:type="dxa" w:w="1950"/>
            <w:shd w:val="clear" w:color="auto" w:fill="F7F8FA"/>
          </w:tcPr>
          <w:p>
            <w:pPr>
              <w:spacing w:after="0"/>
            </w:pPr>
            <w:r>
              <w:rPr>
                <w:b w:val="0"/>
                <w:i w:val="0"/>
                <w:sz w:val="18"/>
              </w:rPr>
              <w:t>Claire Martin</w:t>
            </w:r>
          </w:p>
        </w:tc>
        <w:tc>
          <w:tcPr>
            <w:tcW w:type="dxa" w:w="3315"/>
            <w:shd w:val="clear" w:color="auto" w:fill="F7F8FA"/>
          </w:tcPr>
          <w:p>
            <w:pPr>
              <w:spacing w:after="0"/>
            </w:pPr>
            <w:r>
              <w:rPr>
                <w:b w:val="0"/>
                <w:i w:val="0"/>
                <w:sz w:val="18"/>
              </w:rPr>
              <w:t>Paris site controller, FP&amp;A key user</w:t>
            </w:r>
          </w:p>
        </w:tc>
        <w:tc>
          <w:tcPr>
            <w:tcW w:type="dxa" w:w="1950"/>
            <w:shd w:val="clear" w:color="auto" w:fill="F7F8FA"/>
          </w:tcPr>
          <w:p>
            <w:pPr>
              <w:spacing w:after="0"/>
            </w:pPr>
            <w:r>
              <w:rPr>
                <w:b w:val="0"/>
                <w:i w:val="0"/>
                <w:sz w:val="18"/>
              </w:rPr>
              <w:t>Reviewed</w:t>
            </w:r>
          </w:p>
        </w:tc>
      </w:tr>
      <w:tr>
        <w:trPr>
          <w:cantSplit w:val="true"/>
        </w:trPr>
        <w:tc>
          <w:tcPr>
            <w:tcW w:type="dxa" w:w="2535"/>
          </w:tcPr>
          <w:p>
            <w:pPr>
              <w:spacing w:after="0"/>
            </w:pPr>
            <w:r>
              <w:rPr>
                <w:b w:val="0"/>
                <w:i w:val="0"/>
                <w:sz w:val="18"/>
              </w:rPr>
              <w:t>Senior user, consolidation</w:t>
            </w:r>
          </w:p>
        </w:tc>
        <w:tc>
          <w:tcPr>
            <w:tcW w:type="dxa" w:w="1950"/>
          </w:tcPr>
          <w:p>
            <w:pPr>
              <w:spacing w:after="0"/>
            </w:pPr>
            <w:r>
              <w:rPr>
                <w:b w:val="0"/>
                <w:i w:val="0"/>
                <w:sz w:val="18"/>
              </w:rPr>
              <w:t>Sophie Bernard</w:t>
            </w:r>
          </w:p>
        </w:tc>
        <w:tc>
          <w:tcPr>
            <w:tcW w:type="dxa" w:w="3315"/>
          </w:tcPr>
          <w:p>
            <w:pPr>
              <w:spacing w:after="0"/>
            </w:pPr>
            <w:r>
              <w:rPr>
                <w:b w:val="0"/>
                <w:i w:val="0"/>
                <w:sz w:val="18"/>
              </w:rPr>
              <w:t>Head-office and group controller</w:t>
            </w:r>
          </w:p>
        </w:tc>
        <w:tc>
          <w:tcPr>
            <w:tcW w:type="dxa" w:w="1950"/>
          </w:tcPr>
          <w:p>
            <w:pPr>
              <w:spacing w:after="0"/>
            </w:pPr>
            <w:r>
              <w:rPr>
                <w:b w:val="0"/>
                <w:i w:val="0"/>
                <w:sz w:val="18"/>
              </w:rPr>
              <w:t>Reviewed</w:t>
            </w:r>
          </w:p>
        </w:tc>
      </w:tr>
      <w:tr>
        <w:trPr>
          <w:cantSplit w:val="true"/>
        </w:trPr>
        <w:tc>
          <w:tcPr>
            <w:tcW w:type="dxa" w:w="2535"/>
            <w:shd w:val="clear" w:color="auto" w:fill="F7F8FA"/>
          </w:tcPr>
          <w:p>
            <w:pPr>
              <w:spacing w:after="0"/>
            </w:pPr>
            <w:r>
              <w:rPr>
                <w:b w:val="0"/>
                <w:i w:val="0"/>
                <w:sz w:val="18"/>
              </w:rPr>
              <w:t>Senior supplier</w:t>
            </w:r>
          </w:p>
        </w:tc>
        <w:tc>
          <w:tcPr>
            <w:tcW w:type="dxa" w:w="1950"/>
            <w:shd w:val="clear" w:color="auto" w:fill="F7F8FA"/>
          </w:tcPr>
          <w:p>
            <w:pPr>
              <w:spacing w:after="0"/>
            </w:pPr>
            <w:r>
              <w:rPr>
                <w:b w:val="0"/>
                <w:i w:val="0"/>
                <w:sz w:val="18"/>
              </w:rPr>
              <w:t>Nicolas Petit</w:t>
            </w:r>
          </w:p>
        </w:tc>
        <w:tc>
          <w:tcPr>
            <w:tcW w:type="dxa" w:w="3315"/>
            <w:shd w:val="clear" w:color="auto" w:fill="F7F8FA"/>
          </w:tcPr>
          <w:p>
            <w:pPr>
              <w:spacing w:after="0"/>
            </w:pPr>
            <w:r>
              <w:rPr>
                <w:b w:val="0"/>
                <w:i w:val="0"/>
                <w:sz w:val="18"/>
              </w:rPr>
              <w:t>IT and ERP lead</w:t>
            </w:r>
          </w:p>
        </w:tc>
        <w:tc>
          <w:tcPr>
            <w:tcW w:type="dxa" w:w="1950"/>
            <w:shd w:val="clear" w:color="auto" w:fill="F7F8FA"/>
          </w:tcPr>
          <w:p>
            <w:pPr>
              <w:spacing w:after="0"/>
            </w:pPr>
            <w:r>
              <w:rPr>
                <w:b w:val="0"/>
                <w:i w:val="0"/>
                <w:sz w:val="18"/>
              </w:rPr>
              <w:t>Reviewed</w:t>
            </w:r>
          </w:p>
        </w:tc>
      </w:tr>
    </w:tbl>
    <w:p>
      <w:pPr>
        <w:spacing w:after="40"/>
      </w:pPr>
    </w:p>
    <w:p>
      <w:pPr>
        <w:pStyle w:val="Heading2"/>
      </w:pPr>
      <w:r>
        <w:t>Contents</w:t>
      </w:r>
    </w:p>
    <w:p>
      <w:pPr>
        <w:pStyle w:val="ListBullet"/>
      </w:pPr>
      <w:r>
        <w:rPr>
          <w:b w:val="0"/>
          <w:i w:val="0"/>
        </w:rPr>
        <w:t>1. Background</w:t>
      </w:r>
    </w:p>
    <w:p>
      <w:pPr>
        <w:pStyle w:val="ListBullet"/>
      </w:pPr>
      <w:r>
        <w:rPr>
          <w:b w:val="0"/>
          <w:i w:val="0"/>
        </w:rPr>
        <w:t>2. Project definition</w:t>
      </w:r>
    </w:p>
    <w:p>
      <w:pPr>
        <w:pStyle w:val="ListBullet"/>
      </w:pPr>
      <w:r>
        <w:rPr>
          <w:b w:val="0"/>
          <w:i w:val="0"/>
        </w:rPr>
        <w:t>3. Business case summary</w:t>
      </w:r>
    </w:p>
    <w:p>
      <w:pPr>
        <w:pStyle w:val="ListBullet"/>
      </w:pPr>
      <w:r>
        <w:rPr>
          <w:b w:val="0"/>
          <w:i w:val="0"/>
        </w:rPr>
        <w:t>4. Project approach</w:t>
      </w:r>
    </w:p>
    <w:p>
      <w:pPr>
        <w:pStyle w:val="ListBullet"/>
      </w:pPr>
      <w:r>
        <w:rPr>
          <w:b w:val="0"/>
          <w:i w:val="0"/>
        </w:rPr>
        <w:t>5. Organisation</w:t>
      </w:r>
    </w:p>
    <w:p>
      <w:pPr>
        <w:pStyle w:val="ListBullet"/>
      </w:pPr>
      <w:r>
        <w:rPr>
          <w:b w:val="0"/>
          <w:i w:val="0"/>
        </w:rPr>
        <w:t>6. Plan summary</w:t>
      </w:r>
    </w:p>
    <w:p>
      <w:pPr>
        <w:pStyle w:val="ListBullet"/>
      </w:pPr>
      <w:r>
        <w:rPr>
          <w:b w:val="0"/>
          <w:i w:val="0"/>
        </w:rPr>
        <w:t>7. Tolerances</w:t>
      </w:r>
    </w:p>
    <w:p>
      <w:pPr>
        <w:pStyle w:val="ListBullet"/>
      </w:pPr>
      <w:r>
        <w:rPr>
          <w:b w:val="0"/>
          <w:i w:val="0"/>
        </w:rPr>
        <w:t>8. Project controls</w:t>
      </w:r>
    </w:p>
    <w:p>
      <w:pPr>
        <w:pStyle w:val="ListBullet"/>
      </w:pPr>
      <w:r>
        <w:rPr>
          <w:b w:val="0"/>
          <w:i w:val="0"/>
        </w:rPr>
        <w:t>9. Risk management approach</w:t>
      </w:r>
    </w:p>
    <w:p>
      <w:pPr>
        <w:pStyle w:val="ListBullet"/>
      </w:pPr>
      <w:r>
        <w:rPr>
          <w:b w:val="0"/>
          <w:i w:val="0"/>
        </w:rPr>
        <w:t>10. Quality management approach</w:t>
      </w:r>
    </w:p>
    <w:p>
      <w:pPr>
        <w:pStyle w:val="ListBullet"/>
      </w:pPr>
      <w:r>
        <w:rPr>
          <w:b w:val="0"/>
          <w:i w:val="0"/>
        </w:rPr>
        <w:t>11. Communication plan</w:t>
      </w:r>
    </w:p>
    <w:p>
      <w:r>
        <w:br w:type="page"/>
      </w:r>
    </w:p>
    <w:p>
      <w:pPr>
        <w:pStyle w:val="Heading1"/>
      </w:pPr>
      <w:r>
        <w:t>1. Background</w:t>
      </w:r>
    </w:p>
    <w:p>
      <w:r>
        <w:rPr>
          <w:b w:val="0"/>
          <w:i w:val="0"/>
        </w:rPr>
        <w:t>Maison Lumen is a French lighting manufacturer with a head office in Lyon, a sales site in Paris, a plant in Lille and subsidiaries in the United Kingdom, the United States (80 % owned) and India. Its budget and forecast run on about forty linked Excel files, and the group consolidation on a spreadsheet model maintained by one person.</w:t>
      </w:r>
    </w:p>
    <w:p>
      <w:r>
        <w:rPr>
          <w:b w:val="0"/>
          <w:i w:val="0"/>
        </w:rPr>
        <w:t>Last year the budget took ten weeks, the monthly forecast a full week, and the half-year consolidation closed at day 12 after two late intercompany corrections. The auditors asked for a traceable consolidation process. The CFO decided to replace both processes with Oracle EPM Cloud before the FY27 budget and the FY26 year-end close.</w:t>
      </w:r>
    </w:p>
    <w:p>
      <w:pPr>
        <w:pStyle w:val="Heading1"/>
      </w:pPr>
      <w:r>
        <w:t>2. Project definition</w:t>
      </w:r>
    </w:p>
    <w:p>
      <w:pPr>
        <w:pStyle w:val="Heading2"/>
      </w:pPr>
      <w:r>
        <w:t>2.1 Objectives</w:t>
      </w:r>
    </w:p>
    <w:tbl>
      <w:tblPr>
        <w:tblW w:type="dxa" w:w="9752"/>
        <w:jc w:val="left"/>
        <w:tblBorders>
          <w:top w:val="single" w:sz="4" w:color="D5DAE0"/>
          <w:left w:val="single" w:sz="4" w:color="D5DAE0"/>
          <w:bottom w:val="single" w:sz="4" w:color="D5DAE0"/>
          <w:right w:val="single" w:sz="4" w:color="D5DAE0"/>
          <w:insideH w:val="single" w:sz="4" w:color="D5DAE0"/>
          <w:insideV w:val="single" w:sz="4" w:color="D5DAE0"/>
        </w:tblBorders>
        <w:tblLayout w:type="fixed"/>
        <w:tblCellMar>
          <w:top w:w="60" w:type="dxa"/>
          <w:left w:w="100" w:type="dxa"/>
          <w:bottom w:w="60" w:type="dxa"/>
          <w:right w:w="100" w:type="dxa"/>
        </w:tblCellMar>
        <w:tblLook w:firstColumn="1" w:firstRow="1" w:lastColumn="0" w:lastRow="0" w:noHBand="0" w:noVBand="1" w:val="04A0"/>
      </w:tblPr>
      <w:tblGrid>
        <w:gridCol w:w="4291"/>
        <w:gridCol w:w="3120"/>
        <w:gridCol w:w="2340"/>
      </w:tblGrid>
      <w:tr>
        <w:trPr>
          <w:tblHeader w:val="true"/>
        </w:trPr>
        <w:tc>
          <w:tcPr>
            <w:tcW w:type="dxa" w:w="4291"/>
            <w:shd w:val="clear" w:color="auto" w:fill="2F5D62"/>
          </w:tcPr>
          <w:p>
            <w:r>
              <w:rPr>
                <w:b/>
                <w:i w:val="0"/>
                <w:color w:val="FFFFFF"/>
                <w:sz w:val="18"/>
              </w:rPr>
              <w:t>Objective</w:t>
            </w:r>
          </w:p>
        </w:tc>
        <w:tc>
          <w:tcPr>
            <w:tcW w:type="dxa" w:w="3120"/>
            <w:shd w:val="clear" w:color="auto" w:fill="2F5D62"/>
          </w:tcPr>
          <w:p>
            <w:r>
              <w:rPr>
                <w:b/>
                <w:i w:val="0"/>
                <w:color w:val="FFFFFF"/>
                <w:sz w:val="18"/>
              </w:rPr>
              <w:t>Measure</w:t>
            </w:r>
          </w:p>
        </w:tc>
        <w:tc>
          <w:tcPr>
            <w:tcW w:type="dxa" w:w="2340"/>
            <w:shd w:val="clear" w:color="auto" w:fill="2F5D62"/>
          </w:tcPr>
          <w:p>
            <w:r>
              <w:rPr>
                <w:b/>
                <w:i w:val="0"/>
                <w:color w:val="FFFFFF"/>
                <w:sz w:val="18"/>
              </w:rPr>
              <w:t>Target</w:t>
            </w:r>
          </w:p>
        </w:tc>
      </w:tr>
      <w:tr>
        <w:trPr>
          <w:cantSplit w:val="true"/>
        </w:trPr>
        <w:tc>
          <w:tcPr>
            <w:tcW w:type="dxa" w:w="4291"/>
          </w:tcPr>
          <w:p>
            <w:pPr>
              <w:spacing w:after="0"/>
            </w:pPr>
            <w:r>
              <w:rPr>
                <w:b w:val="0"/>
                <w:i w:val="0"/>
                <w:sz w:val="18"/>
              </w:rPr>
              <w:t>Launch the FY27 budget in Oracle EPM Planning</w:t>
            </w:r>
          </w:p>
        </w:tc>
        <w:tc>
          <w:tcPr>
            <w:tcW w:type="dxa" w:w="3120"/>
          </w:tcPr>
          <w:p>
            <w:pPr>
              <w:spacing w:after="0"/>
            </w:pPr>
            <w:r>
              <w:rPr>
                <w:b w:val="0"/>
                <w:i w:val="0"/>
                <w:sz w:val="18"/>
              </w:rPr>
              <w:t>EPBCS in production</w:t>
            </w:r>
          </w:p>
        </w:tc>
        <w:tc>
          <w:tcPr>
            <w:tcW w:type="dxa" w:w="2340"/>
          </w:tcPr>
          <w:p>
            <w:pPr>
              <w:spacing w:after="0"/>
            </w:pPr>
            <w:r>
              <w:rPr>
                <w:b w:val="0"/>
                <w:i w:val="0"/>
                <w:sz w:val="18"/>
              </w:rPr>
              <w:t>2 November 2026</w:t>
            </w:r>
          </w:p>
        </w:tc>
      </w:tr>
      <w:tr>
        <w:trPr>
          <w:cantSplit w:val="true"/>
        </w:trPr>
        <w:tc>
          <w:tcPr>
            <w:tcW w:type="dxa" w:w="4291"/>
            <w:shd w:val="clear" w:color="auto" w:fill="F7F8FA"/>
          </w:tcPr>
          <w:p>
            <w:pPr>
              <w:spacing w:after="0"/>
            </w:pPr>
            <w:r>
              <w:rPr>
                <w:b w:val="0"/>
                <w:i w:val="0"/>
                <w:sz w:val="18"/>
              </w:rPr>
              <w:t>Shorten the budget cycle</w:t>
            </w:r>
          </w:p>
        </w:tc>
        <w:tc>
          <w:tcPr>
            <w:tcW w:type="dxa" w:w="3120"/>
            <w:shd w:val="clear" w:color="auto" w:fill="F7F8FA"/>
          </w:tcPr>
          <w:p>
            <w:pPr>
              <w:spacing w:after="0"/>
            </w:pPr>
            <w:r>
              <w:rPr>
                <w:b w:val="0"/>
                <w:i w:val="0"/>
                <w:sz w:val="18"/>
              </w:rPr>
              <w:t>Weeks from launch to approval</w:t>
            </w:r>
          </w:p>
        </w:tc>
        <w:tc>
          <w:tcPr>
            <w:tcW w:type="dxa" w:w="2340"/>
            <w:shd w:val="clear" w:color="auto" w:fill="F7F8FA"/>
          </w:tcPr>
          <w:p>
            <w:pPr>
              <w:spacing w:after="0"/>
            </w:pPr>
            <w:r>
              <w:rPr>
                <w:b w:val="0"/>
                <w:i w:val="0"/>
                <w:sz w:val="18"/>
              </w:rPr>
              <w:t>6 weeks (10 today)</w:t>
            </w:r>
          </w:p>
        </w:tc>
      </w:tr>
      <w:tr>
        <w:trPr>
          <w:cantSplit w:val="true"/>
        </w:trPr>
        <w:tc>
          <w:tcPr>
            <w:tcW w:type="dxa" w:w="4291"/>
          </w:tcPr>
          <w:p>
            <w:pPr>
              <w:spacing w:after="0"/>
            </w:pPr>
            <w:r>
              <w:rPr>
                <w:b w:val="0"/>
                <w:i w:val="0"/>
                <w:sz w:val="18"/>
              </w:rPr>
              <w:t>Shorten the monthly forecast</w:t>
            </w:r>
          </w:p>
        </w:tc>
        <w:tc>
          <w:tcPr>
            <w:tcW w:type="dxa" w:w="3120"/>
          </w:tcPr>
          <w:p>
            <w:pPr>
              <w:spacing w:after="0"/>
            </w:pPr>
            <w:r>
              <w:rPr>
                <w:b w:val="0"/>
                <w:i w:val="0"/>
                <w:sz w:val="18"/>
              </w:rPr>
              <w:t>Working days to update the forecast</w:t>
            </w:r>
          </w:p>
        </w:tc>
        <w:tc>
          <w:tcPr>
            <w:tcW w:type="dxa" w:w="2340"/>
          </w:tcPr>
          <w:p>
            <w:pPr>
              <w:spacing w:after="0"/>
            </w:pPr>
            <w:r>
              <w:rPr>
                <w:b w:val="0"/>
                <w:i w:val="0"/>
                <w:sz w:val="18"/>
              </w:rPr>
              <w:t>3 days (7 today)</w:t>
            </w:r>
          </w:p>
        </w:tc>
      </w:tr>
      <w:tr>
        <w:trPr>
          <w:cantSplit w:val="true"/>
        </w:trPr>
        <w:tc>
          <w:tcPr>
            <w:tcW w:type="dxa" w:w="4291"/>
            <w:shd w:val="clear" w:color="auto" w:fill="F7F8FA"/>
          </w:tcPr>
          <w:p>
            <w:pPr>
              <w:spacing w:after="0"/>
            </w:pPr>
            <w:r>
              <w:rPr>
                <w:b w:val="0"/>
                <w:i w:val="0"/>
                <w:sz w:val="18"/>
              </w:rPr>
              <w:t>Close the FY26 year-end consolidation in FCCS</w:t>
            </w:r>
          </w:p>
        </w:tc>
        <w:tc>
          <w:tcPr>
            <w:tcW w:type="dxa" w:w="3120"/>
            <w:shd w:val="clear" w:color="auto" w:fill="F7F8FA"/>
          </w:tcPr>
          <w:p>
            <w:pPr>
              <w:spacing w:after="0"/>
            </w:pPr>
            <w:r>
              <w:rPr>
                <w:b w:val="0"/>
                <w:i w:val="0"/>
                <w:sz w:val="18"/>
              </w:rPr>
              <w:t>FCCS in production</w:t>
            </w:r>
          </w:p>
        </w:tc>
        <w:tc>
          <w:tcPr>
            <w:tcW w:type="dxa" w:w="2340"/>
            <w:shd w:val="clear" w:color="auto" w:fill="F7F8FA"/>
          </w:tcPr>
          <w:p>
            <w:pPr>
              <w:spacing w:after="0"/>
            </w:pPr>
            <w:r>
              <w:rPr>
                <w:b w:val="0"/>
                <w:i w:val="0"/>
                <w:sz w:val="18"/>
              </w:rPr>
              <w:t>8 January 2027</w:t>
            </w:r>
          </w:p>
        </w:tc>
      </w:tr>
      <w:tr>
        <w:trPr>
          <w:cantSplit w:val="true"/>
        </w:trPr>
        <w:tc>
          <w:tcPr>
            <w:tcW w:type="dxa" w:w="4291"/>
          </w:tcPr>
          <w:p>
            <w:pPr>
              <w:spacing w:after="0"/>
            </w:pPr>
            <w:r>
              <w:rPr>
                <w:b w:val="0"/>
                <w:i w:val="0"/>
                <w:sz w:val="18"/>
              </w:rPr>
              <w:t>Close the consolidation faster</w:t>
            </w:r>
          </w:p>
        </w:tc>
        <w:tc>
          <w:tcPr>
            <w:tcW w:type="dxa" w:w="3120"/>
          </w:tcPr>
          <w:p>
            <w:pPr>
              <w:spacing w:after="0"/>
            </w:pPr>
            <w:r>
              <w:rPr>
                <w:b w:val="0"/>
                <w:i w:val="0"/>
                <w:sz w:val="18"/>
              </w:rPr>
              <w:t>Working days after month end</w:t>
            </w:r>
          </w:p>
        </w:tc>
        <w:tc>
          <w:tcPr>
            <w:tcW w:type="dxa" w:w="2340"/>
          </w:tcPr>
          <w:p>
            <w:pPr>
              <w:spacing w:after="0"/>
            </w:pPr>
            <w:r>
              <w:rPr>
                <w:b w:val="0"/>
                <w:i w:val="0"/>
                <w:sz w:val="18"/>
              </w:rPr>
              <w:t>Day 8 (day 12 today)</w:t>
            </w:r>
          </w:p>
        </w:tc>
      </w:tr>
      <w:tr>
        <w:trPr>
          <w:cantSplit w:val="true"/>
        </w:trPr>
        <w:tc>
          <w:tcPr>
            <w:tcW w:type="dxa" w:w="4291"/>
            <w:shd w:val="clear" w:color="auto" w:fill="F7F8FA"/>
          </w:tcPr>
          <w:p>
            <w:pPr>
              <w:spacing w:after="0"/>
            </w:pPr>
            <w:r>
              <w:rPr>
                <w:b w:val="0"/>
                <w:i w:val="0"/>
                <w:sz w:val="18"/>
              </w:rPr>
              <w:t>Deliver within budget</w:t>
            </w:r>
          </w:p>
        </w:tc>
        <w:tc>
          <w:tcPr>
            <w:tcW w:type="dxa" w:w="3120"/>
            <w:shd w:val="clear" w:color="auto" w:fill="F7F8FA"/>
          </w:tcPr>
          <w:p>
            <w:pPr>
              <w:spacing w:after="0"/>
            </w:pPr>
            <w:r>
              <w:rPr>
                <w:b w:val="0"/>
                <w:i w:val="0"/>
                <w:sz w:val="18"/>
              </w:rPr>
              <w:t>Cost at completion</w:t>
            </w:r>
          </w:p>
        </w:tc>
        <w:tc>
          <w:tcPr>
            <w:tcW w:type="dxa" w:w="2340"/>
            <w:shd w:val="clear" w:color="auto" w:fill="F7F8FA"/>
          </w:tcPr>
          <w:p>
            <w:pPr>
              <w:spacing w:after="0"/>
            </w:pPr>
            <w:r>
              <w:rPr>
                <w:b w:val="0"/>
                <w:i w:val="0"/>
                <w:sz w:val="18"/>
              </w:rPr>
              <w:t>480 k€ (+5 % tolerance)</w:t>
            </w:r>
          </w:p>
        </w:tc>
      </w:tr>
    </w:tbl>
    <w:p>
      <w:pPr>
        <w:spacing w:after="40"/>
      </w:pPr>
    </w:p>
    <w:p>
      <w:pPr>
        <w:pStyle w:val="Heading2"/>
      </w:pPr>
      <w:r>
        <w:t>2.2 Scope</w:t>
      </w:r>
    </w:p>
    <w:tbl>
      <w:tblPr>
        <w:tblW w:type="dxa" w:w="9752"/>
        <w:jc w:val="left"/>
        <w:tblBorders>
          <w:top w:val="single" w:sz="4" w:color="D5DAE0"/>
          <w:left w:val="single" w:sz="4" w:color="D5DAE0"/>
          <w:bottom w:val="single" w:sz="4" w:color="D5DAE0"/>
          <w:right w:val="single" w:sz="4" w:color="D5DAE0"/>
          <w:insideH w:val="single" w:sz="4" w:color="D5DAE0"/>
          <w:insideV w:val="single" w:sz="4" w:color="D5DAE0"/>
        </w:tblBorders>
        <w:tblLayout w:type="fixed"/>
        <w:tblCellMar>
          <w:top w:w="60" w:type="dxa"/>
          <w:left w:w="100" w:type="dxa"/>
          <w:bottom w:w="60" w:type="dxa"/>
          <w:right w:w="100" w:type="dxa"/>
        </w:tblCellMar>
        <w:tblLook w:firstColumn="1" w:firstRow="1" w:lastColumn="0" w:lastRow="0" w:noHBand="0" w:noVBand="1" w:val="04A0"/>
      </w:tblPr>
      <w:tblGrid>
        <w:gridCol w:w="4876"/>
        <w:gridCol w:w="4876"/>
      </w:tblGrid>
      <w:tr>
        <w:trPr>
          <w:tblHeader w:val="true"/>
        </w:trPr>
        <w:tc>
          <w:tcPr>
            <w:tcW w:type="dxa" w:w="4876"/>
            <w:shd w:val="clear" w:color="auto" w:fill="2F5D62"/>
          </w:tcPr>
          <w:p>
            <w:r>
              <w:rPr>
                <w:b/>
                <w:i w:val="0"/>
                <w:color w:val="FFFFFF"/>
                <w:sz w:val="18"/>
              </w:rPr>
              <w:t>In scope</w:t>
            </w:r>
          </w:p>
        </w:tc>
        <w:tc>
          <w:tcPr>
            <w:tcW w:type="dxa" w:w="4876"/>
            <w:shd w:val="clear" w:color="auto" w:fill="2F5D62"/>
          </w:tcPr>
          <w:p>
            <w:r>
              <w:rPr>
                <w:b/>
                <w:i w:val="0"/>
                <w:color w:val="FFFFFF"/>
                <w:sz w:val="18"/>
              </w:rPr>
              <w:t>Out of scope</w:t>
            </w:r>
          </w:p>
        </w:tc>
      </w:tr>
      <w:tr>
        <w:trPr>
          <w:cantSplit w:val="true"/>
        </w:trPr>
        <w:tc>
          <w:tcPr>
            <w:tcW w:type="dxa" w:w="4876"/>
          </w:tcPr>
          <w:p>
            <w:pPr>
              <w:spacing w:after="0"/>
            </w:pPr>
            <w:r>
              <w:rPr>
                <w:b w:val="0"/>
                <w:i w:val="0"/>
                <w:sz w:val="18"/>
              </w:rPr>
              <w:t>Oracle EPM Planning (EPBCS): forecast and budget of the French sites</w:t>
            </w:r>
          </w:p>
        </w:tc>
        <w:tc>
          <w:tcPr>
            <w:tcW w:type="dxa" w:w="4876"/>
          </w:tcPr>
          <w:p>
            <w:pPr>
              <w:spacing w:after="0"/>
            </w:pPr>
            <w:r>
              <w:rPr>
                <w:b w:val="0"/>
                <w:i w:val="0"/>
                <w:sz w:val="18"/>
              </w:rPr>
              <w:t>Workforce planning by employee</w:t>
            </w:r>
          </w:p>
        </w:tc>
      </w:tr>
      <w:tr>
        <w:trPr>
          <w:cantSplit w:val="true"/>
        </w:trPr>
        <w:tc>
          <w:tcPr>
            <w:tcW w:type="dxa" w:w="4876"/>
            <w:shd w:val="clear" w:color="auto" w:fill="F7F8FA"/>
          </w:tcPr>
          <w:p>
            <w:pPr>
              <w:spacing w:after="0"/>
            </w:pPr>
            <w:r>
              <w:rPr>
                <w:b w:val="0"/>
                <w:i w:val="0"/>
                <w:sz w:val="18"/>
              </w:rPr>
              <w:t>Oracle FCCS: consolidation of the four group companies, IAS 21 translation, eliminations, NCI</w:t>
            </w:r>
          </w:p>
        </w:tc>
        <w:tc>
          <w:tcPr>
            <w:tcW w:type="dxa" w:w="4876"/>
            <w:shd w:val="clear" w:color="auto" w:fill="F7F8FA"/>
          </w:tcPr>
          <w:p>
            <w:pPr>
              <w:spacing w:after="0"/>
            </w:pPr>
            <w:r>
              <w:rPr>
                <w:b w:val="0"/>
                <w:i w:val="0"/>
                <w:sz w:val="18"/>
              </w:rPr>
              <w:t>Capital expenditure and cash-flow planning</w:t>
            </w:r>
          </w:p>
        </w:tc>
      </w:tr>
      <w:tr>
        <w:trPr>
          <w:cantSplit w:val="true"/>
        </w:trPr>
        <w:tc>
          <w:tcPr>
            <w:tcW w:type="dxa" w:w="4876"/>
          </w:tcPr>
          <w:p>
            <w:pPr>
              <w:spacing w:after="0"/>
            </w:pPr>
            <w:r>
              <w:rPr>
                <w:b w:val="0"/>
                <w:i w:val="0"/>
                <w:sz w:val="18"/>
              </w:rPr>
              <w:t>Monthly ERP data flows for actuals and trial balances</w:t>
            </w:r>
          </w:p>
        </w:tc>
        <w:tc>
          <w:tcPr>
            <w:tcW w:type="dxa" w:w="4876"/>
          </w:tcPr>
          <w:p>
            <w:pPr>
              <w:spacing w:after="0"/>
            </w:pPr>
            <w:r>
              <w:rPr>
                <w:b w:val="0"/>
                <w:i w:val="0"/>
                <w:sz w:val="18"/>
              </w:rPr>
              <w:t>Narrative Reporting (management packs)</w:t>
            </w:r>
          </w:p>
        </w:tc>
      </w:tr>
      <w:tr>
        <w:trPr>
          <w:cantSplit w:val="true"/>
        </w:trPr>
        <w:tc>
          <w:tcPr>
            <w:tcW w:type="dxa" w:w="4876"/>
            <w:shd w:val="clear" w:color="auto" w:fill="F7F8FA"/>
          </w:tcPr>
          <w:p>
            <w:pPr>
              <w:spacing w:after="0"/>
            </w:pPr>
            <w:r>
              <w:rPr>
                <w:b w:val="0"/>
                <w:i w:val="0"/>
                <w:sz w:val="18"/>
              </w:rPr>
              <w:t>Reports, security, testing, training and hypercare</w:t>
            </w:r>
          </w:p>
        </w:tc>
        <w:tc>
          <w:tcPr>
            <w:tcW w:type="dxa" w:w="4876"/>
            <w:shd w:val="clear" w:color="auto" w:fill="F7F8FA"/>
          </w:tcPr>
          <w:p>
            <w:pPr>
              <w:spacing w:after="0"/>
            </w:pPr>
            <w:r>
              <w:rPr>
                <w:b w:val="0"/>
                <w:i w:val="0"/>
                <w:sz w:val="18"/>
              </w:rPr>
              <w:t>ERP changes other than the extracts</w:t>
            </w:r>
          </w:p>
        </w:tc>
      </w:tr>
    </w:tbl>
    <w:p>
      <w:pPr>
        <w:spacing w:after="40"/>
      </w:pPr>
    </w:p>
    <w:p>
      <w:pPr>
        <w:pStyle w:val="Heading2"/>
      </w:pPr>
      <w:r>
        <w:t>2.3 Deliverables</w:t>
      </w:r>
    </w:p>
    <w:tbl>
      <w:tblPr>
        <w:tblW w:type="dxa" w:w="9752"/>
        <w:jc w:val="left"/>
        <w:tblBorders>
          <w:top w:val="single" w:sz="4" w:color="D5DAE0"/>
          <w:left w:val="single" w:sz="4" w:color="D5DAE0"/>
          <w:bottom w:val="single" w:sz="4" w:color="D5DAE0"/>
          <w:right w:val="single" w:sz="4" w:color="D5DAE0"/>
          <w:insideH w:val="single" w:sz="4" w:color="D5DAE0"/>
          <w:insideV w:val="single" w:sz="4" w:color="D5DAE0"/>
        </w:tblBorders>
        <w:tblLayout w:type="fixed"/>
        <w:tblCellMar>
          <w:top w:w="60" w:type="dxa"/>
          <w:left w:w="100" w:type="dxa"/>
          <w:bottom w:w="60" w:type="dxa"/>
          <w:right w:w="100" w:type="dxa"/>
        </w:tblCellMar>
        <w:tblLook w:firstColumn="1" w:firstRow="1" w:lastColumn="0" w:lastRow="0" w:noHBand="0" w:noVBand="1" w:val="04A0"/>
      </w:tblPr>
      <w:tblGrid>
        <w:gridCol w:w="4486"/>
        <w:gridCol w:w="2340"/>
        <w:gridCol w:w="2925"/>
      </w:tblGrid>
      <w:tr>
        <w:trPr>
          <w:tblHeader w:val="true"/>
        </w:trPr>
        <w:tc>
          <w:tcPr>
            <w:tcW w:type="dxa" w:w="4486"/>
            <w:shd w:val="clear" w:color="auto" w:fill="2F5D62"/>
          </w:tcPr>
          <w:p>
            <w:r>
              <w:rPr>
                <w:b/>
                <w:i w:val="0"/>
                <w:color w:val="FFFFFF"/>
                <w:sz w:val="18"/>
              </w:rPr>
              <w:t>Deliverable</w:t>
            </w:r>
          </w:p>
        </w:tc>
        <w:tc>
          <w:tcPr>
            <w:tcW w:type="dxa" w:w="2340"/>
            <w:shd w:val="clear" w:color="auto" w:fill="2F5D62"/>
          </w:tcPr>
          <w:p>
            <w:r>
              <w:rPr>
                <w:b/>
                <w:i w:val="0"/>
                <w:color w:val="FFFFFF"/>
                <w:sz w:val="18"/>
              </w:rPr>
              <w:t>Accepted by</w:t>
            </w:r>
          </w:p>
        </w:tc>
        <w:tc>
          <w:tcPr>
            <w:tcW w:type="dxa" w:w="2925"/>
            <w:shd w:val="clear" w:color="auto" w:fill="2F5D62"/>
          </w:tcPr>
          <w:p>
            <w:r>
              <w:rPr>
                <w:b/>
                <w:i w:val="0"/>
                <w:color w:val="FFFFFF"/>
                <w:sz w:val="18"/>
              </w:rPr>
              <w:t>Acceptance</w:t>
            </w:r>
          </w:p>
        </w:tc>
      </w:tr>
      <w:tr>
        <w:trPr>
          <w:cantSplit w:val="true"/>
        </w:trPr>
        <w:tc>
          <w:tcPr>
            <w:tcW w:type="dxa" w:w="4486"/>
          </w:tcPr>
          <w:p>
            <w:pPr>
              <w:spacing w:after="0"/>
            </w:pPr>
            <w:r>
              <w:rPr>
                <w:b w:val="0"/>
                <w:i w:val="0"/>
                <w:sz w:val="18"/>
              </w:rPr>
              <w:t>Solution design documents (EPBCS, FCCS)</w:t>
            </w:r>
          </w:p>
        </w:tc>
        <w:tc>
          <w:tcPr>
            <w:tcW w:type="dxa" w:w="2340"/>
          </w:tcPr>
          <w:p>
            <w:pPr>
              <w:spacing w:after="0"/>
            </w:pPr>
            <w:r>
              <w:rPr>
                <w:b w:val="0"/>
                <w:i w:val="0"/>
                <w:sz w:val="18"/>
              </w:rPr>
              <w:t>Senior users</w:t>
            </w:r>
          </w:p>
        </w:tc>
        <w:tc>
          <w:tcPr>
            <w:tcW w:type="dxa" w:w="2925"/>
          </w:tcPr>
          <w:p>
            <w:pPr>
              <w:spacing w:after="0"/>
            </w:pPr>
            <w:r>
              <w:rPr>
                <w:b w:val="0"/>
                <w:i w:val="0"/>
                <w:sz w:val="18"/>
              </w:rPr>
              <w:t>Design sign-off (M2)</w:t>
            </w:r>
          </w:p>
        </w:tc>
      </w:tr>
      <w:tr>
        <w:trPr>
          <w:cantSplit w:val="true"/>
        </w:trPr>
        <w:tc>
          <w:tcPr>
            <w:tcW w:type="dxa" w:w="4486"/>
            <w:shd w:val="clear" w:color="auto" w:fill="F7F8FA"/>
          </w:tcPr>
          <w:p>
            <w:pPr>
              <w:spacing w:after="0"/>
            </w:pPr>
            <w:r>
              <w:rPr>
                <w:b w:val="0"/>
                <w:i w:val="0"/>
                <w:sz w:val="18"/>
              </w:rPr>
              <w:t>Configured EPBCS and FCCS applications</w:t>
            </w:r>
          </w:p>
        </w:tc>
        <w:tc>
          <w:tcPr>
            <w:tcW w:type="dxa" w:w="2340"/>
            <w:shd w:val="clear" w:color="auto" w:fill="F7F8FA"/>
          </w:tcPr>
          <w:p>
            <w:pPr>
              <w:spacing w:after="0"/>
            </w:pPr>
            <w:r>
              <w:rPr>
                <w:b w:val="0"/>
                <w:i w:val="0"/>
                <w:sz w:val="18"/>
              </w:rPr>
              <w:t>Senior users</w:t>
            </w:r>
          </w:p>
        </w:tc>
        <w:tc>
          <w:tcPr>
            <w:tcW w:type="dxa" w:w="2925"/>
            <w:shd w:val="clear" w:color="auto" w:fill="F7F8FA"/>
          </w:tcPr>
          <w:p>
            <w:pPr>
              <w:spacing w:after="0"/>
            </w:pPr>
            <w:r>
              <w:rPr>
                <w:b w:val="0"/>
                <w:i w:val="0"/>
                <w:sz w:val="18"/>
              </w:rPr>
              <w:t>UAT exit criteria met</w:t>
            </w:r>
          </w:p>
        </w:tc>
      </w:tr>
      <w:tr>
        <w:trPr>
          <w:cantSplit w:val="true"/>
        </w:trPr>
        <w:tc>
          <w:tcPr>
            <w:tcW w:type="dxa" w:w="4486"/>
          </w:tcPr>
          <w:p>
            <w:pPr>
              <w:spacing w:after="0"/>
            </w:pPr>
            <w:r>
              <w:rPr>
                <w:b w:val="0"/>
                <w:i w:val="0"/>
                <w:sz w:val="18"/>
              </w:rPr>
              <w:t>ERP data flows with mapping and reconciliation</w:t>
            </w:r>
          </w:p>
        </w:tc>
        <w:tc>
          <w:tcPr>
            <w:tcW w:type="dxa" w:w="2340"/>
          </w:tcPr>
          <w:p>
            <w:pPr>
              <w:spacing w:after="0"/>
            </w:pPr>
            <w:r>
              <w:rPr>
                <w:b w:val="0"/>
                <w:i w:val="0"/>
                <w:sz w:val="18"/>
              </w:rPr>
              <w:t>IT and ERP lead</w:t>
            </w:r>
          </w:p>
        </w:tc>
        <w:tc>
          <w:tcPr>
            <w:tcW w:type="dxa" w:w="2925"/>
          </w:tcPr>
          <w:p>
            <w:pPr>
              <w:spacing w:after="0"/>
            </w:pPr>
            <w:r>
              <w:rPr>
                <w:b w:val="0"/>
                <w:i w:val="0"/>
                <w:sz w:val="18"/>
              </w:rPr>
              <w:t>Monthly load reconciled</w:t>
            </w:r>
          </w:p>
        </w:tc>
      </w:tr>
      <w:tr>
        <w:trPr>
          <w:cantSplit w:val="true"/>
        </w:trPr>
        <w:tc>
          <w:tcPr>
            <w:tcW w:type="dxa" w:w="4486"/>
            <w:shd w:val="clear" w:color="auto" w:fill="F7F8FA"/>
          </w:tcPr>
          <w:p>
            <w:pPr>
              <w:spacing w:after="0"/>
            </w:pPr>
            <w:r>
              <w:rPr>
                <w:b w:val="0"/>
                <w:i w:val="0"/>
                <w:sz w:val="18"/>
              </w:rPr>
              <w:t>Reports and security by entity</w:t>
            </w:r>
          </w:p>
        </w:tc>
        <w:tc>
          <w:tcPr>
            <w:tcW w:type="dxa" w:w="2340"/>
            <w:shd w:val="clear" w:color="auto" w:fill="F7F8FA"/>
          </w:tcPr>
          <w:p>
            <w:pPr>
              <w:spacing w:after="0"/>
            </w:pPr>
            <w:r>
              <w:rPr>
                <w:b w:val="0"/>
                <w:i w:val="0"/>
                <w:sz w:val="18"/>
              </w:rPr>
              <w:t>Senior users</w:t>
            </w:r>
          </w:p>
        </w:tc>
        <w:tc>
          <w:tcPr>
            <w:tcW w:type="dxa" w:w="2925"/>
            <w:shd w:val="clear" w:color="auto" w:fill="F7F8FA"/>
          </w:tcPr>
          <w:p>
            <w:pPr>
              <w:spacing w:after="0"/>
            </w:pPr>
            <w:r>
              <w:rPr>
                <w:b w:val="0"/>
                <w:i w:val="0"/>
                <w:sz w:val="18"/>
              </w:rPr>
              <w:t>UAT cases passed</w:t>
            </w:r>
          </w:p>
        </w:tc>
      </w:tr>
      <w:tr>
        <w:trPr>
          <w:cantSplit w:val="true"/>
        </w:trPr>
        <w:tc>
          <w:tcPr>
            <w:tcW w:type="dxa" w:w="4486"/>
          </w:tcPr>
          <w:p>
            <w:pPr>
              <w:spacing w:after="0"/>
            </w:pPr>
            <w:r>
              <w:rPr>
                <w:b w:val="0"/>
                <w:i w:val="0"/>
                <w:sz w:val="18"/>
              </w:rPr>
              <w:t>User guides and training</w:t>
            </w:r>
          </w:p>
        </w:tc>
        <w:tc>
          <w:tcPr>
            <w:tcW w:type="dxa" w:w="2340"/>
          </w:tcPr>
          <w:p>
            <w:pPr>
              <w:spacing w:after="0"/>
            </w:pPr>
            <w:r>
              <w:rPr>
                <w:b w:val="0"/>
                <w:i w:val="0"/>
                <w:sz w:val="18"/>
              </w:rPr>
              <w:t>Senior users</w:t>
            </w:r>
          </w:p>
        </w:tc>
        <w:tc>
          <w:tcPr>
            <w:tcW w:type="dxa" w:w="2925"/>
          </w:tcPr>
          <w:p>
            <w:pPr>
              <w:spacing w:after="0"/>
            </w:pPr>
            <w:r>
              <w:rPr>
                <w:b w:val="0"/>
                <w:i w:val="0"/>
                <w:sz w:val="18"/>
              </w:rPr>
              <w:t>90 % of users trained</w:t>
            </w:r>
          </w:p>
        </w:tc>
      </w:tr>
      <w:tr>
        <w:trPr>
          <w:cantSplit w:val="true"/>
        </w:trPr>
        <w:tc>
          <w:tcPr>
            <w:tcW w:type="dxa" w:w="4486"/>
            <w:shd w:val="clear" w:color="auto" w:fill="F7F8FA"/>
          </w:tcPr>
          <w:p>
            <w:pPr>
              <w:spacing w:after="0"/>
            </w:pPr>
            <w:r>
              <w:rPr>
                <w:b w:val="0"/>
                <w:i w:val="0"/>
                <w:sz w:val="18"/>
              </w:rPr>
              <w:t>Handover to support</w:t>
            </w:r>
          </w:p>
        </w:tc>
        <w:tc>
          <w:tcPr>
            <w:tcW w:type="dxa" w:w="2340"/>
            <w:shd w:val="clear" w:color="auto" w:fill="F7F8FA"/>
          </w:tcPr>
          <w:p>
            <w:pPr>
              <w:spacing w:after="0"/>
            </w:pPr>
            <w:r>
              <w:rPr>
                <w:b w:val="0"/>
                <w:i w:val="0"/>
                <w:sz w:val="18"/>
              </w:rPr>
              <w:t>IT and ERP lead</w:t>
            </w:r>
          </w:p>
        </w:tc>
        <w:tc>
          <w:tcPr>
            <w:tcW w:type="dxa" w:w="2925"/>
            <w:shd w:val="clear" w:color="auto" w:fill="F7F8FA"/>
          </w:tcPr>
          <w:p>
            <w:pPr>
              <w:spacing w:after="0"/>
            </w:pPr>
            <w:r>
              <w:rPr>
                <w:b w:val="0"/>
                <w:i w:val="0"/>
                <w:sz w:val="18"/>
              </w:rPr>
              <w:t>Support procedure tested</w:t>
            </w:r>
          </w:p>
        </w:tc>
      </w:tr>
    </w:tbl>
    <w:p>
      <w:pPr>
        <w:spacing w:after="40"/>
      </w:pPr>
    </w:p>
    <w:p>
      <w:pPr>
        <w:pStyle w:val="Heading2"/>
      </w:pPr>
      <w:r>
        <w:t>2.4 Constraints, assumptions and dependencies</w:t>
      </w:r>
    </w:p>
    <w:p>
      <w:pPr>
        <w:pStyle w:val="ListBullet"/>
      </w:pPr>
      <w:r>
        <w:rPr>
          <w:b/>
          <w:i w:val="0"/>
        </w:rPr>
        <w:t>Constraint.</w:t>
      </w:r>
      <w:r>
        <w:rPr>
          <w:b w:val="0"/>
          <w:i w:val="0"/>
        </w:rPr>
        <w:t xml:space="preserve"> EPBCS must be live before the FY27 budget launch; FCCS must be proven on a real close before the year end.</w:t>
      </w:r>
    </w:p>
    <w:p>
      <w:pPr>
        <w:pStyle w:val="ListBullet"/>
      </w:pPr>
      <w:r>
        <w:rPr>
          <w:b/>
          <w:i w:val="0"/>
        </w:rPr>
        <w:t>Constraint.</w:t>
      </w:r>
      <w:r>
        <w:rPr>
          <w:b w:val="0"/>
          <w:i w:val="0"/>
        </w:rPr>
        <w:t xml:space="preserve"> Key users are busy in October and November with the budget season.</w:t>
      </w:r>
    </w:p>
    <w:p>
      <w:pPr>
        <w:pStyle w:val="ListBullet"/>
      </w:pPr>
      <w:r>
        <w:rPr>
          <w:b/>
          <w:i w:val="0"/>
        </w:rPr>
        <w:t>Assumption AS1.</w:t>
      </w:r>
      <w:r>
        <w:rPr>
          <w:b w:val="0"/>
          <w:i w:val="0"/>
        </w:rPr>
        <w:t xml:space="preserve"> Key users give two half-days a week to testing.</w:t>
      </w:r>
    </w:p>
    <w:p>
      <w:pPr>
        <w:pStyle w:val="ListBullet"/>
      </w:pPr>
      <w:r>
        <w:rPr>
          <w:b/>
          <w:i w:val="0"/>
        </w:rPr>
        <w:t>Assumption AS2.</w:t>
      </w:r>
      <w:r>
        <w:rPr>
          <w:b w:val="0"/>
          <w:i w:val="0"/>
        </w:rPr>
        <w:t xml:space="preserve"> The group chart of accounts stays frozen until the FCCS go-live.</w:t>
      </w:r>
    </w:p>
    <w:p>
      <w:pPr>
        <w:pStyle w:val="ListBullet"/>
      </w:pPr>
      <w:r>
        <w:rPr>
          <w:b/>
          <w:i w:val="0"/>
        </w:rPr>
        <w:t>Assumption AS3.</w:t>
      </w:r>
      <w:r>
        <w:rPr>
          <w:b w:val="0"/>
          <w:i w:val="0"/>
        </w:rPr>
        <w:t xml:space="preserve"> Existing Oracle EPM licences cover 60 users at no extra cost.</w:t>
      </w:r>
    </w:p>
    <w:p>
      <w:pPr>
        <w:pStyle w:val="ListBullet"/>
      </w:pPr>
      <w:r>
        <w:rPr>
          <w:b/>
          <w:i w:val="0"/>
        </w:rPr>
        <w:t>Assumption AS4.</w:t>
      </w:r>
      <w:r>
        <w:rPr>
          <w:b w:val="0"/>
          <w:i w:val="0"/>
        </w:rPr>
        <w:t xml:space="preserve"> The 2024–2025 history can be extracted from the ERP without rework.</w:t>
      </w:r>
    </w:p>
    <w:p>
      <w:pPr>
        <w:pStyle w:val="ListBullet"/>
      </w:pPr>
      <w:r>
        <w:rPr>
          <w:b/>
          <w:i w:val="0"/>
        </w:rPr>
        <w:t>Dependencies.</w:t>
      </w:r>
      <w:r>
        <w:rPr>
          <w:b w:val="0"/>
          <w:i w:val="0"/>
        </w:rPr>
        <w:t xml:space="preserve"> ERP team for the data flows; Oracle's monthly updates; treasury for closing exchange rates.</w:t>
      </w:r>
    </w:p>
    <w:p>
      <w:pPr>
        <w:pStyle w:val="Heading1"/>
      </w:pPr>
      <w:r>
        <w:t>3. Business case summary</w:t>
      </w:r>
    </w:p>
    <w:tbl>
      <w:tblPr>
        <w:tblW w:type="dxa" w:w="9752"/>
        <w:jc w:val="left"/>
        <w:tblBorders>
          <w:top w:val="single" w:sz="4" w:color="D5DAE0"/>
          <w:left w:val="single" w:sz="4" w:color="D5DAE0"/>
          <w:bottom w:val="single" w:sz="4" w:color="D5DAE0"/>
          <w:right w:val="single" w:sz="4" w:color="D5DAE0"/>
          <w:insideH w:val="single" w:sz="4" w:color="D5DAE0"/>
          <w:insideV w:val="single" w:sz="4" w:color="D5DAE0"/>
        </w:tblBorders>
        <w:tblLayout w:type="fixed"/>
        <w:tblCellMar>
          <w:top w:w="60" w:type="dxa"/>
          <w:left w:w="100" w:type="dxa"/>
          <w:bottom w:w="60" w:type="dxa"/>
          <w:right w:w="100" w:type="dxa"/>
        </w:tblCellMar>
        <w:tblLook w:firstColumn="1" w:firstRow="1" w:lastColumn="0" w:lastRow="0" w:noHBand="0" w:noVBand="1" w:val="04A0"/>
      </w:tblPr>
      <w:tblGrid>
        <w:gridCol w:w="1950"/>
        <w:gridCol w:w="4291"/>
        <w:gridCol w:w="3510"/>
      </w:tblGrid>
      <w:tr>
        <w:trPr>
          <w:tblHeader w:val="true"/>
        </w:trPr>
        <w:tc>
          <w:tcPr>
            <w:tcW w:type="dxa" w:w="1950"/>
            <w:shd w:val="clear" w:color="auto" w:fill="2F5D62"/>
          </w:tcPr>
          <w:p>
            <w:r>
              <w:rPr>
                <w:b/>
                <w:i w:val="0"/>
                <w:color w:val="FFFFFF"/>
                <w:sz w:val="18"/>
              </w:rPr>
              <w:t>Option</w:t>
            </w:r>
          </w:p>
        </w:tc>
        <w:tc>
          <w:tcPr>
            <w:tcW w:type="dxa" w:w="4291"/>
            <w:shd w:val="clear" w:color="auto" w:fill="2F5D62"/>
          </w:tcPr>
          <w:p>
            <w:r>
              <w:rPr>
                <w:b/>
                <w:i w:val="0"/>
                <w:color w:val="FFFFFF"/>
                <w:sz w:val="18"/>
              </w:rPr>
              <w:t>Description</w:t>
            </w:r>
          </w:p>
        </w:tc>
        <w:tc>
          <w:tcPr>
            <w:tcW w:type="dxa" w:w="3510"/>
            <w:shd w:val="clear" w:color="auto" w:fill="2F5D62"/>
          </w:tcPr>
          <w:p>
            <w:r>
              <w:rPr>
                <w:b/>
                <w:i w:val="0"/>
                <w:color w:val="FFFFFF"/>
                <w:sz w:val="18"/>
              </w:rPr>
              <w:t>Assessment</w:t>
            </w:r>
          </w:p>
        </w:tc>
      </w:tr>
      <w:tr>
        <w:trPr>
          <w:cantSplit w:val="true"/>
        </w:trPr>
        <w:tc>
          <w:tcPr>
            <w:tcW w:type="dxa" w:w="1950"/>
          </w:tcPr>
          <w:p>
            <w:pPr>
              <w:spacing w:after="0"/>
            </w:pPr>
            <w:r>
              <w:rPr>
                <w:b w:val="0"/>
                <w:i w:val="0"/>
                <w:sz w:val="18"/>
              </w:rPr>
              <w:t>1. Do nothing</w:t>
            </w:r>
          </w:p>
        </w:tc>
        <w:tc>
          <w:tcPr>
            <w:tcW w:type="dxa" w:w="4291"/>
          </w:tcPr>
          <w:p>
            <w:pPr>
              <w:spacing w:after="0"/>
            </w:pPr>
            <w:r>
              <w:rPr>
                <w:b w:val="0"/>
                <w:i w:val="0"/>
                <w:sz w:val="18"/>
              </w:rPr>
              <w:t>Keep the Excel models</w:t>
            </w:r>
          </w:p>
        </w:tc>
        <w:tc>
          <w:tcPr>
            <w:tcW w:type="dxa" w:w="3510"/>
          </w:tcPr>
          <w:p>
            <w:pPr>
              <w:spacing w:after="0"/>
            </w:pPr>
            <w:r>
              <w:rPr>
                <w:b w:val="0"/>
                <w:i w:val="0"/>
                <w:sz w:val="18"/>
              </w:rPr>
              <w:t>Rejected: cycle times and audit findings remain</w:t>
            </w:r>
          </w:p>
        </w:tc>
      </w:tr>
      <w:tr>
        <w:trPr>
          <w:cantSplit w:val="true"/>
        </w:trPr>
        <w:tc>
          <w:tcPr>
            <w:tcW w:type="dxa" w:w="1950"/>
            <w:shd w:val="clear" w:color="auto" w:fill="F7F8FA"/>
          </w:tcPr>
          <w:p>
            <w:pPr>
              <w:spacing w:after="0"/>
            </w:pPr>
            <w:r>
              <w:rPr>
                <w:b w:val="0"/>
                <w:i w:val="0"/>
                <w:sz w:val="18"/>
              </w:rPr>
              <w:t>2. Improve Excel</w:t>
            </w:r>
          </w:p>
        </w:tc>
        <w:tc>
          <w:tcPr>
            <w:tcW w:type="dxa" w:w="4291"/>
            <w:shd w:val="clear" w:color="auto" w:fill="F7F8FA"/>
          </w:tcPr>
          <w:p>
            <w:pPr>
              <w:spacing w:after="0"/>
            </w:pPr>
            <w:r>
              <w:rPr>
                <w:b w:val="0"/>
                <w:i w:val="0"/>
                <w:sz w:val="18"/>
              </w:rPr>
              <w:t>Rebuild the models with controls and macros</w:t>
            </w:r>
          </w:p>
        </w:tc>
        <w:tc>
          <w:tcPr>
            <w:tcW w:type="dxa" w:w="3510"/>
            <w:shd w:val="clear" w:color="auto" w:fill="F7F8FA"/>
          </w:tcPr>
          <w:p>
            <w:pPr>
              <w:spacing w:after="0"/>
            </w:pPr>
            <w:r>
              <w:rPr>
                <w:b w:val="0"/>
                <w:i w:val="0"/>
                <w:sz w:val="18"/>
              </w:rPr>
              <w:t>Rejected: still manual, depends on key people</w:t>
            </w:r>
          </w:p>
        </w:tc>
      </w:tr>
      <w:tr>
        <w:trPr>
          <w:cantSplit w:val="true"/>
        </w:trPr>
        <w:tc>
          <w:tcPr>
            <w:tcW w:type="dxa" w:w="1950"/>
          </w:tcPr>
          <w:p>
            <w:pPr>
              <w:spacing w:after="0"/>
            </w:pPr>
            <w:r>
              <w:rPr>
                <w:b w:val="0"/>
                <w:i w:val="0"/>
                <w:sz w:val="18"/>
              </w:rPr>
              <w:t>3. Oracle EPM Cloud</w:t>
            </w:r>
          </w:p>
        </w:tc>
        <w:tc>
          <w:tcPr>
            <w:tcW w:type="dxa" w:w="4291"/>
          </w:tcPr>
          <w:p>
            <w:pPr>
              <w:spacing w:after="0"/>
            </w:pPr>
            <w:r>
              <w:rPr>
                <w:b w:val="0"/>
                <w:i w:val="0"/>
                <w:sz w:val="18"/>
              </w:rPr>
              <w:t>EPBCS for planning, FCCS for consolidation</w:t>
            </w:r>
          </w:p>
        </w:tc>
        <w:tc>
          <w:tcPr>
            <w:tcW w:type="dxa" w:w="3510"/>
          </w:tcPr>
          <w:p>
            <w:pPr>
              <w:spacing w:after="0"/>
            </w:pPr>
            <w:r>
              <w:rPr>
                <w:b/>
                <w:i w:val="0"/>
                <w:sz w:val="18"/>
              </w:rPr>
              <w:t>Recommended</w:t>
            </w:r>
            <w:r>
              <w:rPr>
                <w:b w:val="0"/>
                <w:i w:val="0"/>
                <w:sz w:val="18"/>
              </w:rPr>
              <w:t>: standard processes, audit trail, faster cycles</w:t>
            </w:r>
          </w:p>
        </w:tc>
      </w:tr>
    </w:tbl>
    <w:p>
      <w:pPr>
        <w:spacing w:after="40"/>
      </w:pPr>
    </w:p>
    <w:tbl>
      <w:tblPr>
        <w:tblW w:type="dxa" w:w="9752"/>
        <w:jc w:val="left"/>
        <w:tblBorders>
          <w:top w:val="single" w:sz="4" w:color="D5DAE0"/>
          <w:left w:val="single" w:sz="4" w:color="D5DAE0"/>
          <w:bottom w:val="single" w:sz="4" w:color="D5DAE0"/>
          <w:right w:val="single" w:sz="4" w:color="D5DAE0"/>
          <w:insideH w:val="single" w:sz="4" w:color="D5DAE0"/>
          <w:insideV w:val="single" w:sz="4" w:color="D5DAE0"/>
        </w:tblBorders>
        <w:tblLayout w:type="fixed"/>
        <w:tblCellMar>
          <w:top w:w="60" w:type="dxa"/>
          <w:left w:w="100" w:type="dxa"/>
          <w:bottom w:w="60" w:type="dxa"/>
          <w:right w:w="100" w:type="dxa"/>
        </w:tblCellMar>
        <w:tblLook w:firstColumn="1" w:firstRow="1" w:lastColumn="0" w:lastRow="0" w:noHBand="0" w:noVBand="1" w:val="04A0"/>
      </w:tblPr>
      <w:tblGrid>
        <w:gridCol w:w="3900"/>
        <w:gridCol w:w="5851"/>
      </w:tblGrid>
      <w:tr>
        <w:trPr>
          <w:tblHeader w:val="true"/>
        </w:trPr>
        <w:tc>
          <w:tcPr>
            <w:tcW w:type="dxa" w:w="3900"/>
            <w:shd w:val="clear" w:color="auto" w:fill="2F5D62"/>
          </w:tcPr>
          <w:p>
            <w:r>
              <w:rPr>
                <w:b/>
                <w:i w:val="0"/>
                <w:color w:val="FFFFFF"/>
                <w:sz w:val="18"/>
              </w:rPr>
              <w:t>Item</w:t>
            </w:r>
          </w:p>
        </w:tc>
        <w:tc>
          <w:tcPr>
            <w:tcW w:type="dxa" w:w="5851"/>
            <w:shd w:val="clear" w:color="auto" w:fill="2F5D62"/>
          </w:tcPr>
          <w:p>
            <w:r>
              <w:rPr>
                <w:b/>
                <w:i w:val="0"/>
                <w:color w:val="FFFFFF"/>
                <w:sz w:val="18"/>
              </w:rPr>
              <w:t>Value</w:t>
            </w:r>
          </w:p>
        </w:tc>
      </w:tr>
      <w:tr>
        <w:trPr>
          <w:cantSplit w:val="true"/>
        </w:trPr>
        <w:tc>
          <w:tcPr>
            <w:tcW w:type="dxa" w:w="3900"/>
          </w:tcPr>
          <w:p>
            <w:pPr>
              <w:spacing w:after="0"/>
            </w:pPr>
            <w:r>
              <w:rPr>
                <w:b w:val="0"/>
                <w:i w:val="0"/>
                <w:sz w:val="18"/>
              </w:rPr>
              <w:t>Project budget</w:t>
            </w:r>
          </w:p>
        </w:tc>
        <w:tc>
          <w:tcPr>
            <w:tcW w:type="dxa" w:w="5851"/>
          </w:tcPr>
          <w:p>
            <w:pPr>
              <w:spacing w:after="0"/>
            </w:pPr>
            <w:r>
              <w:rPr>
                <w:b w:val="0"/>
                <w:i w:val="0"/>
                <w:sz w:val="18"/>
              </w:rPr>
              <w:t>480 k€ (integrator and internal time), excluding licences already in the IT run budget</w:t>
            </w:r>
          </w:p>
        </w:tc>
      </w:tr>
      <w:tr>
        <w:trPr>
          <w:cantSplit w:val="true"/>
        </w:trPr>
        <w:tc>
          <w:tcPr>
            <w:tcW w:type="dxa" w:w="3900"/>
            <w:shd w:val="clear" w:color="auto" w:fill="F7F8FA"/>
          </w:tcPr>
          <w:p>
            <w:pPr>
              <w:spacing w:after="0"/>
            </w:pPr>
            <w:r>
              <w:rPr>
                <w:b w:val="0"/>
                <w:i w:val="0"/>
                <w:sz w:val="18"/>
              </w:rPr>
              <w:t>Contingency</w:t>
            </w:r>
          </w:p>
        </w:tc>
        <w:tc>
          <w:tcPr>
            <w:tcW w:type="dxa" w:w="5851"/>
            <w:shd w:val="clear" w:color="auto" w:fill="F7F8FA"/>
          </w:tcPr>
          <w:p>
            <w:pPr>
              <w:spacing w:after="0"/>
            </w:pPr>
            <w:r>
              <w:rPr>
                <w:b w:val="0"/>
                <w:i w:val="0"/>
                <w:sz w:val="18"/>
              </w:rPr>
              <w:t>48 k€ (10 %), held by the sponsor and released through change control</w:t>
            </w:r>
          </w:p>
        </w:tc>
      </w:tr>
      <w:tr>
        <w:trPr>
          <w:cantSplit w:val="true"/>
        </w:trPr>
        <w:tc>
          <w:tcPr>
            <w:tcW w:type="dxa" w:w="3900"/>
          </w:tcPr>
          <w:p>
            <w:pPr>
              <w:spacing w:after="0"/>
            </w:pPr>
            <w:r>
              <w:rPr>
                <w:b w:val="0"/>
                <w:i w:val="0"/>
                <w:sz w:val="18"/>
              </w:rPr>
              <w:t>Timescale</w:t>
            </w:r>
          </w:p>
        </w:tc>
        <w:tc>
          <w:tcPr>
            <w:tcW w:type="dxa" w:w="5851"/>
          </w:tcPr>
          <w:p>
            <w:pPr>
              <w:spacing w:after="0"/>
            </w:pPr>
            <w:r>
              <w:rPr>
                <w:b w:val="0"/>
                <w:i w:val="0"/>
                <w:sz w:val="18"/>
              </w:rPr>
              <w:t>2 March 2026 to 22 January 2027</w:t>
            </w:r>
          </w:p>
        </w:tc>
      </w:tr>
      <w:tr>
        <w:trPr>
          <w:cantSplit w:val="true"/>
        </w:trPr>
        <w:tc>
          <w:tcPr>
            <w:tcW w:type="dxa" w:w="3900"/>
            <w:shd w:val="clear" w:color="auto" w:fill="F7F8FA"/>
          </w:tcPr>
          <w:p>
            <w:pPr>
              <w:spacing w:after="0"/>
            </w:pPr>
            <w:r>
              <w:rPr>
                <w:b w:val="0"/>
                <w:i w:val="0"/>
                <w:sz w:val="18"/>
              </w:rPr>
              <w:t>Expected benefits</w:t>
            </w:r>
          </w:p>
        </w:tc>
        <w:tc>
          <w:tcPr>
            <w:tcW w:type="dxa" w:w="5851"/>
            <w:shd w:val="clear" w:color="auto" w:fill="F7F8FA"/>
          </w:tcPr>
          <w:p>
            <w:pPr>
              <w:spacing w:after="0"/>
            </w:pPr>
            <w:r>
              <w:rPr>
                <w:b w:val="0"/>
                <w:i w:val="0"/>
                <w:sz w:val="18"/>
              </w:rPr>
              <w:t>Budget in 6 weeks instead of 10; forecast in 3 days instead of 7; consolidation at day 8 instead of day 12; about 1.5 FTE of finance time freed for analysis</w:t>
            </w:r>
          </w:p>
        </w:tc>
      </w:tr>
      <w:tr>
        <w:trPr>
          <w:cantSplit w:val="true"/>
        </w:trPr>
        <w:tc>
          <w:tcPr>
            <w:tcW w:type="dxa" w:w="3900"/>
          </w:tcPr>
          <w:p>
            <w:pPr>
              <w:spacing w:after="0"/>
            </w:pPr>
            <w:r>
              <w:rPr>
                <w:b w:val="0"/>
                <w:i w:val="0"/>
                <w:sz w:val="18"/>
              </w:rPr>
              <w:t>Main risks</w:t>
            </w:r>
          </w:p>
        </w:tc>
        <w:tc>
          <w:tcPr>
            <w:tcW w:type="dxa" w:w="5851"/>
          </w:tcPr>
          <w:p>
            <w:pPr>
              <w:spacing w:after="0"/>
            </w:pPr>
            <w:r>
              <w:rPr>
                <w:b w:val="0"/>
                <w:i w:val="0"/>
                <w:sz w:val="18"/>
              </w:rPr>
              <w:t>Quality of ERP history (R1), key-user availability (R2), late ERP flows (R3)</w:t>
            </w:r>
          </w:p>
        </w:tc>
      </w:tr>
    </w:tbl>
    <w:p>
      <w:pPr>
        <w:spacing w:after="40"/>
      </w:pPr>
    </w:p>
    <w:tbl>
      <w:tblPr>
        <w:tblW w:type="dxa" w:w="9752"/>
        <w:tblBorders>
          <w:top w:val="nil"/>
          <w:left w:val="nil"/>
          <w:bottom w:val="nil"/>
          <w:right w:val="nil"/>
          <w:insideH w:val="nil"/>
          <w:insideV w:val="nil"/>
        </w:tblBorders>
        <w:tblLayout w:type="fixed"/>
        <w:tblCellMar>
          <w:top w:w="110" w:type="dxa"/>
          <w:left w:w="160" w:type="dxa"/>
          <w:bottom w:w="110" w:type="dxa"/>
          <w:right w:w="160" w:type="dxa"/>
        </w:tblCellMar>
        <w:tblLook w:firstColumn="1" w:firstRow="1" w:lastColumn="0" w:lastRow="0" w:noHBand="0" w:noVBand="1" w:val="04A0"/>
      </w:tblPr>
      <w:tblGrid>
        <w:gridCol w:w="9752"/>
      </w:tblGrid>
      <w:tr>
        <w:tc>
          <w:tcPr>
            <w:tcW w:type="dxa" w:w="9751"/>
            <w:shd w:val="clear" w:color="auto" w:fill="FBF3E4"/>
          </w:tcPr>
          <w:p>
            <w:pPr>
              <w:spacing w:after="40"/>
            </w:pPr>
            <w:r>
              <w:rPr>
                <w:b/>
                <w:i w:val="0"/>
                <w:color w:val="8A5410"/>
                <w:sz w:val="21"/>
              </w:rPr>
              <w:t>Benefits review</w:t>
            </w:r>
          </w:p>
          <w:p>
            <w:r>
              <w:rPr>
                <w:b w:val="0"/>
                <w:i w:val="0"/>
              </w:rPr>
              <w:t>The sponsor reviews the benefits after the first FY27 budget cycle and the first FCCS year-end close, using the measures in section 2.1.</w:t>
            </w:r>
          </w:p>
        </w:tc>
      </w:tr>
    </w:tbl>
    <w:p>
      <w:pPr>
        <w:spacing w:after="40"/>
      </w:pPr>
    </w:p>
    <w:p>
      <w:pPr>
        <w:pStyle w:val="Heading1"/>
      </w:pPr>
      <w:r>
        <w:t>4. Project approach</w:t>
      </w:r>
    </w:p>
    <w:p>
      <w:r>
        <w:rPr>
          <w:b w:val="0"/>
          <w:i w:val="0"/>
        </w:rPr>
        <w:t>The project follows a hybrid approach, common for EPM implementations: sequential stages each closed by a steering committee decision, with the build delivered as three conference room pilots (CRPs) reviewed with key users. Configuration starts from Oracle's standard features and adds only what a documented requirement justifies.</w:t>
      </w:r>
    </w:p>
    <w:p>
      <w:pPr>
        <w:pStyle w:val="ListBullet"/>
      </w:pPr>
      <w:r>
        <w:rPr>
          <w:b/>
          <w:i w:val="0"/>
        </w:rPr>
        <w:t>Environments.</w:t>
      </w:r>
      <w:r>
        <w:rPr>
          <w:b w:val="0"/>
          <w:i w:val="0"/>
        </w:rPr>
        <w:t xml:space="preserve"> One test and one production environment per application; Oracle updates test on the first Friday of each month and production on the third, so regression tests run in between.</w:t>
      </w:r>
    </w:p>
    <w:p>
      <w:pPr>
        <w:pStyle w:val="ListBullet"/>
      </w:pPr>
      <w:r>
        <w:rPr>
          <w:b/>
          <w:i w:val="0"/>
        </w:rPr>
        <w:t>Team.</w:t>
      </w:r>
      <w:r>
        <w:rPr>
          <w:b w:val="0"/>
          <w:i w:val="0"/>
        </w:rPr>
        <w:t xml:space="preserve"> Integrator consultants build; internal key users design, test and become the application owners.</w:t>
      </w:r>
    </w:p>
    <w:p>
      <w:pPr>
        <w:pStyle w:val="ListBullet"/>
      </w:pPr>
      <w:r>
        <w:rPr>
          <w:b/>
          <w:i w:val="0"/>
        </w:rPr>
        <w:t>Knowledge transfer.</w:t>
      </w:r>
      <w:r>
        <w:rPr>
          <w:b w:val="0"/>
          <w:i w:val="0"/>
        </w:rPr>
        <w:t xml:space="preserve"> Every configuration is documented and paired with an internal owner (risk R6).</w:t>
      </w:r>
    </w:p>
    <w:p>
      <w:pPr>
        <w:pStyle w:val="Heading1"/>
      </w:pPr>
      <w:r>
        <w:t>5. Organisation</w:t>
      </w:r>
    </w:p>
    <w:tbl>
      <w:tblPr>
        <w:tblW w:type="dxa" w:w="9752"/>
        <w:jc w:val="left"/>
        <w:tblBorders>
          <w:top w:val="single" w:sz="4" w:color="D5DAE0"/>
          <w:left w:val="single" w:sz="4" w:color="D5DAE0"/>
          <w:bottom w:val="single" w:sz="4" w:color="D5DAE0"/>
          <w:right w:val="single" w:sz="4" w:color="D5DAE0"/>
          <w:insideH w:val="single" w:sz="4" w:color="D5DAE0"/>
          <w:insideV w:val="single" w:sz="4" w:color="D5DAE0"/>
        </w:tblBorders>
        <w:tblLayout w:type="fixed"/>
        <w:tblCellMar>
          <w:top w:w="60" w:type="dxa"/>
          <w:left w:w="100" w:type="dxa"/>
          <w:bottom w:w="60" w:type="dxa"/>
          <w:right w:w="100" w:type="dxa"/>
        </w:tblCellMar>
        <w:tblLook w:firstColumn="1" w:firstRow="1" w:lastColumn="0" w:lastRow="0" w:noHBand="0" w:noVBand="1" w:val="04A0"/>
      </w:tblPr>
      <w:tblGrid>
        <w:gridCol w:w="2145"/>
        <w:gridCol w:w="1950"/>
        <w:gridCol w:w="5656"/>
      </w:tblGrid>
      <w:tr>
        <w:trPr>
          <w:tblHeader w:val="true"/>
        </w:trPr>
        <w:tc>
          <w:tcPr>
            <w:tcW w:type="dxa" w:w="2145"/>
            <w:shd w:val="clear" w:color="auto" w:fill="2F5D62"/>
          </w:tcPr>
          <w:p>
            <w:r>
              <w:rPr>
                <w:b/>
                <w:i w:val="0"/>
                <w:color w:val="FFFFFF"/>
                <w:sz w:val="18"/>
              </w:rPr>
              <w:t>Role</w:t>
            </w:r>
          </w:p>
        </w:tc>
        <w:tc>
          <w:tcPr>
            <w:tcW w:type="dxa" w:w="1950"/>
            <w:shd w:val="clear" w:color="auto" w:fill="2F5D62"/>
          </w:tcPr>
          <w:p>
            <w:r>
              <w:rPr>
                <w:b/>
                <w:i w:val="0"/>
                <w:color w:val="FFFFFF"/>
                <w:sz w:val="18"/>
              </w:rPr>
              <w:t>Name</w:t>
            </w:r>
          </w:p>
        </w:tc>
        <w:tc>
          <w:tcPr>
            <w:tcW w:type="dxa" w:w="5656"/>
            <w:shd w:val="clear" w:color="auto" w:fill="2F5D62"/>
          </w:tcPr>
          <w:p>
            <w:r>
              <w:rPr>
                <w:b/>
                <w:i w:val="0"/>
                <w:color w:val="FFFFFF"/>
                <w:sz w:val="18"/>
              </w:rPr>
              <w:t>Responsibilities</w:t>
            </w:r>
          </w:p>
        </w:tc>
      </w:tr>
      <w:tr>
        <w:trPr>
          <w:cantSplit w:val="true"/>
        </w:trPr>
        <w:tc>
          <w:tcPr>
            <w:tcW w:type="dxa" w:w="2145"/>
          </w:tcPr>
          <w:p>
            <w:pPr>
              <w:spacing w:after="0"/>
            </w:pPr>
            <w:r>
              <w:rPr>
                <w:b w:val="0"/>
                <w:i w:val="0"/>
                <w:sz w:val="18"/>
              </w:rPr>
              <w:t>Project executive (sponsor)</w:t>
            </w:r>
          </w:p>
        </w:tc>
        <w:tc>
          <w:tcPr>
            <w:tcW w:type="dxa" w:w="1950"/>
          </w:tcPr>
          <w:p>
            <w:pPr>
              <w:spacing w:after="0"/>
            </w:pPr>
            <w:r>
              <w:rPr>
                <w:b w:val="0"/>
                <w:i w:val="0"/>
                <w:sz w:val="18"/>
              </w:rPr>
              <w:t>Marc Dubois, CFO</w:t>
            </w:r>
          </w:p>
        </w:tc>
        <w:tc>
          <w:tcPr>
            <w:tcW w:type="dxa" w:w="5656"/>
          </w:tcPr>
          <w:p>
            <w:pPr>
              <w:spacing w:after="0"/>
            </w:pPr>
            <w:r>
              <w:rPr>
                <w:b w:val="0"/>
                <w:i w:val="0"/>
                <w:sz w:val="18"/>
              </w:rPr>
              <w:t>Owns the business case; chairs the steering committee; releases contingency</w:t>
            </w:r>
          </w:p>
        </w:tc>
      </w:tr>
      <w:tr>
        <w:trPr>
          <w:cantSplit w:val="true"/>
        </w:trPr>
        <w:tc>
          <w:tcPr>
            <w:tcW w:type="dxa" w:w="2145"/>
            <w:shd w:val="clear" w:color="auto" w:fill="F7F8FA"/>
          </w:tcPr>
          <w:p>
            <w:pPr>
              <w:spacing w:after="0"/>
            </w:pPr>
            <w:r>
              <w:rPr>
                <w:b w:val="0"/>
                <w:i w:val="0"/>
                <w:sz w:val="18"/>
              </w:rPr>
              <w:t>Senior users</w:t>
            </w:r>
          </w:p>
        </w:tc>
        <w:tc>
          <w:tcPr>
            <w:tcW w:type="dxa" w:w="1950"/>
            <w:shd w:val="clear" w:color="auto" w:fill="F7F8FA"/>
          </w:tcPr>
          <w:p>
            <w:pPr>
              <w:spacing w:after="0"/>
            </w:pPr>
            <w:r>
              <w:rPr>
                <w:b w:val="0"/>
                <w:i w:val="0"/>
                <w:sz w:val="18"/>
              </w:rPr>
              <w:t>Claire Martin, Sophie Bernard</w:t>
            </w:r>
          </w:p>
        </w:tc>
        <w:tc>
          <w:tcPr>
            <w:tcW w:type="dxa" w:w="5656"/>
            <w:shd w:val="clear" w:color="auto" w:fill="F7F8FA"/>
          </w:tcPr>
          <w:p>
            <w:pPr>
              <w:spacing w:after="0"/>
            </w:pPr>
            <w:r>
              <w:rPr>
                <w:b w:val="0"/>
                <w:i w:val="0"/>
                <w:sz w:val="18"/>
              </w:rPr>
              <w:t>Represent planning and consolidation users; accept the deliverables</w:t>
            </w:r>
          </w:p>
        </w:tc>
      </w:tr>
      <w:tr>
        <w:trPr>
          <w:cantSplit w:val="true"/>
        </w:trPr>
        <w:tc>
          <w:tcPr>
            <w:tcW w:type="dxa" w:w="2145"/>
          </w:tcPr>
          <w:p>
            <w:pPr>
              <w:spacing w:after="0"/>
            </w:pPr>
            <w:r>
              <w:rPr>
                <w:b w:val="0"/>
                <w:i w:val="0"/>
                <w:sz w:val="18"/>
              </w:rPr>
              <w:t>Senior supplier</w:t>
            </w:r>
          </w:p>
        </w:tc>
        <w:tc>
          <w:tcPr>
            <w:tcW w:type="dxa" w:w="1950"/>
          </w:tcPr>
          <w:p>
            <w:pPr>
              <w:spacing w:after="0"/>
            </w:pPr>
            <w:r>
              <w:rPr>
                <w:b w:val="0"/>
                <w:i w:val="0"/>
                <w:sz w:val="18"/>
              </w:rPr>
              <w:t>Nicolas Petit, IT and ERP</w:t>
            </w:r>
          </w:p>
        </w:tc>
        <w:tc>
          <w:tcPr>
            <w:tcW w:type="dxa" w:w="5656"/>
          </w:tcPr>
          <w:p>
            <w:pPr>
              <w:spacing w:after="0"/>
            </w:pPr>
            <w:r>
              <w:rPr>
                <w:b w:val="0"/>
                <w:i w:val="0"/>
                <w:sz w:val="18"/>
              </w:rPr>
              <w:t>Commits IT and integrator resources; owns the data flows</w:t>
            </w:r>
          </w:p>
        </w:tc>
      </w:tr>
      <w:tr>
        <w:trPr>
          <w:cantSplit w:val="true"/>
        </w:trPr>
        <w:tc>
          <w:tcPr>
            <w:tcW w:type="dxa" w:w="2145"/>
            <w:shd w:val="clear" w:color="auto" w:fill="F7F8FA"/>
          </w:tcPr>
          <w:p>
            <w:pPr>
              <w:spacing w:after="0"/>
            </w:pPr>
            <w:r>
              <w:rPr>
                <w:b w:val="0"/>
                <w:i w:val="0"/>
                <w:sz w:val="18"/>
              </w:rPr>
              <w:t>Project manager</w:t>
            </w:r>
          </w:p>
        </w:tc>
        <w:tc>
          <w:tcPr>
            <w:tcW w:type="dxa" w:w="1950"/>
            <w:shd w:val="clear" w:color="auto" w:fill="F7F8FA"/>
          </w:tcPr>
          <w:p>
            <w:pPr>
              <w:spacing w:after="0"/>
            </w:pPr>
            <w:r>
              <w:rPr>
                <w:b w:val="0"/>
                <w:i w:val="0"/>
                <w:sz w:val="18"/>
              </w:rPr>
              <w:t>Gaurav Sharma</w:t>
            </w:r>
          </w:p>
        </w:tc>
        <w:tc>
          <w:tcPr>
            <w:tcW w:type="dxa" w:w="5656"/>
            <w:shd w:val="clear" w:color="auto" w:fill="F7F8FA"/>
          </w:tcPr>
          <w:p>
            <w:pPr>
              <w:spacing w:after="0"/>
            </w:pPr>
            <w:r>
              <w:rPr>
                <w:b w:val="0"/>
                <w:i w:val="0"/>
                <w:sz w:val="18"/>
              </w:rPr>
              <w:t>Plans and runs the project day to day, within the tolerances set by the board</w:t>
            </w:r>
          </w:p>
        </w:tc>
      </w:tr>
      <w:tr>
        <w:trPr>
          <w:cantSplit w:val="true"/>
        </w:trPr>
        <w:tc>
          <w:tcPr>
            <w:tcW w:type="dxa" w:w="2145"/>
          </w:tcPr>
          <w:p>
            <w:pPr>
              <w:spacing w:after="0"/>
            </w:pPr>
            <w:r>
              <w:rPr>
                <w:b w:val="0"/>
                <w:i w:val="0"/>
                <w:sz w:val="18"/>
              </w:rPr>
              <w:t>EPM consultants</w:t>
            </w:r>
          </w:p>
        </w:tc>
        <w:tc>
          <w:tcPr>
            <w:tcW w:type="dxa" w:w="1950"/>
          </w:tcPr>
          <w:p>
            <w:pPr>
              <w:spacing w:after="0"/>
            </w:pPr>
            <w:r>
              <w:rPr>
                <w:b w:val="0"/>
                <w:i w:val="0"/>
                <w:sz w:val="18"/>
              </w:rPr>
              <w:t>Integrator team</w:t>
            </w:r>
          </w:p>
        </w:tc>
        <w:tc>
          <w:tcPr>
            <w:tcW w:type="dxa" w:w="5656"/>
          </w:tcPr>
          <w:p>
            <w:pPr>
              <w:spacing w:after="0"/>
            </w:pPr>
            <w:r>
              <w:rPr>
                <w:b w:val="0"/>
                <w:i w:val="0"/>
                <w:sz w:val="18"/>
              </w:rPr>
              <w:t>Design, build, testing support, training</w:t>
            </w:r>
          </w:p>
        </w:tc>
      </w:tr>
      <w:tr>
        <w:trPr>
          <w:cantSplit w:val="true"/>
        </w:trPr>
        <w:tc>
          <w:tcPr>
            <w:tcW w:type="dxa" w:w="2145"/>
            <w:shd w:val="clear" w:color="auto" w:fill="F7F8FA"/>
          </w:tcPr>
          <w:p>
            <w:pPr>
              <w:spacing w:after="0"/>
            </w:pPr>
            <w:r>
              <w:rPr>
                <w:b w:val="0"/>
                <w:i w:val="0"/>
                <w:sz w:val="18"/>
              </w:rPr>
              <w:t>Key users</w:t>
            </w:r>
          </w:p>
        </w:tc>
        <w:tc>
          <w:tcPr>
            <w:tcW w:type="dxa" w:w="1950"/>
            <w:shd w:val="clear" w:color="auto" w:fill="F7F8FA"/>
          </w:tcPr>
          <w:p>
            <w:pPr>
              <w:spacing w:after="0"/>
            </w:pPr>
            <w:r>
              <w:rPr>
                <w:b w:val="0"/>
                <w:i w:val="0"/>
                <w:sz w:val="18"/>
              </w:rPr>
              <w:t>FP&amp;A and consolidation teams</w:t>
            </w:r>
          </w:p>
        </w:tc>
        <w:tc>
          <w:tcPr>
            <w:tcW w:type="dxa" w:w="5656"/>
            <w:shd w:val="clear" w:color="auto" w:fill="F7F8FA"/>
          </w:tcPr>
          <w:p>
            <w:pPr>
              <w:spacing w:after="0"/>
            </w:pPr>
            <w:r>
              <w:rPr>
                <w:b w:val="0"/>
                <w:i w:val="0"/>
                <w:sz w:val="18"/>
              </w:rPr>
              <w:t>Workshops, test cases, UAT, champions in each entity</w:t>
            </w:r>
          </w:p>
        </w:tc>
      </w:tr>
      <w:tr>
        <w:trPr>
          <w:cantSplit w:val="true"/>
        </w:trPr>
        <w:tc>
          <w:tcPr>
            <w:tcW w:type="dxa" w:w="2145"/>
          </w:tcPr>
          <w:p>
            <w:pPr>
              <w:spacing w:after="0"/>
            </w:pPr>
            <w:r>
              <w:rPr>
                <w:b w:val="0"/>
                <w:i w:val="0"/>
                <w:sz w:val="18"/>
              </w:rPr>
              <w:t>Auditors (consulted)</w:t>
            </w:r>
          </w:p>
        </w:tc>
        <w:tc>
          <w:tcPr>
            <w:tcW w:type="dxa" w:w="1950"/>
          </w:tcPr>
          <w:p>
            <w:pPr>
              <w:spacing w:after="0"/>
            </w:pPr>
            <w:r>
              <w:rPr>
                <w:b w:val="0"/>
                <w:i w:val="0"/>
                <w:sz w:val="18"/>
              </w:rPr>
              <w:t>Statutory auditors</w:t>
            </w:r>
          </w:p>
        </w:tc>
        <w:tc>
          <w:tcPr>
            <w:tcW w:type="dxa" w:w="5656"/>
          </w:tcPr>
          <w:p>
            <w:pPr>
              <w:spacing w:after="0"/>
            </w:pPr>
            <w:r>
              <w:rPr>
                <w:b w:val="0"/>
                <w:i w:val="0"/>
                <w:sz w:val="18"/>
              </w:rPr>
              <w:t>Review of consolidation rules before go-live</w:t>
            </w:r>
          </w:p>
        </w:tc>
      </w:tr>
    </w:tbl>
    <w:p>
      <w:pPr>
        <w:spacing w:after="40"/>
      </w:pPr>
    </w:p>
    <w:p>
      <w:pPr>
        <w:pStyle w:val="Heading2"/>
      </w:pPr>
      <w:r>
        <w:t>RACI for key activities</w:t>
      </w:r>
    </w:p>
    <w:tbl>
      <w:tblPr>
        <w:tblW w:type="dxa" w:w="9752"/>
        <w:jc w:val="left"/>
        <w:tblBorders>
          <w:top w:val="single" w:sz="4" w:color="D5DAE0"/>
          <w:left w:val="single" w:sz="4" w:color="D5DAE0"/>
          <w:bottom w:val="single" w:sz="4" w:color="D5DAE0"/>
          <w:right w:val="single" w:sz="4" w:color="D5DAE0"/>
          <w:insideH w:val="single" w:sz="4" w:color="D5DAE0"/>
          <w:insideV w:val="single" w:sz="4" w:color="D5DAE0"/>
        </w:tblBorders>
        <w:tblLayout w:type="fixed"/>
        <w:tblCellMar>
          <w:top w:w="60" w:type="dxa"/>
          <w:left w:w="100" w:type="dxa"/>
          <w:bottom w:w="60" w:type="dxa"/>
          <w:right w:w="100" w:type="dxa"/>
        </w:tblCellMar>
        <w:tblLook w:firstColumn="1" w:firstRow="1" w:lastColumn="0" w:lastRow="0" w:noHBand="0" w:noVBand="1" w:val="04A0"/>
      </w:tblPr>
      <w:tblGrid>
        <w:gridCol w:w="2925"/>
        <w:gridCol w:w="975"/>
        <w:gridCol w:w="780"/>
        <w:gridCol w:w="1072"/>
        <w:gridCol w:w="1072"/>
        <w:gridCol w:w="975"/>
        <w:gridCol w:w="780"/>
        <w:gridCol w:w="1170"/>
      </w:tblGrid>
      <w:tr>
        <w:trPr>
          <w:tblHeader w:val="true"/>
        </w:trPr>
        <w:tc>
          <w:tcPr>
            <w:tcW w:type="dxa" w:w="2925"/>
            <w:shd w:val="clear" w:color="auto" w:fill="2F5D62"/>
          </w:tcPr>
          <w:p>
            <w:r>
              <w:rPr>
                <w:b/>
                <w:i w:val="0"/>
                <w:color w:val="FFFFFF"/>
                <w:sz w:val="18"/>
              </w:rPr>
              <w:t>Activity</w:t>
            </w:r>
          </w:p>
        </w:tc>
        <w:tc>
          <w:tcPr>
            <w:tcW w:type="dxa" w:w="975"/>
            <w:shd w:val="clear" w:color="auto" w:fill="2F5D62"/>
          </w:tcPr>
          <w:p>
            <w:r>
              <w:rPr>
                <w:b/>
                <w:i w:val="0"/>
                <w:color w:val="FFFFFF"/>
                <w:sz w:val="18"/>
              </w:rPr>
              <w:t>Sponsor</w:t>
            </w:r>
          </w:p>
        </w:tc>
        <w:tc>
          <w:tcPr>
            <w:tcW w:type="dxa" w:w="780"/>
            <w:shd w:val="clear" w:color="auto" w:fill="2F5D62"/>
          </w:tcPr>
          <w:p>
            <w:r>
              <w:rPr>
                <w:b/>
                <w:i w:val="0"/>
                <w:color w:val="FFFFFF"/>
                <w:sz w:val="18"/>
              </w:rPr>
              <w:t>PM</w:t>
            </w:r>
          </w:p>
        </w:tc>
        <w:tc>
          <w:tcPr>
            <w:tcW w:type="dxa" w:w="1073"/>
            <w:shd w:val="clear" w:color="auto" w:fill="2F5D62"/>
          </w:tcPr>
          <w:p>
            <w:r>
              <w:rPr>
                <w:b/>
                <w:i w:val="0"/>
                <w:color w:val="FFFFFF"/>
                <w:sz w:val="18"/>
              </w:rPr>
              <w:t>Consultant</w:t>
            </w:r>
          </w:p>
        </w:tc>
        <w:tc>
          <w:tcPr>
            <w:tcW w:type="dxa" w:w="1073"/>
            <w:shd w:val="clear" w:color="auto" w:fill="2F5D62"/>
          </w:tcPr>
          <w:p>
            <w:r>
              <w:rPr>
                <w:b/>
                <w:i w:val="0"/>
                <w:color w:val="FFFFFF"/>
                <w:sz w:val="18"/>
              </w:rPr>
              <w:t>Key users</w:t>
            </w:r>
          </w:p>
        </w:tc>
        <w:tc>
          <w:tcPr>
            <w:tcW w:type="dxa" w:w="975"/>
            <w:shd w:val="clear" w:color="auto" w:fill="2F5D62"/>
          </w:tcPr>
          <w:p>
            <w:r>
              <w:rPr>
                <w:b/>
                <w:i w:val="0"/>
                <w:color w:val="FFFFFF"/>
                <w:sz w:val="18"/>
              </w:rPr>
              <w:t>Consol.</w:t>
            </w:r>
          </w:p>
        </w:tc>
        <w:tc>
          <w:tcPr>
            <w:tcW w:type="dxa" w:w="780"/>
            <w:shd w:val="clear" w:color="auto" w:fill="2F5D62"/>
          </w:tcPr>
          <w:p>
            <w:r>
              <w:rPr>
                <w:b/>
                <w:i w:val="0"/>
                <w:color w:val="FFFFFF"/>
                <w:sz w:val="18"/>
              </w:rPr>
              <w:t>IT</w:t>
            </w:r>
          </w:p>
        </w:tc>
        <w:tc>
          <w:tcPr>
            <w:tcW w:type="dxa" w:w="1170"/>
            <w:shd w:val="clear" w:color="auto" w:fill="2F5D62"/>
          </w:tcPr>
          <w:p>
            <w:r>
              <w:rPr>
                <w:b/>
                <w:i w:val="0"/>
                <w:color w:val="FFFFFF"/>
                <w:sz w:val="18"/>
              </w:rPr>
              <w:t>Auditors</w:t>
            </w:r>
          </w:p>
        </w:tc>
      </w:tr>
      <w:tr>
        <w:trPr>
          <w:cantSplit w:val="true"/>
        </w:trPr>
        <w:tc>
          <w:tcPr>
            <w:tcW w:type="dxa" w:w="2925"/>
          </w:tcPr>
          <w:p>
            <w:pPr>
              <w:spacing w:after="0"/>
            </w:pPr>
            <w:r>
              <w:rPr>
                <w:b w:val="0"/>
                <w:i w:val="0"/>
                <w:sz w:val="18"/>
              </w:rPr>
              <w:t>Approve business case and charter</w:t>
            </w:r>
          </w:p>
        </w:tc>
        <w:tc>
          <w:tcPr>
            <w:tcW w:type="dxa" w:w="975"/>
          </w:tcPr>
          <w:p>
            <w:pPr>
              <w:spacing w:after="0"/>
            </w:pPr>
            <w:r>
              <w:rPr>
                <w:b w:val="0"/>
                <w:i w:val="0"/>
                <w:sz w:val="18"/>
              </w:rPr>
              <w:t>A</w:t>
            </w:r>
          </w:p>
        </w:tc>
        <w:tc>
          <w:tcPr>
            <w:tcW w:type="dxa" w:w="780"/>
          </w:tcPr>
          <w:p>
            <w:pPr>
              <w:spacing w:after="0"/>
            </w:pPr>
            <w:r>
              <w:rPr>
                <w:b w:val="0"/>
                <w:i w:val="0"/>
                <w:sz w:val="18"/>
              </w:rPr>
              <w:t>R</w:t>
            </w:r>
          </w:p>
        </w:tc>
        <w:tc>
          <w:tcPr>
            <w:tcW w:type="dxa" w:w="1073"/>
          </w:tcPr>
          <w:p>
            <w:pPr>
              <w:spacing w:after="0"/>
            </w:pPr>
            <w:r>
              <w:rPr>
                <w:b w:val="0"/>
                <w:i w:val="0"/>
                <w:sz w:val="18"/>
              </w:rPr>
              <w:t>C</w:t>
            </w:r>
          </w:p>
        </w:tc>
        <w:tc>
          <w:tcPr>
            <w:tcW w:type="dxa" w:w="1073"/>
          </w:tcPr>
          <w:p>
            <w:pPr>
              <w:spacing w:after="0"/>
            </w:pPr>
            <w:r>
              <w:rPr>
                <w:b w:val="0"/>
                <w:i w:val="0"/>
                <w:sz w:val="18"/>
              </w:rPr>
              <w:t>I</w:t>
            </w:r>
          </w:p>
        </w:tc>
        <w:tc>
          <w:tcPr>
            <w:tcW w:type="dxa" w:w="975"/>
          </w:tcPr>
          <w:p>
            <w:pPr>
              <w:spacing w:after="0"/>
            </w:pPr>
            <w:r>
              <w:rPr>
                <w:b w:val="0"/>
                <w:i w:val="0"/>
                <w:sz w:val="18"/>
              </w:rPr>
              <w:t>I</w:t>
            </w:r>
          </w:p>
        </w:tc>
        <w:tc>
          <w:tcPr>
            <w:tcW w:type="dxa" w:w="780"/>
          </w:tcPr>
          <w:p>
            <w:pPr>
              <w:spacing w:after="0"/>
            </w:pPr>
            <w:r>
              <w:rPr>
                <w:b w:val="0"/>
                <w:i w:val="0"/>
                <w:sz w:val="18"/>
              </w:rPr>
              <w:t>C</w:t>
            </w:r>
          </w:p>
        </w:tc>
        <w:tc>
          <w:tcPr>
            <w:tcW w:type="dxa" w:w="1170"/>
          </w:tcPr>
          <w:p>
            <w:pPr>
              <w:spacing w:after="0"/>
            </w:pPr>
          </w:p>
        </w:tc>
      </w:tr>
      <w:tr>
        <w:trPr>
          <w:cantSplit w:val="true"/>
        </w:trPr>
        <w:tc>
          <w:tcPr>
            <w:tcW w:type="dxa" w:w="2925"/>
            <w:shd w:val="clear" w:color="auto" w:fill="F7F8FA"/>
          </w:tcPr>
          <w:p>
            <w:pPr>
              <w:spacing w:after="0"/>
            </w:pPr>
            <w:r>
              <w:rPr>
                <w:b w:val="0"/>
                <w:i w:val="0"/>
                <w:sz w:val="18"/>
              </w:rPr>
              <w:t>Run design workshops</w:t>
            </w:r>
          </w:p>
        </w:tc>
        <w:tc>
          <w:tcPr>
            <w:tcW w:type="dxa" w:w="975"/>
            <w:shd w:val="clear" w:color="auto" w:fill="F7F8FA"/>
          </w:tcPr>
          <w:p>
            <w:pPr>
              <w:spacing w:after="0"/>
            </w:pPr>
          </w:p>
        </w:tc>
        <w:tc>
          <w:tcPr>
            <w:tcW w:type="dxa" w:w="780"/>
            <w:shd w:val="clear" w:color="auto" w:fill="F7F8FA"/>
          </w:tcPr>
          <w:p>
            <w:pPr>
              <w:spacing w:after="0"/>
            </w:pPr>
            <w:r>
              <w:rPr>
                <w:b w:val="0"/>
                <w:i w:val="0"/>
                <w:sz w:val="18"/>
              </w:rPr>
              <w:t>A</w:t>
            </w:r>
          </w:p>
        </w:tc>
        <w:tc>
          <w:tcPr>
            <w:tcW w:type="dxa" w:w="1073"/>
            <w:shd w:val="clear" w:color="auto" w:fill="F7F8FA"/>
          </w:tcPr>
          <w:p>
            <w:pPr>
              <w:spacing w:after="0"/>
            </w:pPr>
            <w:r>
              <w:rPr>
                <w:b w:val="0"/>
                <w:i w:val="0"/>
                <w:sz w:val="18"/>
              </w:rPr>
              <w:t>R</w:t>
            </w:r>
          </w:p>
        </w:tc>
        <w:tc>
          <w:tcPr>
            <w:tcW w:type="dxa" w:w="1073"/>
            <w:shd w:val="clear" w:color="auto" w:fill="F7F8FA"/>
          </w:tcPr>
          <w:p>
            <w:pPr>
              <w:spacing w:after="0"/>
            </w:pPr>
            <w:r>
              <w:rPr>
                <w:b w:val="0"/>
                <w:i w:val="0"/>
                <w:sz w:val="18"/>
              </w:rPr>
              <w:t>C</w:t>
            </w:r>
          </w:p>
        </w:tc>
        <w:tc>
          <w:tcPr>
            <w:tcW w:type="dxa" w:w="975"/>
            <w:shd w:val="clear" w:color="auto" w:fill="F7F8FA"/>
          </w:tcPr>
          <w:p>
            <w:pPr>
              <w:spacing w:after="0"/>
            </w:pPr>
            <w:r>
              <w:rPr>
                <w:b w:val="0"/>
                <w:i w:val="0"/>
                <w:sz w:val="18"/>
              </w:rPr>
              <w:t>C</w:t>
            </w:r>
          </w:p>
        </w:tc>
        <w:tc>
          <w:tcPr>
            <w:tcW w:type="dxa" w:w="780"/>
            <w:shd w:val="clear" w:color="auto" w:fill="F7F8FA"/>
          </w:tcPr>
          <w:p>
            <w:pPr>
              <w:spacing w:after="0"/>
            </w:pPr>
            <w:r>
              <w:rPr>
                <w:b w:val="0"/>
                <w:i w:val="0"/>
                <w:sz w:val="18"/>
              </w:rPr>
              <w:t>I</w:t>
            </w:r>
          </w:p>
        </w:tc>
        <w:tc>
          <w:tcPr>
            <w:tcW w:type="dxa" w:w="1170"/>
            <w:shd w:val="clear" w:color="auto" w:fill="F7F8FA"/>
          </w:tcPr>
          <w:p>
            <w:pPr>
              <w:spacing w:after="0"/>
            </w:pPr>
          </w:p>
        </w:tc>
      </w:tr>
      <w:tr>
        <w:trPr>
          <w:cantSplit w:val="true"/>
        </w:trPr>
        <w:tc>
          <w:tcPr>
            <w:tcW w:type="dxa" w:w="2925"/>
          </w:tcPr>
          <w:p>
            <w:pPr>
              <w:spacing w:after="0"/>
            </w:pPr>
            <w:r>
              <w:rPr>
                <w:b w:val="0"/>
                <w:i w:val="0"/>
                <w:sz w:val="18"/>
              </w:rPr>
              <w:t>Sign off the design</w:t>
            </w:r>
          </w:p>
        </w:tc>
        <w:tc>
          <w:tcPr>
            <w:tcW w:type="dxa" w:w="975"/>
          </w:tcPr>
          <w:p>
            <w:pPr>
              <w:spacing w:after="0"/>
            </w:pPr>
            <w:r>
              <w:rPr>
                <w:b w:val="0"/>
                <w:i w:val="0"/>
                <w:sz w:val="18"/>
              </w:rPr>
              <w:t>A</w:t>
            </w:r>
          </w:p>
        </w:tc>
        <w:tc>
          <w:tcPr>
            <w:tcW w:type="dxa" w:w="780"/>
          </w:tcPr>
          <w:p>
            <w:pPr>
              <w:spacing w:after="0"/>
            </w:pPr>
            <w:r>
              <w:rPr>
                <w:b w:val="0"/>
                <w:i w:val="0"/>
                <w:sz w:val="18"/>
              </w:rPr>
              <w:t>R</w:t>
            </w:r>
          </w:p>
        </w:tc>
        <w:tc>
          <w:tcPr>
            <w:tcW w:type="dxa" w:w="1073"/>
          </w:tcPr>
          <w:p>
            <w:pPr>
              <w:spacing w:after="0"/>
            </w:pPr>
            <w:r>
              <w:rPr>
                <w:b w:val="0"/>
                <w:i w:val="0"/>
                <w:sz w:val="18"/>
              </w:rPr>
              <w:t>C</w:t>
            </w:r>
          </w:p>
        </w:tc>
        <w:tc>
          <w:tcPr>
            <w:tcW w:type="dxa" w:w="1073"/>
          </w:tcPr>
          <w:p>
            <w:pPr>
              <w:spacing w:after="0"/>
            </w:pPr>
            <w:r>
              <w:rPr>
                <w:b w:val="0"/>
                <w:i w:val="0"/>
                <w:sz w:val="18"/>
              </w:rPr>
              <w:t>C</w:t>
            </w:r>
          </w:p>
        </w:tc>
        <w:tc>
          <w:tcPr>
            <w:tcW w:type="dxa" w:w="975"/>
          </w:tcPr>
          <w:p>
            <w:pPr>
              <w:spacing w:after="0"/>
            </w:pPr>
            <w:r>
              <w:rPr>
                <w:b w:val="0"/>
                <w:i w:val="0"/>
                <w:sz w:val="18"/>
              </w:rPr>
              <w:t>C</w:t>
            </w:r>
          </w:p>
        </w:tc>
        <w:tc>
          <w:tcPr>
            <w:tcW w:type="dxa" w:w="780"/>
          </w:tcPr>
          <w:p>
            <w:pPr>
              <w:spacing w:after="0"/>
            </w:pPr>
            <w:r>
              <w:rPr>
                <w:b w:val="0"/>
                <w:i w:val="0"/>
                <w:sz w:val="18"/>
              </w:rPr>
              <w:t>I</w:t>
            </w:r>
          </w:p>
        </w:tc>
        <w:tc>
          <w:tcPr>
            <w:tcW w:type="dxa" w:w="1170"/>
          </w:tcPr>
          <w:p>
            <w:pPr>
              <w:spacing w:after="0"/>
            </w:pPr>
          </w:p>
        </w:tc>
      </w:tr>
      <w:tr>
        <w:trPr>
          <w:cantSplit w:val="true"/>
        </w:trPr>
        <w:tc>
          <w:tcPr>
            <w:tcW w:type="dxa" w:w="2925"/>
            <w:shd w:val="clear" w:color="auto" w:fill="F7F8FA"/>
          </w:tcPr>
          <w:p>
            <w:pPr>
              <w:spacing w:after="0"/>
            </w:pPr>
            <w:r>
              <w:rPr>
                <w:b w:val="0"/>
                <w:i w:val="0"/>
                <w:sz w:val="18"/>
              </w:rPr>
              <w:t>Build EPBCS and FCCS</w:t>
            </w:r>
          </w:p>
        </w:tc>
        <w:tc>
          <w:tcPr>
            <w:tcW w:type="dxa" w:w="975"/>
            <w:shd w:val="clear" w:color="auto" w:fill="F7F8FA"/>
          </w:tcPr>
          <w:p>
            <w:pPr>
              <w:spacing w:after="0"/>
            </w:pPr>
          </w:p>
        </w:tc>
        <w:tc>
          <w:tcPr>
            <w:tcW w:type="dxa" w:w="780"/>
            <w:shd w:val="clear" w:color="auto" w:fill="F7F8FA"/>
          </w:tcPr>
          <w:p>
            <w:pPr>
              <w:spacing w:after="0"/>
            </w:pPr>
            <w:r>
              <w:rPr>
                <w:b w:val="0"/>
                <w:i w:val="0"/>
                <w:sz w:val="18"/>
              </w:rPr>
              <w:t>A</w:t>
            </w:r>
          </w:p>
        </w:tc>
        <w:tc>
          <w:tcPr>
            <w:tcW w:type="dxa" w:w="1073"/>
            <w:shd w:val="clear" w:color="auto" w:fill="F7F8FA"/>
          </w:tcPr>
          <w:p>
            <w:pPr>
              <w:spacing w:after="0"/>
            </w:pPr>
            <w:r>
              <w:rPr>
                <w:b w:val="0"/>
                <w:i w:val="0"/>
                <w:sz w:val="18"/>
              </w:rPr>
              <w:t>R</w:t>
            </w:r>
          </w:p>
        </w:tc>
        <w:tc>
          <w:tcPr>
            <w:tcW w:type="dxa" w:w="1073"/>
            <w:shd w:val="clear" w:color="auto" w:fill="F7F8FA"/>
          </w:tcPr>
          <w:p>
            <w:pPr>
              <w:spacing w:after="0"/>
            </w:pPr>
            <w:r>
              <w:rPr>
                <w:b w:val="0"/>
                <w:i w:val="0"/>
                <w:sz w:val="18"/>
              </w:rPr>
              <w:t>C</w:t>
            </w:r>
          </w:p>
        </w:tc>
        <w:tc>
          <w:tcPr>
            <w:tcW w:type="dxa" w:w="975"/>
            <w:shd w:val="clear" w:color="auto" w:fill="F7F8FA"/>
          </w:tcPr>
          <w:p>
            <w:pPr>
              <w:spacing w:after="0"/>
            </w:pPr>
            <w:r>
              <w:rPr>
                <w:b w:val="0"/>
                <w:i w:val="0"/>
                <w:sz w:val="18"/>
              </w:rPr>
              <w:t>C</w:t>
            </w:r>
          </w:p>
        </w:tc>
        <w:tc>
          <w:tcPr>
            <w:tcW w:type="dxa" w:w="780"/>
            <w:shd w:val="clear" w:color="auto" w:fill="F7F8FA"/>
          </w:tcPr>
          <w:p>
            <w:pPr>
              <w:spacing w:after="0"/>
            </w:pPr>
          </w:p>
        </w:tc>
        <w:tc>
          <w:tcPr>
            <w:tcW w:type="dxa" w:w="1170"/>
            <w:shd w:val="clear" w:color="auto" w:fill="F7F8FA"/>
          </w:tcPr>
          <w:p>
            <w:pPr>
              <w:spacing w:after="0"/>
            </w:pPr>
          </w:p>
        </w:tc>
      </w:tr>
      <w:tr>
        <w:trPr>
          <w:cantSplit w:val="true"/>
        </w:trPr>
        <w:tc>
          <w:tcPr>
            <w:tcW w:type="dxa" w:w="2925"/>
          </w:tcPr>
          <w:p>
            <w:pPr>
              <w:spacing w:after="0"/>
            </w:pPr>
            <w:r>
              <w:rPr>
                <w:b w:val="0"/>
                <w:i w:val="0"/>
                <w:sz w:val="18"/>
              </w:rPr>
              <w:t>Build the ERP data flows</w:t>
            </w:r>
          </w:p>
        </w:tc>
        <w:tc>
          <w:tcPr>
            <w:tcW w:type="dxa" w:w="975"/>
          </w:tcPr>
          <w:p>
            <w:pPr>
              <w:spacing w:after="0"/>
            </w:pPr>
          </w:p>
        </w:tc>
        <w:tc>
          <w:tcPr>
            <w:tcW w:type="dxa" w:w="780"/>
          </w:tcPr>
          <w:p>
            <w:pPr>
              <w:spacing w:after="0"/>
            </w:pPr>
            <w:r>
              <w:rPr>
                <w:b w:val="0"/>
                <w:i w:val="0"/>
                <w:sz w:val="18"/>
              </w:rPr>
              <w:t>A</w:t>
            </w:r>
          </w:p>
        </w:tc>
        <w:tc>
          <w:tcPr>
            <w:tcW w:type="dxa" w:w="1073"/>
          </w:tcPr>
          <w:p>
            <w:pPr>
              <w:spacing w:after="0"/>
            </w:pPr>
            <w:r>
              <w:rPr>
                <w:b w:val="0"/>
                <w:i w:val="0"/>
                <w:sz w:val="18"/>
              </w:rPr>
              <w:t>C</w:t>
            </w:r>
          </w:p>
        </w:tc>
        <w:tc>
          <w:tcPr>
            <w:tcW w:type="dxa" w:w="1073"/>
          </w:tcPr>
          <w:p>
            <w:pPr>
              <w:spacing w:after="0"/>
            </w:pPr>
          </w:p>
        </w:tc>
        <w:tc>
          <w:tcPr>
            <w:tcW w:type="dxa" w:w="975"/>
          </w:tcPr>
          <w:p>
            <w:pPr>
              <w:spacing w:after="0"/>
            </w:pPr>
          </w:p>
        </w:tc>
        <w:tc>
          <w:tcPr>
            <w:tcW w:type="dxa" w:w="780"/>
          </w:tcPr>
          <w:p>
            <w:pPr>
              <w:spacing w:after="0"/>
            </w:pPr>
            <w:r>
              <w:rPr>
                <w:b w:val="0"/>
                <w:i w:val="0"/>
                <w:sz w:val="18"/>
              </w:rPr>
              <w:t>R</w:t>
            </w:r>
          </w:p>
        </w:tc>
        <w:tc>
          <w:tcPr>
            <w:tcW w:type="dxa" w:w="1170"/>
          </w:tcPr>
          <w:p>
            <w:pPr>
              <w:spacing w:after="0"/>
            </w:pPr>
          </w:p>
        </w:tc>
      </w:tr>
      <w:tr>
        <w:trPr>
          <w:cantSplit w:val="true"/>
        </w:trPr>
        <w:tc>
          <w:tcPr>
            <w:tcW w:type="dxa" w:w="2925"/>
            <w:shd w:val="clear" w:color="auto" w:fill="F7F8FA"/>
          </w:tcPr>
          <w:p>
            <w:pPr>
              <w:spacing w:after="0"/>
            </w:pPr>
            <w:r>
              <w:rPr>
                <w:b w:val="0"/>
                <w:i w:val="0"/>
                <w:sz w:val="18"/>
              </w:rPr>
              <w:t>Validate consolidation rules</w:t>
            </w:r>
          </w:p>
        </w:tc>
        <w:tc>
          <w:tcPr>
            <w:tcW w:type="dxa" w:w="975"/>
            <w:shd w:val="clear" w:color="auto" w:fill="F7F8FA"/>
          </w:tcPr>
          <w:p>
            <w:pPr>
              <w:spacing w:after="0"/>
            </w:pPr>
            <w:r>
              <w:rPr>
                <w:b w:val="0"/>
                <w:i w:val="0"/>
                <w:sz w:val="18"/>
              </w:rPr>
              <w:t>C</w:t>
            </w:r>
          </w:p>
        </w:tc>
        <w:tc>
          <w:tcPr>
            <w:tcW w:type="dxa" w:w="780"/>
            <w:shd w:val="clear" w:color="auto" w:fill="F7F8FA"/>
          </w:tcPr>
          <w:p>
            <w:pPr>
              <w:spacing w:after="0"/>
            </w:pPr>
            <w:r>
              <w:rPr>
                <w:b w:val="0"/>
                <w:i w:val="0"/>
                <w:sz w:val="18"/>
              </w:rPr>
              <w:t>I</w:t>
            </w:r>
          </w:p>
        </w:tc>
        <w:tc>
          <w:tcPr>
            <w:tcW w:type="dxa" w:w="1073"/>
            <w:shd w:val="clear" w:color="auto" w:fill="F7F8FA"/>
          </w:tcPr>
          <w:p>
            <w:pPr>
              <w:spacing w:after="0"/>
            </w:pPr>
            <w:r>
              <w:rPr>
                <w:b w:val="0"/>
                <w:i w:val="0"/>
                <w:sz w:val="18"/>
              </w:rPr>
              <w:t>R</w:t>
            </w:r>
          </w:p>
        </w:tc>
        <w:tc>
          <w:tcPr>
            <w:tcW w:type="dxa" w:w="1073"/>
            <w:shd w:val="clear" w:color="auto" w:fill="F7F8FA"/>
          </w:tcPr>
          <w:p>
            <w:pPr>
              <w:spacing w:after="0"/>
            </w:pPr>
          </w:p>
        </w:tc>
        <w:tc>
          <w:tcPr>
            <w:tcW w:type="dxa" w:w="975"/>
            <w:shd w:val="clear" w:color="auto" w:fill="F7F8FA"/>
          </w:tcPr>
          <w:p>
            <w:pPr>
              <w:spacing w:after="0"/>
            </w:pPr>
            <w:r>
              <w:rPr>
                <w:b w:val="0"/>
                <w:i w:val="0"/>
                <w:sz w:val="18"/>
              </w:rPr>
              <w:t>A</w:t>
            </w:r>
          </w:p>
        </w:tc>
        <w:tc>
          <w:tcPr>
            <w:tcW w:type="dxa" w:w="780"/>
            <w:shd w:val="clear" w:color="auto" w:fill="F7F8FA"/>
          </w:tcPr>
          <w:p>
            <w:pPr>
              <w:spacing w:after="0"/>
            </w:pPr>
          </w:p>
        </w:tc>
        <w:tc>
          <w:tcPr>
            <w:tcW w:type="dxa" w:w="1170"/>
            <w:shd w:val="clear" w:color="auto" w:fill="F7F8FA"/>
          </w:tcPr>
          <w:p>
            <w:pPr>
              <w:spacing w:after="0"/>
            </w:pPr>
            <w:r>
              <w:rPr>
                <w:b w:val="0"/>
                <w:i w:val="0"/>
                <w:sz w:val="18"/>
              </w:rPr>
              <w:t>C</w:t>
            </w:r>
          </w:p>
        </w:tc>
      </w:tr>
      <w:tr>
        <w:trPr>
          <w:cantSplit w:val="true"/>
        </w:trPr>
        <w:tc>
          <w:tcPr>
            <w:tcW w:type="dxa" w:w="2925"/>
          </w:tcPr>
          <w:p>
            <w:pPr>
              <w:spacing w:after="0"/>
            </w:pPr>
            <w:r>
              <w:rPr>
                <w:b w:val="0"/>
                <w:i w:val="0"/>
                <w:sz w:val="18"/>
              </w:rPr>
              <w:t>Write and run test cases</w:t>
            </w:r>
          </w:p>
        </w:tc>
        <w:tc>
          <w:tcPr>
            <w:tcW w:type="dxa" w:w="975"/>
          </w:tcPr>
          <w:p>
            <w:pPr>
              <w:spacing w:after="0"/>
            </w:pPr>
          </w:p>
        </w:tc>
        <w:tc>
          <w:tcPr>
            <w:tcW w:type="dxa" w:w="780"/>
          </w:tcPr>
          <w:p>
            <w:pPr>
              <w:spacing w:after="0"/>
            </w:pPr>
            <w:r>
              <w:rPr>
                <w:b w:val="0"/>
                <w:i w:val="0"/>
                <w:sz w:val="18"/>
              </w:rPr>
              <w:t>A</w:t>
            </w:r>
          </w:p>
        </w:tc>
        <w:tc>
          <w:tcPr>
            <w:tcW w:type="dxa" w:w="1073"/>
          </w:tcPr>
          <w:p>
            <w:pPr>
              <w:spacing w:after="0"/>
            </w:pPr>
            <w:r>
              <w:rPr>
                <w:b w:val="0"/>
                <w:i w:val="0"/>
                <w:sz w:val="18"/>
              </w:rPr>
              <w:t>C</w:t>
            </w:r>
          </w:p>
        </w:tc>
        <w:tc>
          <w:tcPr>
            <w:tcW w:type="dxa" w:w="1073"/>
          </w:tcPr>
          <w:p>
            <w:pPr>
              <w:spacing w:after="0"/>
            </w:pPr>
            <w:r>
              <w:rPr>
                <w:b w:val="0"/>
                <w:i w:val="0"/>
                <w:sz w:val="18"/>
              </w:rPr>
              <w:t>R</w:t>
            </w:r>
          </w:p>
        </w:tc>
        <w:tc>
          <w:tcPr>
            <w:tcW w:type="dxa" w:w="975"/>
          </w:tcPr>
          <w:p>
            <w:pPr>
              <w:spacing w:after="0"/>
            </w:pPr>
            <w:r>
              <w:rPr>
                <w:b w:val="0"/>
                <w:i w:val="0"/>
                <w:sz w:val="18"/>
              </w:rPr>
              <w:t>R</w:t>
            </w:r>
          </w:p>
        </w:tc>
        <w:tc>
          <w:tcPr>
            <w:tcW w:type="dxa" w:w="780"/>
          </w:tcPr>
          <w:p>
            <w:pPr>
              <w:spacing w:after="0"/>
            </w:pPr>
          </w:p>
        </w:tc>
        <w:tc>
          <w:tcPr>
            <w:tcW w:type="dxa" w:w="1170"/>
          </w:tcPr>
          <w:p>
            <w:pPr>
              <w:spacing w:after="0"/>
            </w:pPr>
          </w:p>
        </w:tc>
      </w:tr>
      <w:tr>
        <w:trPr>
          <w:cantSplit w:val="true"/>
        </w:trPr>
        <w:tc>
          <w:tcPr>
            <w:tcW w:type="dxa" w:w="2925"/>
            <w:shd w:val="clear" w:color="auto" w:fill="F7F8FA"/>
          </w:tcPr>
          <w:p>
            <w:pPr>
              <w:spacing w:after="0"/>
            </w:pPr>
            <w:r>
              <w:rPr>
                <w:b w:val="0"/>
                <w:i w:val="0"/>
                <w:sz w:val="18"/>
              </w:rPr>
              <w:t>Train users</w:t>
            </w:r>
          </w:p>
        </w:tc>
        <w:tc>
          <w:tcPr>
            <w:tcW w:type="dxa" w:w="975"/>
            <w:shd w:val="clear" w:color="auto" w:fill="F7F8FA"/>
          </w:tcPr>
          <w:p>
            <w:pPr>
              <w:spacing w:after="0"/>
            </w:pPr>
          </w:p>
        </w:tc>
        <w:tc>
          <w:tcPr>
            <w:tcW w:type="dxa" w:w="780"/>
            <w:shd w:val="clear" w:color="auto" w:fill="F7F8FA"/>
          </w:tcPr>
          <w:p>
            <w:pPr>
              <w:spacing w:after="0"/>
            </w:pPr>
            <w:r>
              <w:rPr>
                <w:b w:val="0"/>
                <w:i w:val="0"/>
                <w:sz w:val="18"/>
              </w:rPr>
              <w:t>A</w:t>
            </w:r>
          </w:p>
        </w:tc>
        <w:tc>
          <w:tcPr>
            <w:tcW w:type="dxa" w:w="1073"/>
            <w:shd w:val="clear" w:color="auto" w:fill="F7F8FA"/>
          </w:tcPr>
          <w:p>
            <w:pPr>
              <w:spacing w:after="0"/>
            </w:pPr>
            <w:r>
              <w:rPr>
                <w:b w:val="0"/>
                <w:i w:val="0"/>
                <w:sz w:val="18"/>
              </w:rPr>
              <w:t>R</w:t>
            </w:r>
          </w:p>
        </w:tc>
        <w:tc>
          <w:tcPr>
            <w:tcW w:type="dxa" w:w="1073"/>
            <w:shd w:val="clear" w:color="auto" w:fill="F7F8FA"/>
          </w:tcPr>
          <w:p>
            <w:pPr>
              <w:spacing w:after="0"/>
            </w:pPr>
            <w:r>
              <w:rPr>
                <w:b w:val="0"/>
                <w:i w:val="0"/>
                <w:sz w:val="18"/>
              </w:rPr>
              <w:t>C</w:t>
            </w:r>
          </w:p>
        </w:tc>
        <w:tc>
          <w:tcPr>
            <w:tcW w:type="dxa" w:w="975"/>
            <w:shd w:val="clear" w:color="auto" w:fill="F7F8FA"/>
          </w:tcPr>
          <w:p>
            <w:pPr>
              <w:spacing w:after="0"/>
            </w:pPr>
            <w:r>
              <w:rPr>
                <w:b w:val="0"/>
                <w:i w:val="0"/>
                <w:sz w:val="18"/>
              </w:rPr>
              <w:t>C</w:t>
            </w:r>
          </w:p>
        </w:tc>
        <w:tc>
          <w:tcPr>
            <w:tcW w:type="dxa" w:w="780"/>
            <w:shd w:val="clear" w:color="auto" w:fill="F7F8FA"/>
          </w:tcPr>
          <w:p>
            <w:pPr>
              <w:spacing w:after="0"/>
            </w:pPr>
          </w:p>
        </w:tc>
        <w:tc>
          <w:tcPr>
            <w:tcW w:type="dxa" w:w="1170"/>
            <w:shd w:val="clear" w:color="auto" w:fill="F7F8FA"/>
          </w:tcPr>
          <w:p>
            <w:pPr>
              <w:spacing w:after="0"/>
            </w:pPr>
          </w:p>
        </w:tc>
      </w:tr>
      <w:tr>
        <w:trPr>
          <w:cantSplit w:val="true"/>
        </w:trPr>
        <w:tc>
          <w:tcPr>
            <w:tcW w:type="dxa" w:w="2925"/>
          </w:tcPr>
          <w:p>
            <w:pPr>
              <w:spacing w:after="0"/>
            </w:pPr>
            <w:r>
              <w:rPr>
                <w:b w:val="0"/>
                <w:i w:val="0"/>
                <w:sz w:val="18"/>
              </w:rPr>
              <w:t>Decide go/no-go</w:t>
            </w:r>
          </w:p>
        </w:tc>
        <w:tc>
          <w:tcPr>
            <w:tcW w:type="dxa" w:w="975"/>
          </w:tcPr>
          <w:p>
            <w:pPr>
              <w:spacing w:after="0"/>
            </w:pPr>
            <w:r>
              <w:rPr>
                <w:b w:val="0"/>
                <w:i w:val="0"/>
                <w:sz w:val="18"/>
              </w:rPr>
              <w:t>A</w:t>
            </w:r>
          </w:p>
        </w:tc>
        <w:tc>
          <w:tcPr>
            <w:tcW w:type="dxa" w:w="780"/>
          </w:tcPr>
          <w:p>
            <w:pPr>
              <w:spacing w:after="0"/>
            </w:pPr>
            <w:r>
              <w:rPr>
                <w:b w:val="0"/>
                <w:i w:val="0"/>
                <w:sz w:val="18"/>
              </w:rPr>
              <w:t>R</w:t>
            </w:r>
          </w:p>
        </w:tc>
        <w:tc>
          <w:tcPr>
            <w:tcW w:type="dxa" w:w="1073"/>
          </w:tcPr>
          <w:p>
            <w:pPr>
              <w:spacing w:after="0"/>
            </w:pPr>
            <w:r>
              <w:rPr>
                <w:b w:val="0"/>
                <w:i w:val="0"/>
                <w:sz w:val="18"/>
              </w:rPr>
              <w:t>C</w:t>
            </w:r>
          </w:p>
        </w:tc>
        <w:tc>
          <w:tcPr>
            <w:tcW w:type="dxa" w:w="1073"/>
          </w:tcPr>
          <w:p>
            <w:pPr>
              <w:spacing w:after="0"/>
            </w:pPr>
            <w:r>
              <w:rPr>
                <w:b w:val="0"/>
                <w:i w:val="0"/>
                <w:sz w:val="18"/>
              </w:rPr>
              <w:t>C</w:t>
            </w:r>
          </w:p>
        </w:tc>
        <w:tc>
          <w:tcPr>
            <w:tcW w:type="dxa" w:w="975"/>
          </w:tcPr>
          <w:p>
            <w:pPr>
              <w:spacing w:after="0"/>
            </w:pPr>
            <w:r>
              <w:rPr>
                <w:b w:val="0"/>
                <w:i w:val="0"/>
                <w:sz w:val="18"/>
              </w:rPr>
              <w:t>C</w:t>
            </w:r>
          </w:p>
        </w:tc>
        <w:tc>
          <w:tcPr>
            <w:tcW w:type="dxa" w:w="780"/>
          </w:tcPr>
          <w:p>
            <w:pPr>
              <w:spacing w:after="0"/>
            </w:pPr>
            <w:r>
              <w:rPr>
                <w:b w:val="0"/>
                <w:i w:val="0"/>
                <w:sz w:val="18"/>
              </w:rPr>
              <w:t>C</w:t>
            </w:r>
          </w:p>
        </w:tc>
        <w:tc>
          <w:tcPr>
            <w:tcW w:type="dxa" w:w="1170"/>
          </w:tcPr>
          <w:p>
            <w:pPr>
              <w:spacing w:after="0"/>
            </w:pPr>
            <w:r>
              <w:rPr>
                <w:b w:val="0"/>
                <w:i w:val="0"/>
                <w:sz w:val="18"/>
              </w:rPr>
              <w:t>I</w:t>
            </w:r>
          </w:p>
        </w:tc>
      </w:tr>
    </w:tbl>
    <w:p>
      <w:pPr>
        <w:spacing w:after="40"/>
      </w:pPr>
    </w:p>
    <w:p>
      <w:pPr>
        <w:pStyle w:val="Heading1"/>
      </w:pPr>
      <w:r>
        <w:t>6. Plan summary</w:t>
      </w:r>
    </w:p>
    <w:p>
      <w:r>
        <w:drawing>
          <wp:inline xmlns:a="http://schemas.openxmlformats.org/drawingml/2006/main" xmlns:pic="http://schemas.openxmlformats.org/drawingml/2006/picture">
            <wp:extent cx="6192000" cy="4286240"/>
            <wp:docPr id="1" name="Picture 1"/>
            <wp:cNvGraphicFramePr>
              <a:graphicFrameLocks noChangeAspect="1"/>
            </wp:cNvGraphicFramePr>
            <a:graphic>
              <a:graphicData uri="http://schemas.openxmlformats.org/drawingml/2006/picture">
                <pic:pic>
                  <pic:nvPicPr>
                    <pic:cNvPr id="0" name="Lumen-Rollout-Project-Initiation-Documentation-fig1.png"/>
                    <pic:cNvPicPr/>
                  </pic:nvPicPr>
                  <pic:blipFill>
                    <a:blip r:embed="rId11"/>
                    <a:stretch>
                      <a:fillRect/>
                    </a:stretch>
                  </pic:blipFill>
                  <pic:spPr>
                    <a:xfrm>
                      <a:off x="0" y="0"/>
                      <a:ext cx="6192000" cy="4286240"/>
                    </a:xfrm>
                    <a:prstGeom prst="rect"/>
                  </pic:spPr>
                </pic:pic>
              </a:graphicData>
            </a:graphic>
          </wp:inline>
        </w:drawing>
      </w:r>
    </w:p>
    <w:p>
      <w:r>
        <w:rPr>
          <w:b w:val="0"/>
          <w:i/>
          <w:color w:val="5B6673"/>
          <w:sz w:val="18"/>
        </w:rPr>
        <w:t>Figure 1. Baseline plan, in working days (weekends and French public holidays excluded)</w:t>
      </w:r>
    </w:p>
    <w:tbl>
      <w:tblPr>
        <w:tblW w:type="dxa" w:w="9752"/>
        <w:jc w:val="left"/>
        <w:tblBorders>
          <w:top w:val="single" w:sz="4" w:color="D5DAE0"/>
          <w:left w:val="single" w:sz="4" w:color="D5DAE0"/>
          <w:bottom w:val="single" w:sz="4" w:color="D5DAE0"/>
          <w:right w:val="single" w:sz="4" w:color="D5DAE0"/>
          <w:insideH w:val="single" w:sz="4" w:color="D5DAE0"/>
          <w:insideV w:val="single" w:sz="4" w:color="D5DAE0"/>
        </w:tblBorders>
        <w:tblLayout w:type="fixed"/>
        <w:tblCellMar>
          <w:top w:w="60" w:type="dxa"/>
          <w:left w:w="100" w:type="dxa"/>
          <w:bottom w:w="60" w:type="dxa"/>
          <w:right w:w="100" w:type="dxa"/>
        </w:tblCellMar>
        <w:tblLook w:firstColumn="1" w:firstRow="1" w:lastColumn="0" w:lastRow="0" w:noHBand="0" w:noVBand="1" w:val="04A0"/>
      </w:tblPr>
      <w:tblGrid>
        <w:gridCol w:w="3900"/>
        <w:gridCol w:w="2145"/>
        <w:gridCol w:w="3705"/>
      </w:tblGrid>
      <w:tr>
        <w:trPr>
          <w:tblHeader w:val="true"/>
        </w:trPr>
        <w:tc>
          <w:tcPr>
            <w:tcW w:type="dxa" w:w="3900"/>
            <w:shd w:val="clear" w:color="auto" w:fill="2F5D62"/>
          </w:tcPr>
          <w:p>
            <w:r>
              <w:rPr>
                <w:b/>
                <w:i w:val="0"/>
                <w:color w:val="FFFFFF"/>
                <w:sz w:val="18"/>
              </w:rPr>
              <w:t>Milestone</w:t>
            </w:r>
          </w:p>
        </w:tc>
        <w:tc>
          <w:tcPr>
            <w:tcW w:type="dxa" w:w="2145"/>
            <w:shd w:val="clear" w:color="auto" w:fill="2F5D62"/>
          </w:tcPr>
          <w:p>
            <w:r>
              <w:rPr>
                <w:b/>
                <w:i w:val="0"/>
                <w:color w:val="FFFFFF"/>
                <w:sz w:val="18"/>
              </w:rPr>
              <w:t>Baseline date</w:t>
            </w:r>
          </w:p>
        </w:tc>
        <w:tc>
          <w:tcPr>
            <w:tcW w:type="dxa" w:w="3705"/>
            <w:shd w:val="clear" w:color="auto" w:fill="2F5D62"/>
          </w:tcPr>
          <w:p>
            <w:r>
              <w:rPr>
                <w:b/>
                <w:i w:val="0"/>
                <w:color w:val="FFFFFF"/>
                <w:sz w:val="18"/>
              </w:rPr>
              <w:t>Decision</w:t>
            </w:r>
          </w:p>
        </w:tc>
      </w:tr>
      <w:tr>
        <w:trPr>
          <w:cantSplit w:val="true"/>
        </w:trPr>
        <w:tc>
          <w:tcPr>
            <w:tcW w:type="dxa" w:w="3900"/>
          </w:tcPr>
          <w:p>
            <w:pPr>
              <w:spacing w:after="0"/>
            </w:pPr>
            <w:r>
              <w:rPr>
                <w:b w:val="0"/>
                <w:i w:val="0"/>
                <w:sz w:val="18"/>
              </w:rPr>
              <w:t>M1 Charter approved</w:t>
            </w:r>
          </w:p>
        </w:tc>
        <w:tc>
          <w:tcPr>
            <w:tcW w:type="dxa" w:w="2145"/>
          </w:tcPr>
          <w:p>
            <w:pPr>
              <w:spacing w:after="0"/>
            </w:pPr>
            <w:r>
              <w:rPr>
                <w:b w:val="0"/>
                <w:i w:val="0"/>
                <w:sz w:val="18"/>
              </w:rPr>
              <w:t>27 Mar 2026</w:t>
            </w:r>
          </w:p>
        </w:tc>
        <w:tc>
          <w:tcPr>
            <w:tcW w:type="dxa" w:w="3705"/>
          </w:tcPr>
          <w:p>
            <w:pPr>
              <w:spacing w:after="0"/>
            </w:pPr>
            <w:r>
              <w:rPr>
                <w:b w:val="0"/>
                <w:i w:val="0"/>
                <w:sz w:val="18"/>
              </w:rPr>
              <w:t>Initiation closed, design authorised</w:t>
            </w:r>
          </w:p>
        </w:tc>
      </w:tr>
      <w:tr>
        <w:trPr>
          <w:cantSplit w:val="true"/>
        </w:trPr>
        <w:tc>
          <w:tcPr>
            <w:tcW w:type="dxa" w:w="3900"/>
            <w:shd w:val="clear" w:color="auto" w:fill="F7F8FA"/>
          </w:tcPr>
          <w:p>
            <w:pPr>
              <w:spacing w:after="0"/>
            </w:pPr>
            <w:r>
              <w:rPr>
                <w:b w:val="0"/>
                <w:i w:val="0"/>
                <w:sz w:val="18"/>
              </w:rPr>
              <w:t>M2 Design signed off</w:t>
            </w:r>
          </w:p>
        </w:tc>
        <w:tc>
          <w:tcPr>
            <w:tcW w:type="dxa" w:w="2145"/>
            <w:shd w:val="clear" w:color="auto" w:fill="F7F8FA"/>
          </w:tcPr>
          <w:p>
            <w:pPr>
              <w:spacing w:after="0"/>
            </w:pPr>
            <w:r>
              <w:rPr>
                <w:b w:val="0"/>
                <w:i w:val="0"/>
                <w:sz w:val="18"/>
              </w:rPr>
              <w:t>15 May 2026</w:t>
            </w:r>
          </w:p>
        </w:tc>
        <w:tc>
          <w:tcPr>
            <w:tcW w:type="dxa" w:w="3705"/>
            <w:shd w:val="clear" w:color="auto" w:fill="F7F8FA"/>
          </w:tcPr>
          <w:p>
            <w:pPr>
              <w:spacing w:after="0"/>
            </w:pPr>
            <w:r>
              <w:rPr>
                <w:b w:val="0"/>
                <w:i w:val="0"/>
                <w:sz w:val="18"/>
              </w:rPr>
              <w:t>Build authorised</w:t>
            </w:r>
          </w:p>
        </w:tc>
      </w:tr>
      <w:tr>
        <w:trPr>
          <w:cantSplit w:val="true"/>
        </w:trPr>
        <w:tc>
          <w:tcPr>
            <w:tcW w:type="dxa" w:w="3900"/>
          </w:tcPr>
          <w:p>
            <w:pPr>
              <w:spacing w:after="0"/>
            </w:pPr>
            <w:r>
              <w:rPr>
                <w:b w:val="0"/>
                <w:i w:val="0"/>
                <w:sz w:val="18"/>
              </w:rPr>
              <w:t>M3 Build complete</w:t>
            </w:r>
          </w:p>
        </w:tc>
        <w:tc>
          <w:tcPr>
            <w:tcW w:type="dxa" w:w="2145"/>
          </w:tcPr>
          <w:p>
            <w:pPr>
              <w:spacing w:after="0"/>
            </w:pPr>
            <w:r>
              <w:rPr>
                <w:b w:val="0"/>
                <w:i w:val="0"/>
                <w:sz w:val="18"/>
              </w:rPr>
              <w:t>28 Aug 2026</w:t>
            </w:r>
          </w:p>
        </w:tc>
        <w:tc>
          <w:tcPr>
            <w:tcW w:type="dxa" w:w="3705"/>
          </w:tcPr>
          <w:p>
            <w:pPr>
              <w:spacing w:after="0"/>
            </w:pPr>
            <w:r>
              <w:rPr>
                <w:b w:val="0"/>
                <w:i w:val="0"/>
                <w:sz w:val="18"/>
              </w:rPr>
              <w:t>Testing authorised</w:t>
            </w:r>
          </w:p>
        </w:tc>
      </w:tr>
      <w:tr>
        <w:trPr>
          <w:cantSplit w:val="true"/>
        </w:trPr>
        <w:tc>
          <w:tcPr>
            <w:tcW w:type="dxa" w:w="3900"/>
            <w:shd w:val="clear" w:color="auto" w:fill="F7F8FA"/>
          </w:tcPr>
          <w:p>
            <w:pPr>
              <w:spacing w:after="0"/>
            </w:pPr>
            <w:r>
              <w:rPr>
                <w:b w:val="0"/>
                <w:i w:val="0"/>
                <w:sz w:val="18"/>
              </w:rPr>
              <w:t>M4 EPBCS go/no-go</w:t>
            </w:r>
          </w:p>
        </w:tc>
        <w:tc>
          <w:tcPr>
            <w:tcW w:type="dxa" w:w="2145"/>
            <w:shd w:val="clear" w:color="auto" w:fill="F7F8FA"/>
          </w:tcPr>
          <w:p>
            <w:pPr>
              <w:spacing w:after="0"/>
            </w:pPr>
            <w:r>
              <w:rPr>
                <w:b w:val="0"/>
                <w:i w:val="0"/>
                <w:sz w:val="18"/>
              </w:rPr>
              <w:t>9 Oct 2026</w:t>
            </w:r>
          </w:p>
        </w:tc>
        <w:tc>
          <w:tcPr>
            <w:tcW w:type="dxa" w:w="3705"/>
            <w:shd w:val="clear" w:color="auto" w:fill="F7F8FA"/>
          </w:tcPr>
          <w:p>
            <w:pPr>
              <w:spacing w:after="0"/>
            </w:pPr>
            <w:r>
              <w:rPr>
                <w:b w:val="0"/>
                <w:i w:val="0"/>
                <w:sz w:val="18"/>
              </w:rPr>
              <w:t>Training and cutover authorised</w:t>
            </w:r>
          </w:p>
        </w:tc>
      </w:tr>
      <w:tr>
        <w:trPr>
          <w:cantSplit w:val="true"/>
        </w:trPr>
        <w:tc>
          <w:tcPr>
            <w:tcW w:type="dxa" w:w="3900"/>
          </w:tcPr>
          <w:p>
            <w:pPr>
              <w:spacing w:after="0"/>
            </w:pPr>
            <w:r>
              <w:rPr>
                <w:b w:val="0"/>
                <w:i w:val="0"/>
                <w:sz w:val="18"/>
              </w:rPr>
              <w:t>M5 EPBCS go-live</w:t>
            </w:r>
          </w:p>
        </w:tc>
        <w:tc>
          <w:tcPr>
            <w:tcW w:type="dxa" w:w="2145"/>
          </w:tcPr>
          <w:p>
            <w:pPr>
              <w:spacing w:after="0"/>
            </w:pPr>
            <w:r>
              <w:rPr>
                <w:b w:val="0"/>
                <w:i w:val="0"/>
                <w:sz w:val="18"/>
              </w:rPr>
              <w:t>2 Nov 2026</w:t>
            </w:r>
          </w:p>
        </w:tc>
        <w:tc>
          <w:tcPr>
            <w:tcW w:type="dxa" w:w="3705"/>
          </w:tcPr>
          <w:p>
            <w:pPr>
              <w:spacing w:after="0"/>
            </w:pPr>
            <w:r>
              <w:rPr>
                <w:b w:val="0"/>
                <w:i w:val="0"/>
                <w:sz w:val="18"/>
              </w:rPr>
              <w:t>FY27 budget launched in EPBCS</w:t>
            </w:r>
          </w:p>
        </w:tc>
      </w:tr>
      <w:tr>
        <w:trPr>
          <w:cantSplit w:val="true"/>
        </w:trPr>
        <w:tc>
          <w:tcPr>
            <w:tcW w:type="dxa" w:w="3900"/>
            <w:shd w:val="clear" w:color="auto" w:fill="F7F8FA"/>
          </w:tcPr>
          <w:p>
            <w:pPr>
              <w:spacing w:after="0"/>
            </w:pPr>
            <w:r>
              <w:rPr>
                <w:b w:val="0"/>
                <w:i w:val="0"/>
                <w:sz w:val="18"/>
              </w:rPr>
              <w:t>M6 FCCS go-live</w:t>
            </w:r>
          </w:p>
        </w:tc>
        <w:tc>
          <w:tcPr>
            <w:tcW w:type="dxa" w:w="2145"/>
            <w:shd w:val="clear" w:color="auto" w:fill="F7F8FA"/>
          </w:tcPr>
          <w:p>
            <w:pPr>
              <w:spacing w:after="0"/>
            </w:pPr>
            <w:r>
              <w:rPr>
                <w:b w:val="0"/>
                <w:i w:val="0"/>
                <w:sz w:val="18"/>
              </w:rPr>
              <w:t>8 Jan 2027</w:t>
            </w:r>
          </w:p>
        </w:tc>
        <w:tc>
          <w:tcPr>
            <w:tcW w:type="dxa" w:w="3705"/>
            <w:shd w:val="clear" w:color="auto" w:fill="F7F8FA"/>
          </w:tcPr>
          <w:p>
            <w:pPr>
              <w:spacing w:after="0"/>
            </w:pPr>
            <w:r>
              <w:rPr>
                <w:b w:val="0"/>
                <w:i w:val="0"/>
                <w:sz w:val="18"/>
              </w:rPr>
              <w:t>Year-end close in FCCS</w:t>
            </w:r>
          </w:p>
        </w:tc>
      </w:tr>
    </w:tbl>
    <w:p>
      <w:pPr>
        <w:spacing w:after="40"/>
      </w:pPr>
    </w:p>
    <w:p>
      <w:pPr>
        <w:pStyle w:val="Heading1"/>
      </w:pPr>
      <w:r>
        <w:t>7. Tolerances</w:t>
      </w:r>
    </w:p>
    <w:p>
      <w:r>
        <w:rPr>
          <w:b w:val="0"/>
          <w:i w:val="0"/>
        </w:rPr>
        <w:t>The steering committee delegates day-to-day management to the project manager within these tolerances. If a forecast goes beyond one of them, the project manager raises an exception report and the committee decides.</w:t>
      </w:r>
    </w:p>
    <w:tbl>
      <w:tblPr>
        <w:tblW w:type="dxa" w:w="9752"/>
        <w:jc w:val="left"/>
        <w:tblBorders>
          <w:top w:val="single" w:sz="4" w:color="D5DAE0"/>
          <w:left w:val="single" w:sz="4" w:color="D5DAE0"/>
          <w:bottom w:val="single" w:sz="4" w:color="D5DAE0"/>
          <w:right w:val="single" w:sz="4" w:color="D5DAE0"/>
          <w:insideH w:val="single" w:sz="4" w:color="D5DAE0"/>
          <w:insideV w:val="single" w:sz="4" w:color="D5DAE0"/>
        </w:tblBorders>
        <w:tblLayout w:type="fixed"/>
        <w:tblCellMar>
          <w:top w:w="60" w:type="dxa"/>
          <w:left w:w="100" w:type="dxa"/>
          <w:bottom w:w="60" w:type="dxa"/>
          <w:right w:w="100" w:type="dxa"/>
        </w:tblCellMar>
        <w:tblLook w:firstColumn="1" w:firstRow="1" w:lastColumn="0" w:lastRow="0" w:noHBand="0" w:noVBand="1" w:val="04A0"/>
      </w:tblPr>
      <w:tblGrid>
        <w:gridCol w:w="1560"/>
        <w:gridCol w:w="4876"/>
        <w:gridCol w:w="3315"/>
      </w:tblGrid>
      <w:tr>
        <w:trPr>
          <w:tblHeader w:val="true"/>
        </w:trPr>
        <w:tc>
          <w:tcPr>
            <w:tcW w:type="dxa" w:w="1560"/>
            <w:shd w:val="clear" w:color="auto" w:fill="2F5D62"/>
          </w:tcPr>
          <w:p>
            <w:r>
              <w:rPr>
                <w:b/>
                <w:i w:val="0"/>
                <w:color w:val="FFFFFF"/>
                <w:sz w:val="18"/>
              </w:rPr>
              <w:t>Area</w:t>
            </w:r>
          </w:p>
        </w:tc>
        <w:tc>
          <w:tcPr>
            <w:tcW w:type="dxa" w:w="4876"/>
            <w:shd w:val="clear" w:color="auto" w:fill="2F5D62"/>
          </w:tcPr>
          <w:p>
            <w:r>
              <w:rPr>
                <w:b/>
                <w:i w:val="0"/>
                <w:color w:val="FFFFFF"/>
                <w:sz w:val="18"/>
              </w:rPr>
              <w:t>Tolerance</w:t>
            </w:r>
          </w:p>
        </w:tc>
        <w:tc>
          <w:tcPr>
            <w:tcW w:type="dxa" w:w="3315"/>
            <w:shd w:val="clear" w:color="auto" w:fill="2F5D62"/>
          </w:tcPr>
          <w:p>
            <w:r>
              <w:rPr>
                <w:b/>
                <w:i w:val="0"/>
                <w:color w:val="FFFFFF"/>
                <w:sz w:val="18"/>
              </w:rPr>
              <w:t>Escalation</w:t>
            </w:r>
          </w:p>
        </w:tc>
      </w:tr>
      <w:tr>
        <w:trPr>
          <w:cantSplit w:val="true"/>
        </w:trPr>
        <w:tc>
          <w:tcPr>
            <w:tcW w:type="dxa" w:w="1560"/>
          </w:tcPr>
          <w:p>
            <w:pPr>
              <w:spacing w:after="0"/>
            </w:pPr>
            <w:r>
              <w:rPr>
                <w:b w:val="0"/>
                <w:i w:val="0"/>
                <w:sz w:val="18"/>
              </w:rPr>
              <w:t>Time</w:t>
            </w:r>
          </w:p>
        </w:tc>
        <w:tc>
          <w:tcPr>
            <w:tcW w:type="dxa" w:w="4876"/>
          </w:tcPr>
          <w:p>
            <w:pPr>
              <w:spacing w:after="0"/>
            </w:pPr>
            <w:r>
              <w:rPr>
                <w:b w:val="0"/>
                <w:i w:val="0"/>
                <w:sz w:val="18"/>
              </w:rPr>
              <w:t>±10 working days on each go-live date</w:t>
            </w:r>
          </w:p>
        </w:tc>
        <w:tc>
          <w:tcPr>
            <w:tcW w:type="dxa" w:w="3315"/>
          </w:tcPr>
          <w:p>
            <w:pPr>
              <w:spacing w:after="0"/>
            </w:pPr>
            <w:r>
              <w:rPr>
                <w:b w:val="0"/>
                <w:i w:val="0"/>
                <w:sz w:val="18"/>
              </w:rPr>
              <w:t>Exception report to the steering committee</w:t>
            </w:r>
          </w:p>
        </w:tc>
      </w:tr>
      <w:tr>
        <w:trPr>
          <w:cantSplit w:val="true"/>
        </w:trPr>
        <w:tc>
          <w:tcPr>
            <w:tcW w:type="dxa" w:w="1560"/>
            <w:shd w:val="clear" w:color="auto" w:fill="F7F8FA"/>
          </w:tcPr>
          <w:p>
            <w:pPr>
              <w:spacing w:after="0"/>
            </w:pPr>
            <w:r>
              <w:rPr>
                <w:b w:val="0"/>
                <w:i w:val="0"/>
                <w:sz w:val="18"/>
              </w:rPr>
              <w:t>Cost</w:t>
            </w:r>
          </w:p>
        </w:tc>
        <w:tc>
          <w:tcPr>
            <w:tcW w:type="dxa" w:w="4876"/>
            <w:shd w:val="clear" w:color="auto" w:fill="F7F8FA"/>
          </w:tcPr>
          <w:p>
            <w:pPr>
              <w:spacing w:after="0"/>
            </w:pPr>
            <w:r>
              <w:rPr>
                <w:b w:val="0"/>
                <w:i w:val="0"/>
                <w:sz w:val="18"/>
              </w:rPr>
              <w:t>+5 % of the authorised budget (about 24 k€ on 480 k€)</w:t>
            </w:r>
          </w:p>
        </w:tc>
        <w:tc>
          <w:tcPr>
            <w:tcW w:type="dxa" w:w="3315"/>
            <w:shd w:val="clear" w:color="auto" w:fill="F7F8FA"/>
          </w:tcPr>
          <w:p>
            <w:pPr>
              <w:spacing w:after="0"/>
            </w:pPr>
            <w:r>
              <w:rPr>
                <w:b w:val="0"/>
                <w:i w:val="0"/>
                <w:sz w:val="18"/>
              </w:rPr>
              <w:t>Exception report; contingency released only through a change request</w:t>
            </w:r>
          </w:p>
        </w:tc>
      </w:tr>
      <w:tr>
        <w:trPr>
          <w:cantSplit w:val="true"/>
        </w:trPr>
        <w:tc>
          <w:tcPr>
            <w:tcW w:type="dxa" w:w="1560"/>
          </w:tcPr>
          <w:p>
            <w:pPr>
              <w:spacing w:after="0"/>
            </w:pPr>
            <w:r>
              <w:rPr>
                <w:b w:val="0"/>
                <w:i w:val="0"/>
                <w:sz w:val="18"/>
              </w:rPr>
              <w:t>Scope</w:t>
            </w:r>
          </w:p>
        </w:tc>
        <w:tc>
          <w:tcPr>
            <w:tcW w:type="dxa" w:w="4876"/>
          </w:tcPr>
          <w:p>
            <w:pPr>
              <w:spacing w:after="0"/>
            </w:pPr>
            <w:r>
              <w:rPr>
                <w:b w:val="0"/>
                <w:i w:val="0"/>
                <w:sz w:val="18"/>
              </w:rPr>
              <w:t>All Must requirements delivered; Could items may be deferred by the board</w:t>
            </w:r>
          </w:p>
        </w:tc>
        <w:tc>
          <w:tcPr>
            <w:tcW w:type="dxa" w:w="3315"/>
          </w:tcPr>
          <w:p>
            <w:pPr>
              <w:spacing w:after="0"/>
            </w:pPr>
            <w:r>
              <w:rPr>
                <w:b w:val="0"/>
                <w:i w:val="0"/>
                <w:sz w:val="18"/>
              </w:rPr>
              <w:t>Change request</w:t>
            </w:r>
          </w:p>
        </w:tc>
      </w:tr>
      <w:tr>
        <w:trPr>
          <w:cantSplit w:val="true"/>
        </w:trPr>
        <w:tc>
          <w:tcPr>
            <w:tcW w:type="dxa" w:w="1560"/>
            <w:shd w:val="clear" w:color="auto" w:fill="F7F8FA"/>
          </w:tcPr>
          <w:p>
            <w:pPr>
              <w:spacing w:after="0"/>
            </w:pPr>
            <w:r>
              <w:rPr>
                <w:b w:val="0"/>
                <w:i w:val="0"/>
                <w:sz w:val="18"/>
              </w:rPr>
              <w:t>Quality</w:t>
            </w:r>
          </w:p>
        </w:tc>
        <w:tc>
          <w:tcPr>
            <w:tcW w:type="dxa" w:w="4876"/>
            <w:shd w:val="clear" w:color="auto" w:fill="F7F8FA"/>
          </w:tcPr>
          <w:p>
            <w:pPr>
              <w:spacing w:after="0"/>
            </w:pPr>
            <w:r>
              <w:rPr>
                <w:b w:val="0"/>
                <w:i w:val="0"/>
                <w:sz w:val="18"/>
              </w:rPr>
              <w:t>UAT exit criteria (section 10)</w:t>
            </w:r>
          </w:p>
        </w:tc>
        <w:tc>
          <w:tcPr>
            <w:tcW w:type="dxa" w:w="3315"/>
            <w:shd w:val="clear" w:color="auto" w:fill="F7F8FA"/>
          </w:tcPr>
          <w:p>
            <w:pPr>
              <w:spacing w:after="0"/>
            </w:pPr>
            <w:r>
              <w:rPr>
                <w:b w:val="0"/>
                <w:i w:val="0"/>
                <w:sz w:val="18"/>
              </w:rPr>
              <w:t>No go-live without them, or a documented board decision</w:t>
            </w:r>
          </w:p>
        </w:tc>
      </w:tr>
      <w:tr>
        <w:trPr>
          <w:cantSplit w:val="true"/>
        </w:trPr>
        <w:tc>
          <w:tcPr>
            <w:tcW w:type="dxa" w:w="1560"/>
          </w:tcPr>
          <w:p>
            <w:pPr>
              <w:spacing w:after="0"/>
            </w:pPr>
            <w:r>
              <w:rPr>
                <w:b w:val="0"/>
                <w:i w:val="0"/>
                <w:sz w:val="18"/>
              </w:rPr>
              <w:t>Risk</w:t>
            </w:r>
          </w:p>
        </w:tc>
        <w:tc>
          <w:tcPr>
            <w:tcW w:type="dxa" w:w="4876"/>
          </w:tcPr>
          <w:p>
            <w:pPr>
              <w:spacing w:after="0"/>
            </w:pPr>
            <w:r>
              <w:rPr>
                <w:b w:val="0"/>
                <w:i w:val="0"/>
                <w:sz w:val="18"/>
              </w:rPr>
              <w:t>Any risk scoring 20 or more</w:t>
            </w:r>
          </w:p>
        </w:tc>
        <w:tc>
          <w:tcPr>
            <w:tcW w:type="dxa" w:w="3315"/>
          </w:tcPr>
          <w:p>
            <w:pPr>
              <w:spacing w:after="0"/>
            </w:pPr>
            <w:r>
              <w:rPr>
                <w:b w:val="0"/>
                <w:i w:val="0"/>
                <w:sz w:val="18"/>
              </w:rPr>
              <w:t>Escalated to the sponsor within 48 hours</w:t>
            </w:r>
          </w:p>
        </w:tc>
      </w:tr>
    </w:tbl>
    <w:p>
      <w:pPr>
        <w:spacing w:after="40"/>
      </w:pPr>
    </w:p>
    <w:p>
      <w:pPr>
        <w:pStyle w:val="Heading1"/>
      </w:pPr>
      <w:r>
        <w:t>8. Project controls</w:t>
      </w:r>
    </w:p>
    <w:tbl>
      <w:tblPr>
        <w:tblW w:type="dxa" w:w="9752"/>
        <w:jc w:val="left"/>
        <w:tblBorders>
          <w:top w:val="single" w:sz="4" w:color="D5DAE0"/>
          <w:left w:val="single" w:sz="4" w:color="D5DAE0"/>
          <w:bottom w:val="single" w:sz="4" w:color="D5DAE0"/>
          <w:right w:val="single" w:sz="4" w:color="D5DAE0"/>
          <w:insideH w:val="single" w:sz="4" w:color="D5DAE0"/>
          <w:insideV w:val="single" w:sz="4" w:color="D5DAE0"/>
        </w:tblBorders>
        <w:tblLayout w:type="fixed"/>
        <w:tblCellMar>
          <w:top w:w="60" w:type="dxa"/>
          <w:left w:w="100" w:type="dxa"/>
          <w:bottom w:w="60" w:type="dxa"/>
          <w:right w:w="100" w:type="dxa"/>
        </w:tblCellMar>
        <w:tblLook w:firstColumn="1" w:firstRow="1" w:lastColumn="0" w:lastRow="0" w:noHBand="0" w:noVBand="1" w:val="04A0"/>
      </w:tblPr>
      <w:tblGrid>
        <w:gridCol w:w="2340"/>
        <w:gridCol w:w="1560"/>
        <w:gridCol w:w="2925"/>
        <w:gridCol w:w="2925"/>
      </w:tblGrid>
      <w:tr>
        <w:trPr>
          <w:tblHeader w:val="true"/>
        </w:trPr>
        <w:tc>
          <w:tcPr>
            <w:tcW w:type="dxa" w:w="2340"/>
            <w:shd w:val="clear" w:color="auto" w:fill="2F5D62"/>
          </w:tcPr>
          <w:p>
            <w:r>
              <w:rPr>
                <w:b/>
                <w:i w:val="0"/>
                <w:color w:val="FFFFFF"/>
                <w:sz w:val="18"/>
              </w:rPr>
              <w:t>Control</w:t>
            </w:r>
          </w:p>
        </w:tc>
        <w:tc>
          <w:tcPr>
            <w:tcW w:type="dxa" w:w="1560"/>
            <w:shd w:val="clear" w:color="auto" w:fill="2F5D62"/>
          </w:tcPr>
          <w:p>
            <w:r>
              <w:rPr>
                <w:b/>
                <w:i w:val="0"/>
                <w:color w:val="FFFFFF"/>
                <w:sz w:val="18"/>
              </w:rPr>
              <w:t>Frequency</w:t>
            </w:r>
          </w:p>
        </w:tc>
        <w:tc>
          <w:tcPr>
            <w:tcW w:type="dxa" w:w="2925"/>
            <w:shd w:val="clear" w:color="auto" w:fill="2F5D62"/>
          </w:tcPr>
          <w:p>
            <w:r>
              <w:rPr>
                <w:b/>
                <w:i w:val="0"/>
                <w:color w:val="FFFFFF"/>
                <w:sz w:val="18"/>
              </w:rPr>
              <w:t>Participants</w:t>
            </w:r>
          </w:p>
        </w:tc>
        <w:tc>
          <w:tcPr>
            <w:tcW w:type="dxa" w:w="2925"/>
            <w:shd w:val="clear" w:color="auto" w:fill="2F5D62"/>
          </w:tcPr>
          <w:p>
            <w:r>
              <w:rPr>
                <w:b/>
                <w:i w:val="0"/>
                <w:color w:val="FFFFFF"/>
                <w:sz w:val="18"/>
              </w:rPr>
              <w:t>Output</w:t>
            </w:r>
          </w:p>
        </w:tc>
      </w:tr>
      <w:tr>
        <w:trPr>
          <w:cantSplit w:val="true"/>
        </w:trPr>
        <w:tc>
          <w:tcPr>
            <w:tcW w:type="dxa" w:w="2340"/>
          </w:tcPr>
          <w:p>
            <w:pPr>
              <w:spacing w:after="0"/>
            </w:pPr>
            <w:r>
              <w:rPr>
                <w:b w:val="0"/>
                <w:i w:val="0"/>
                <w:sz w:val="18"/>
              </w:rPr>
              <w:t>Steering committee</w:t>
            </w:r>
          </w:p>
        </w:tc>
        <w:tc>
          <w:tcPr>
            <w:tcW w:type="dxa" w:w="1560"/>
          </w:tcPr>
          <w:p>
            <w:pPr>
              <w:spacing w:after="0"/>
            </w:pPr>
            <w:r>
              <w:rPr>
                <w:b w:val="0"/>
                <w:i w:val="0"/>
                <w:sz w:val="18"/>
              </w:rPr>
              <w:t>Monthly and at each stage end</w:t>
            </w:r>
          </w:p>
        </w:tc>
        <w:tc>
          <w:tcPr>
            <w:tcW w:type="dxa" w:w="2925"/>
          </w:tcPr>
          <w:p>
            <w:pPr>
              <w:spacing w:after="0"/>
            </w:pPr>
            <w:r>
              <w:rPr>
                <w:b w:val="0"/>
                <w:i w:val="0"/>
                <w:sz w:val="18"/>
              </w:rPr>
              <w:t>Project board, project manager</w:t>
            </w:r>
          </w:p>
        </w:tc>
        <w:tc>
          <w:tcPr>
            <w:tcW w:type="dxa" w:w="2925"/>
          </w:tcPr>
          <w:p>
            <w:pPr>
              <w:spacing w:after="0"/>
            </w:pPr>
            <w:r>
              <w:rPr>
                <w:b w:val="0"/>
                <w:i w:val="0"/>
                <w:sz w:val="18"/>
              </w:rPr>
              <w:t>Decisions, highlight report, end stage report</w:t>
            </w:r>
          </w:p>
        </w:tc>
      </w:tr>
      <w:tr>
        <w:trPr>
          <w:cantSplit w:val="true"/>
        </w:trPr>
        <w:tc>
          <w:tcPr>
            <w:tcW w:type="dxa" w:w="2340"/>
            <w:shd w:val="clear" w:color="auto" w:fill="F7F8FA"/>
          </w:tcPr>
          <w:p>
            <w:pPr>
              <w:spacing w:after="0"/>
            </w:pPr>
            <w:r>
              <w:rPr>
                <w:b w:val="0"/>
                <w:i w:val="0"/>
                <w:sz w:val="18"/>
              </w:rPr>
              <w:t>Project committee</w:t>
            </w:r>
          </w:p>
        </w:tc>
        <w:tc>
          <w:tcPr>
            <w:tcW w:type="dxa" w:w="1560"/>
            <w:shd w:val="clear" w:color="auto" w:fill="F7F8FA"/>
          </w:tcPr>
          <w:p>
            <w:pPr>
              <w:spacing w:after="0"/>
            </w:pPr>
            <w:r>
              <w:rPr>
                <w:b w:val="0"/>
                <w:i w:val="0"/>
                <w:sz w:val="18"/>
              </w:rPr>
              <w:t>Weekly</w:t>
            </w:r>
          </w:p>
        </w:tc>
        <w:tc>
          <w:tcPr>
            <w:tcW w:type="dxa" w:w="2925"/>
            <w:shd w:val="clear" w:color="auto" w:fill="F7F8FA"/>
          </w:tcPr>
          <w:p>
            <w:pPr>
              <w:spacing w:after="0"/>
            </w:pPr>
            <w:r>
              <w:rPr>
                <w:b w:val="0"/>
                <w:i w:val="0"/>
                <w:sz w:val="18"/>
              </w:rPr>
              <w:t>Project manager, leads, key users</w:t>
            </w:r>
          </w:p>
        </w:tc>
        <w:tc>
          <w:tcPr>
            <w:tcW w:type="dxa" w:w="2925"/>
            <w:shd w:val="clear" w:color="auto" w:fill="F7F8FA"/>
          </w:tcPr>
          <w:p>
            <w:pPr>
              <w:spacing w:after="0"/>
            </w:pPr>
            <w:r>
              <w:rPr>
                <w:b w:val="0"/>
                <w:i w:val="0"/>
                <w:sz w:val="18"/>
              </w:rPr>
              <w:t>Checkpoint, RAID review</w:t>
            </w:r>
          </w:p>
        </w:tc>
      </w:tr>
      <w:tr>
        <w:trPr>
          <w:cantSplit w:val="true"/>
        </w:trPr>
        <w:tc>
          <w:tcPr>
            <w:tcW w:type="dxa" w:w="2340"/>
          </w:tcPr>
          <w:p>
            <w:pPr>
              <w:spacing w:after="0"/>
            </w:pPr>
            <w:r>
              <w:rPr>
                <w:b w:val="0"/>
                <w:i w:val="0"/>
                <w:sz w:val="18"/>
              </w:rPr>
              <w:t>Stand-up</w:t>
            </w:r>
          </w:p>
        </w:tc>
        <w:tc>
          <w:tcPr>
            <w:tcW w:type="dxa" w:w="1560"/>
          </w:tcPr>
          <w:p>
            <w:pPr>
              <w:spacing w:after="0"/>
            </w:pPr>
            <w:r>
              <w:rPr>
                <w:b w:val="0"/>
                <w:i w:val="0"/>
                <w:sz w:val="18"/>
              </w:rPr>
              <w:t>Daily in build and testing</w:t>
            </w:r>
          </w:p>
        </w:tc>
        <w:tc>
          <w:tcPr>
            <w:tcW w:type="dxa" w:w="2925"/>
          </w:tcPr>
          <w:p>
            <w:pPr>
              <w:spacing w:after="0"/>
            </w:pPr>
            <w:r>
              <w:rPr>
                <w:b w:val="0"/>
                <w:i w:val="0"/>
                <w:sz w:val="18"/>
              </w:rPr>
              <w:t>Project team</w:t>
            </w:r>
          </w:p>
        </w:tc>
        <w:tc>
          <w:tcPr>
            <w:tcW w:type="dxa" w:w="2925"/>
          </w:tcPr>
          <w:p>
            <w:pPr>
              <w:spacing w:after="0"/>
            </w:pPr>
            <w:r>
              <w:rPr>
                <w:b w:val="0"/>
                <w:i w:val="0"/>
                <w:sz w:val="18"/>
              </w:rPr>
              <w:t>Blockers, defect triage</w:t>
            </w:r>
          </w:p>
        </w:tc>
      </w:tr>
      <w:tr>
        <w:trPr>
          <w:cantSplit w:val="true"/>
        </w:trPr>
        <w:tc>
          <w:tcPr>
            <w:tcW w:type="dxa" w:w="2340"/>
            <w:shd w:val="clear" w:color="auto" w:fill="F7F8FA"/>
          </w:tcPr>
          <w:p>
            <w:pPr>
              <w:spacing w:after="0"/>
            </w:pPr>
            <w:r>
              <w:rPr>
                <w:b w:val="0"/>
                <w:i w:val="0"/>
                <w:sz w:val="18"/>
              </w:rPr>
              <w:t>Exception report</w:t>
            </w:r>
          </w:p>
        </w:tc>
        <w:tc>
          <w:tcPr>
            <w:tcW w:type="dxa" w:w="1560"/>
            <w:shd w:val="clear" w:color="auto" w:fill="F7F8FA"/>
          </w:tcPr>
          <w:p>
            <w:pPr>
              <w:spacing w:after="0"/>
            </w:pPr>
            <w:r>
              <w:rPr>
                <w:b w:val="0"/>
                <w:i w:val="0"/>
                <w:sz w:val="18"/>
              </w:rPr>
              <w:t>When a tolerance is forecast to be exceeded</w:t>
            </w:r>
          </w:p>
        </w:tc>
        <w:tc>
          <w:tcPr>
            <w:tcW w:type="dxa" w:w="2925"/>
            <w:shd w:val="clear" w:color="auto" w:fill="F7F8FA"/>
          </w:tcPr>
          <w:p>
            <w:pPr>
              <w:spacing w:after="0"/>
            </w:pPr>
            <w:r>
              <w:rPr>
                <w:b w:val="0"/>
                <w:i w:val="0"/>
                <w:sz w:val="18"/>
              </w:rPr>
              <w:t>Project manager to the board</w:t>
            </w:r>
          </w:p>
        </w:tc>
        <w:tc>
          <w:tcPr>
            <w:tcW w:type="dxa" w:w="2925"/>
            <w:shd w:val="clear" w:color="auto" w:fill="F7F8FA"/>
          </w:tcPr>
          <w:p>
            <w:pPr>
              <w:spacing w:after="0"/>
            </w:pPr>
            <w:r>
              <w:rPr>
                <w:b w:val="0"/>
                <w:i w:val="0"/>
                <w:sz w:val="18"/>
              </w:rPr>
              <w:t>Options and recommendation</w:t>
            </w:r>
          </w:p>
        </w:tc>
      </w:tr>
    </w:tbl>
    <w:p>
      <w:pPr>
        <w:spacing w:after="40"/>
      </w:pPr>
    </w:p>
    <w:p>
      <w:pPr>
        <w:pStyle w:val="Heading2"/>
      </w:pPr>
      <w:r>
        <w:t>Change control</w:t>
      </w:r>
    </w:p>
    <w:p>
      <w:pPr>
        <w:pStyle w:val="ListBullet"/>
      </w:pPr>
      <w:r>
        <w:rPr>
          <w:b w:val="0"/>
          <w:i w:val="0"/>
        </w:rPr>
        <w:t>Every request affecting scope, cost or dates is logged in the change log, costed and assessed.</w:t>
      </w:r>
    </w:p>
    <w:p>
      <w:pPr>
        <w:pStyle w:val="ListBullet"/>
      </w:pPr>
      <w:r>
        <w:rPr>
          <w:b w:val="0"/>
          <w:i w:val="0"/>
        </w:rPr>
        <w:t>The project manager approves requests up to 10 k€ with no effect on a go-live date.</w:t>
      </w:r>
    </w:p>
    <w:p>
      <w:pPr>
        <w:pStyle w:val="ListBullet"/>
      </w:pPr>
      <w:r>
        <w:rPr>
          <w:b w:val="0"/>
          <w:i w:val="0"/>
        </w:rPr>
        <w:t>Above that, or when a go-live moves, the steering committee decides.</w:t>
      </w:r>
    </w:p>
    <w:p>
      <w:pPr>
        <w:pStyle w:val="ListBullet"/>
      </w:pPr>
      <w:r>
        <w:rPr>
          <w:b w:val="0"/>
          <w:i w:val="0"/>
        </w:rPr>
        <w:t>The 48 k€ contingency is released only through approved change requests; the authorised budget is updated accordingly.</w:t>
      </w:r>
    </w:p>
    <w:p>
      <w:pPr>
        <w:pStyle w:val="Heading1"/>
      </w:pPr>
      <w:r>
        <w:t>9. Risk management approach</w:t>
      </w:r>
    </w:p>
    <w:tbl>
      <w:tblPr>
        <w:tblW w:type="dxa" w:w="9752"/>
        <w:jc w:val="left"/>
        <w:tblBorders>
          <w:top w:val="single" w:sz="4" w:color="D5DAE0"/>
          <w:left w:val="single" w:sz="4" w:color="D5DAE0"/>
          <w:bottom w:val="single" w:sz="4" w:color="D5DAE0"/>
          <w:right w:val="single" w:sz="4" w:color="D5DAE0"/>
          <w:insideH w:val="single" w:sz="4" w:color="D5DAE0"/>
          <w:insideV w:val="single" w:sz="4" w:color="D5DAE0"/>
        </w:tblBorders>
        <w:tblLayout w:type="fixed"/>
        <w:tblCellMar>
          <w:top w:w="60" w:type="dxa"/>
          <w:left w:w="100" w:type="dxa"/>
          <w:bottom w:w="60" w:type="dxa"/>
          <w:right w:w="100" w:type="dxa"/>
        </w:tblCellMar>
        <w:tblLook w:firstColumn="1" w:firstRow="1" w:lastColumn="0" w:lastRow="0" w:noHBand="0" w:noVBand="1" w:val="04A0"/>
      </w:tblPr>
      <w:tblGrid>
        <w:gridCol w:w="1170"/>
        <w:gridCol w:w="4291"/>
        <w:gridCol w:w="4291"/>
      </w:tblGrid>
      <w:tr>
        <w:trPr>
          <w:tblHeader w:val="true"/>
        </w:trPr>
        <w:tc>
          <w:tcPr>
            <w:tcW w:type="dxa" w:w="1170"/>
            <w:shd w:val="clear" w:color="auto" w:fill="2F5D62"/>
          </w:tcPr>
          <w:p>
            <w:r>
              <w:rPr>
                <w:b/>
                <w:i w:val="0"/>
                <w:color w:val="FFFFFF"/>
                <w:sz w:val="18"/>
              </w:rPr>
              <w:t>Score</w:t>
            </w:r>
          </w:p>
        </w:tc>
        <w:tc>
          <w:tcPr>
            <w:tcW w:type="dxa" w:w="4291"/>
            <w:shd w:val="clear" w:color="auto" w:fill="2F5D62"/>
          </w:tcPr>
          <w:p>
            <w:r>
              <w:rPr>
                <w:b/>
                <w:i w:val="0"/>
                <w:color w:val="FFFFFF"/>
                <w:sz w:val="18"/>
              </w:rPr>
              <w:t>Probability (P)</w:t>
            </w:r>
          </w:p>
        </w:tc>
        <w:tc>
          <w:tcPr>
            <w:tcW w:type="dxa" w:w="4291"/>
            <w:shd w:val="clear" w:color="auto" w:fill="2F5D62"/>
          </w:tcPr>
          <w:p>
            <w:r>
              <w:rPr>
                <w:b/>
                <w:i w:val="0"/>
                <w:color w:val="FFFFFF"/>
                <w:sz w:val="18"/>
              </w:rPr>
              <w:t>Impact (I)</w:t>
            </w:r>
          </w:p>
        </w:tc>
      </w:tr>
      <w:tr>
        <w:trPr>
          <w:cantSplit w:val="true"/>
        </w:trPr>
        <w:tc>
          <w:tcPr>
            <w:tcW w:type="dxa" w:w="1170"/>
          </w:tcPr>
          <w:p>
            <w:pPr>
              <w:spacing w:after="0"/>
            </w:pPr>
            <w:r>
              <w:rPr>
                <w:b w:val="0"/>
                <w:i w:val="0"/>
                <w:sz w:val="18"/>
              </w:rPr>
              <w:t>1</w:t>
            </w:r>
          </w:p>
        </w:tc>
        <w:tc>
          <w:tcPr>
            <w:tcW w:type="dxa" w:w="4291"/>
          </w:tcPr>
          <w:p>
            <w:pPr>
              <w:spacing w:after="0"/>
            </w:pPr>
            <w:r>
              <w:rPr>
                <w:b w:val="0"/>
                <w:i w:val="0"/>
                <w:sz w:val="18"/>
              </w:rPr>
              <w:t>Rare (under 10 %)</w:t>
            </w:r>
          </w:p>
        </w:tc>
        <w:tc>
          <w:tcPr>
            <w:tcW w:type="dxa" w:w="4291"/>
          </w:tcPr>
          <w:p>
            <w:pPr>
              <w:spacing w:after="0"/>
            </w:pPr>
            <w:r>
              <w:rPr>
                <w:b w:val="0"/>
                <w:i w:val="0"/>
                <w:sz w:val="18"/>
              </w:rPr>
              <w:t>Negligible: absorbed within the stage</w:t>
            </w:r>
          </w:p>
        </w:tc>
      </w:tr>
      <w:tr>
        <w:trPr>
          <w:cantSplit w:val="true"/>
        </w:trPr>
        <w:tc>
          <w:tcPr>
            <w:tcW w:type="dxa" w:w="1170"/>
            <w:shd w:val="clear" w:color="auto" w:fill="F7F8FA"/>
          </w:tcPr>
          <w:p>
            <w:pPr>
              <w:spacing w:after="0"/>
            </w:pPr>
            <w:r>
              <w:rPr>
                <w:b w:val="0"/>
                <w:i w:val="0"/>
                <w:sz w:val="18"/>
              </w:rPr>
              <w:t>2</w:t>
            </w:r>
          </w:p>
        </w:tc>
        <w:tc>
          <w:tcPr>
            <w:tcW w:type="dxa" w:w="4291"/>
            <w:shd w:val="clear" w:color="auto" w:fill="F7F8FA"/>
          </w:tcPr>
          <w:p>
            <w:pPr>
              <w:spacing w:after="0"/>
            </w:pPr>
            <w:r>
              <w:rPr>
                <w:b w:val="0"/>
                <w:i w:val="0"/>
                <w:sz w:val="18"/>
              </w:rPr>
              <w:t>Unlikely (10 to 30 %)</w:t>
            </w:r>
          </w:p>
        </w:tc>
        <w:tc>
          <w:tcPr>
            <w:tcW w:type="dxa" w:w="4291"/>
            <w:shd w:val="clear" w:color="auto" w:fill="F7F8FA"/>
          </w:tcPr>
          <w:p>
            <w:pPr>
              <w:spacing w:after="0"/>
            </w:pPr>
            <w:r>
              <w:rPr>
                <w:b w:val="0"/>
                <w:i w:val="0"/>
                <w:sz w:val="18"/>
              </w:rPr>
              <w:t>Minor: a few days or under 5 k€</w:t>
            </w:r>
          </w:p>
        </w:tc>
      </w:tr>
      <w:tr>
        <w:trPr>
          <w:cantSplit w:val="true"/>
        </w:trPr>
        <w:tc>
          <w:tcPr>
            <w:tcW w:type="dxa" w:w="1170"/>
          </w:tcPr>
          <w:p>
            <w:pPr>
              <w:spacing w:after="0"/>
            </w:pPr>
            <w:r>
              <w:rPr>
                <w:b w:val="0"/>
                <w:i w:val="0"/>
                <w:sz w:val="18"/>
              </w:rPr>
              <w:t>3</w:t>
            </w:r>
          </w:p>
        </w:tc>
        <w:tc>
          <w:tcPr>
            <w:tcW w:type="dxa" w:w="4291"/>
          </w:tcPr>
          <w:p>
            <w:pPr>
              <w:spacing w:after="0"/>
            </w:pPr>
            <w:r>
              <w:rPr>
                <w:b w:val="0"/>
                <w:i w:val="0"/>
                <w:sz w:val="18"/>
              </w:rPr>
              <w:t>Possible (30 to 50 %)</w:t>
            </w:r>
          </w:p>
        </w:tc>
        <w:tc>
          <w:tcPr>
            <w:tcW w:type="dxa" w:w="4291"/>
          </w:tcPr>
          <w:p>
            <w:pPr>
              <w:spacing w:after="0"/>
            </w:pPr>
            <w:r>
              <w:rPr>
                <w:b w:val="0"/>
                <w:i w:val="0"/>
                <w:sz w:val="18"/>
              </w:rPr>
              <w:t>Moderate: a week, or 5 to 15 k€</w:t>
            </w:r>
          </w:p>
        </w:tc>
      </w:tr>
      <w:tr>
        <w:trPr>
          <w:cantSplit w:val="true"/>
        </w:trPr>
        <w:tc>
          <w:tcPr>
            <w:tcW w:type="dxa" w:w="1170"/>
            <w:shd w:val="clear" w:color="auto" w:fill="F7F8FA"/>
          </w:tcPr>
          <w:p>
            <w:pPr>
              <w:spacing w:after="0"/>
            </w:pPr>
            <w:r>
              <w:rPr>
                <w:b w:val="0"/>
                <w:i w:val="0"/>
                <w:sz w:val="18"/>
              </w:rPr>
              <w:t>4</w:t>
            </w:r>
          </w:p>
        </w:tc>
        <w:tc>
          <w:tcPr>
            <w:tcW w:type="dxa" w:w="4291"/>
            <w:shd w:val="clear" w:color="auto" w:fill="F7F8FA"/>
          </w:tcPr>
          <w:p>
            <w:pPr>
              <w:spacing w:after="0"/>
            </w:pPr>
            <w:r>
              <w:rPr>
                <w:b w:val="0"/>
                <w:i w:val="0"/>
                <w:sz w:val="18"/>
              </w:rPr>
              <w:t>Likely (50 to 80 %)</w:t>
            </w:r>
          </w:p>
        </w:tc>
        <w:tc>
          <w:tcPr>
            <w:tcW w:type="dxa" w:w="4291"/>
            <w:shd w:val="clear" w:color="auto" w:fill="F7F8FA"/>
          </w:tcPr>
          <w:p>
            <w:pPr>
              <w:spacing w:after="0"/>
            </w:pPr>
            <w:r>
              <w:rPr>
                <w:b w:val="0"/>
                <w:i w:val="0"/>
                <w:sz w:val="18"/>
              </w:rPr>
              <w:t>Major: threatens a milestone or 15 to 30 k€</w:t>
            </w:r>
          </w:p>
        </w:tc>
      </w:tr>
      <w:tr>
        <w:trPr>
          <w:cantSplit w:val="true"/>
        </w:trPr>
        <w:tc>
          <w:tcPr>
            <w:tcW w:type="dxa" w:w="1170"/>
          </w:tcPr>
          <w:p>
            <w:pPr>
              <w:spacing w:after="0"/>
            </w:pPr>
            <w:r>
              <w:rPr>
                <w:b w:val="0"/>
                <w:i w:val="0"/>
                <w:sz w:val="18"/>
              </w:rPr>
              <w:t>5</w:t>
            </w:r>
          </w:p>
        </w:tc>
        <w:tc>
          <w:tcPr>
            <w:tcW w:type="dxa" w:w="4291"/>
          </w:tcPr>
          <w:p>
            <w:pPr>
              <w:spacing w:after="0"/>
            </w:pPr>
            <w:r>
              <w:rPr>
                <w:b w:val="0"/>
                <w:i w:val="0"/>
                <w:sz w:val="18"/>
              </w:rPr>
              <w:t>Almost certain (over 80 %)</w:t>
            </w:r>
          </w:p>
        </w:tc>
        <w:tc>
          <w:tcPr>
            <w:tcW w:type="dxa" w:w="4291"/>
          </w:tcPr>
          <w:p>
            <w:pPr>
              <w:spacing w:after="0"/>
            </w:pPr>
            <w:r>
              <w:rPr>
                <w:b w:val="0"/>
                <w:i w:val="0"/>
                <w:sz w:val="18"/>
              </w:rPr>
              <w:t>Severe: a go-live date or over 30 k€</w:t>
            </w:r>
          </w:p>
        </w:tc>
      </w:tr>
    </w:tbl>
    <w:p>
      <w:pPr>
        <w:spacing w:after="40"/>
      </w:pPr>
    </w:p>
    <w:p>
      <w:r>
        <w:rPr>
          <w:b w:val="0"/>
          <w:i w:val="0"/>
        </w:rPr>
        <w:t xml:space="preserve">The risk score is P × I. One scale applies to every report: </w:t>
      </w:r>
      <w:r>
        <w:rPr>
          <w:b/>
          <w:i w:val="0"/>
        </w:rPr>
        <w:t>low</w:t>
      </w:r>
      <w:r>
        <w:rPr>
          <w:b w:val="0"/>
          <w:i w:val="0"/>
        </w:rPr>
        <w:t xml:space="preserve"> from 1 to 7, </w:t>
      </w:r>
      <w:r>
        <w:rPr>
          <w:b/>
          <w:i w:val="0"/>
        </w:rPr>
        <w:t>medium</w:t>
      </w:r>
      <w:r>
        <w:rPr>
          <w:b w:val="0"/>
          <w:i w:val="0"/>
        </w:rPr>
        <w:t xml:space="preserve"> from 8 to 14, </w:t>
      </w:r>
      <w:r>
        <w:rPr>
          <w:b/>
          <w:i w:val="0"/>
        </w:rPr>
        <w:t>high</w:t>
      </w:r>
      <w:r>
        <w:rPr>
          <w:b w:val="0"/>
          <w:i w:val="0"/>
        </w:rPr>
        <w:t xml:space="preserve"> from 15, and a score of 20 or more blocks a go-live. Each risk has an owner and one of the PRINCE2 responses: avoid, reduce, fallback, transfer, share or accept. The register is reviewed weekly and presented monthly to the steering committee.</w:t>
      </w:r>
    </w:p>
    <w:tbl>
      <w:tblPr>
        <w:tblW w:type="dxa" w:w="9752"/>
        <w:jc w:val="left"/>
        <w:tblBorders>
          <w:top w:val="single" w:sz="4" w:color="D5DAE0"/>
          <w:left w:val="single" w:sz="4" w:color="D5DAE0"/>
          <w:bottom w:val="single" w:sz="4" w:color="D5DAE0"/>
          <w:right w:val="single" w:sz="4" w:color="D5DAE0"/>
          <w:insideH w:val="single" w:sz="4" w:color="D5DAE0"/>
          <w:insideV w:val="single" w:sz="4" w:color="D5DAE0"/>
        </w:tblBorders>
        <w:tblLayout w:type="fixed"/>
        <w:tblCellMar>
          <w:top w:w="60" w:type="dxa"/>
          <w:left w:w="100" w:type="dxa"/>
          <w:bottom w:w="60" w:type="dxa"/>
          <w:right w:w="100" w:type="dxa"/>
        </w:tblCellMar>
        <w:tblLook w:firstColumn="1" w:firstRow="1" w:lastColumn="0" w:lastRow="0" w:noHBand="0" w:noVBand="1" w:val="04A0"/>
      </w:tblPr>
      <w:tblGrid>
        <w:gridCol w:w="585"/>
        <w:gridCol w:w="3510"/>
        <w:gridCol w:w="487"/>
        <w:gridCol w:w="487"/>
        <w:gridCol w:w="682"/>
        <w:gridCol w:w="1072"/>
        <w:gridCol w:w="2925"/>
      </w:tblGrid>
      <w:tr>
        <w:trPr>
          <w:tblHeader w:val="true"/>
        </w:trPr>
        <w:tc>
          <w:tcPr>
            <w:tcW w:type="dxa" w:w="585"/>
            <w:shd w:val="clear" w:color="auto" w:fill="2F5D62"/>
          </w:tcPr>
          <w:p>
            <w:r>
              <w:rPr>
                <w:b/>
                <w:i w:val="0"/>
                <w:color w:val="FFFFFF"/>
                <w:sz w:val="18"/>
              </w:rPr>
              <w:t>ID</w:t>
            </w:r>
          </w:p>
        </w:tc>
        <w:tc>
          <w:tcPr>
            <w:tcW w:type="dxa" w:w="3510"/>
            <w:shd w:val="clear" w:color="auto" w:fill="2F5D62"/>
          </w:tcPr>
          <w:p>
            <w:r>
              <w:rPr>
                <w:b/>
                <w:i w:val="0"/>
                <w:color w:val="FFFFFF"/>
                <w:sz w:val="18"/>
              </w:rPr>
              <w:t>Initial risk</w:t>
            </w:r>
          </w:p>
        </w:tc>
        <w:tc>
          <w:tcPr>
            <w:tcW w:type="dxa" w:w="488"/>
            <w:shd w:val="clear" w:color="auto" w:fill="2F5D62"/>
          </w:tcPr>
          <w:p>
            <w:r>
              <w:rPr>
                <w:b/>
                <w:i w:val="0"/>
                <w:color w:val="FFFFFF"/>
                <w:sz w:val="18"/>
              </w:rPr>
              <w:t>P</w:t>
            </w:r>
          </w:p>
        </w:tc>
        <w:tc>
          <w:tcPr>
            <w:tcW w:type="dxa" w:w="488"/>
            <w:shd w:val="clear" w:color="auto" w:fill="2F5D62"/>
          </w:tcPr>
          <w:p>
            <w:r>
              <w:rPr>
                <w:b/>
                <w:i w:val="0"/>
                <w:color w:val="FFFFFF"/>
                <w:sz w:val="18"/>
              </w:rPr>
              <w:t>I</w:t>
            </w:r>
          </w:p>
        </w:tc>
        <w:tc>
          <w:tcPr>
            <w:tcW w:type="dxa" w:w="683"/>
            <w:shd w:val="clear" w:color="auto" w:fill="2F5D62"/>
          </w:tcPr>
          <w:p>
            <w:r>
              <w:rPr>
                <w:b/>
                <w:i w:val="0"/>
                <w:color w:val="FFFFFF"/>
                <w:sz w:val="18"/>
              </w:rPr>
              <w:t>Score</w:t>
            </w:r>
          </w:p>
        </w:tc>
        <w:tc>
          <w:tcPr>
            <w:tcW w:type="dxa" w:w="1073"/>
            <w:shd w:val="clear" w:color="auto" w:fill="2F5D62"/>
          </w:tcPr>
          <w:p>
            <w:r>
              <w:rPr>
                <w:b/>
                <w:i w:val="0"/>
                <w:color w:val="FFFFFF"/>
                <w:sz w:val="18"/>
              </w:rPr>
              <w:t>Owner</w:t>
            </w:r>
          </w:p>
        </w:tc>
        <w:tc>
          <w:tcPr>
            <w:tcW w:type="dxa" w:w="2925"/>
            <w:shd w:val="clear" w:color="auto" w:fill="2F5D62"/>
          </w:tcPr>
          <w:p>
            <w:r>
              <w:rPr>
                <w:b/>
                <w:i w:val="0"/>
                <w:color w:val="FFFFFF"/>
                <w:sz w:val="18"/>
              </w:rPr>
              <w:t>Response</w:t>
            </w:r>
          </w:p>
        </w:tc>
      </w:tr>
      <w:tr>
        <w:trPr>
          <w:cantSplit w:val="true"/>
        </w:trPr>
        <w:tc>
          <w:tcPr>
            <w:tcW w:type="dxa" w:w="585"/>
          </w:tcPr>
          <w:p>
            <w:pPr>
              <w:spacing w:after="0"/>
            </w:pPr>
            <w:r>
              <w:rPr>
                <w:b w:val="0"/>
                <w:i w:val="0"/>
                <w:sz w:val="18"/>
              </w:rPr>
              <w:t>R1</w:t>
            </w:r>
          </w:p>
        </w:tc>
        <w:tc>
          <w:tcPr>
            <w:tcW w:type="dxa" w:w="3510"/>
          </w:tcPr>
          <w:p>
            <w:pPr>
              <w:spacing w:after="0"/>
            </w:pPr>
            <w:r>
              <w:rPr>
                <w:b w:val="0"/>
                <w:i w:val="0"/>
                <w:sz w:val="18"/>
              </w:rPr>
              <w:t>Poor quality of historical ERP data</w:t>
            </w:r>
          </w:p>
        </w:tc>
        <w:tc>
          <w:tcPr>
            <w:tcW w:type="dxa" w:w="488"/>
          </w:tcPr>
          <w:p>
            <w:pPr>
              <w:spacing w:after="0"/>
            </w:pPr>
            <w:r>
              <w:rPr>
                <w:b w:val="0"/>
                <w:i w:val="0"/>
                <w:sz w:val="18"/>
              </w:rPr>
              <w:t>4</w:t>
            </w:r>
          </w:p>
        </w:tc>
        <w:tc>
          <w:tcPr>
            <w:tcW w:type="dxa" w:w="488"/>
          </w:tcPr>
          <w:p>
            <w:pPr>
              <w:spacing w:after="0"/>
            </w:pPr>
            <w:r>
              <w:rPr>
                <w:b w:val="0"/>
                <w:i w:val="0"/>
                <w:sz w:val="18"/>
              </w:rPr>
              <w:t>4</w:t>
            </w:r>
          </w:p>
        </w:tc>
        <w:tc>
          <w:tcPr>
            <w:tcW w:type="dxa" w:w="683"/>
          </w:tcPr>
          <w:p>
            <w:pPr>
              <w:spacing w:after="0"/>
            </w:pPr>
            <w:r>
              <w:rPr>
                <w:b w:val="0"/>
                <w:i w:val="0"/>
                <w:sz w:val="18"/>
              </w:rPr>
              <w:t>16</w:t>
            </w:r>
          </w:p>
        </w:tc>
        <w:tc>
          <w:tcPr>
            <w:tcW w:type="dxa" w:w="1073"/>
          </w:tcPr>
          <w:p>
            <w:pPr>
              <w:spacing w:after="0"/>
            </w:pPr>
            <w:r>
              <w:rPr>
                <w:b w:val="0"/>
                <w:i w:val="0"/>
                <w:sz w:val="18"/>
              </w:rPr>
              <w:t>IT</w:t>
            </w:r>
          </w:p>
        </w:tc>
        <w:tc>
          <w:tcPr>
            <w:tcW w:type="dxa" w:w="2925"/>
          </w:tcPr>
          <w:p>
            <w:pPr>
              <w:spacing w:after="0"/>
            </w:pPr>
            <w:r>
              <w:rPr>
                <w:b w:val="0"/>
                <w:i w:val="0"/>
                <w:sz w:val="18"/>
              </w:rPr>
              <w:t>Reduce: cleansing, monthly reconciliation</w:t>
            </w:r>
          </w:p>
        </w:tc>
      </w:tr>
      <w:tr>
        <w:trPr>
          <w:cantSplit w:val="true"/>
        </w:trPr>
        <w:tc>
          <w:tcPr>
            <w:tcW w:type="dxa" w:w="585"/>
            <w:shd w:val="clear" w:color="auto" w:fill="F7F8FA"/>
          </w:tcPr>
          <w:p>
            <w:pPr>
              <w:spacing w:after="0"/>
            </w:pPr>
            <w:r>
              <w:rPr>
                <w:b w:val="0"/>
                <w:i w:val="0"/>
                <w:sz w:val="18"/>
              </w:rPr>
              <w:t>R2</w:t>
            </w:r>
          </w:p>
        </w:tc>
        <w:tc>
          <w:tcPr>
            <w:tcW w:type="dxa" w:w="3510"/>
            <w:shd w:val="clear" w:color="auto" w:fill="F7F8FA"/>
          </w:tcPr>
          <w:p>
            <w:pPr>
              <w:spacing w:after="0"/>
            </w:pPr>
            <w:r>
              <w:rPr>
                <w:b w:val="0"/>
                <w:i w:val="0"/>
                <w:sz w:val="18"/>
              </w:rPr>
              <w:t>Key users unavailable during testing (budget season)</w:t>
            </w:r>
          </w:p>
        </w:tc>
        <w:tc>
          <w:tcPr>
            <w:tcW w:type="dxa" w:w="488"/>
            <w:shd w:val="clear" w:color="auto" w:fill="F7F8FA"/>
          </w:tcPr>
          <w:p>
            <w:pPr>
              <w:spacing w:after="0"/>
            </w:pPr>
            <w:r>
              <w:rPr>
                <w:b w:val="0"/>
                <w:i w:val="0"/>
                <w:sz w:val="18"/>
              </w:rPr>
              <w:t>4</w:t>
            </w:r>
          </w:p>
        </w:tc>
        <w:tc>
          <w:tcPr>
            <w:tcW w:type="dxa" w:w="488"/>
            <w:shd w:val="clear" w:color="auto" w:fill="F7F8FA"/>
          </w:tcPr>
          <w:p>
            <w:pPr>
              <w:spacing w:after="0"/>
            </w:pPr>
            <w:r>
              <w:rPr>
                <w:b w:val="0"/>
                <w:i w:val="0"/>
                <w:sz w:val="18"/>
              </w:rPr>
              <w:t>3</w:t>
            </w:r>
          </w:p>
        </w:tc>
        <w:tc>
          <w:tcPr>
            <w:tcW w:type="dxa" w:w="683"/>
            <w:shd w:val="clear" w:color="auto" w:fill="F7F8FA"/>
          </w:tcPr>
          <w:p>
            <w:pPr>
              <w:spacing w:after="0"/>
            </w:pPr>
            <w:r>
              <w:rPr>
                <w:b w:val="0"/>
                <w:i w:val="0"/>
                <w:sz w:val="18"/>
              </w:rPr>
              <w:t>12</w:t>
            </w:r>
          </w:p>
        </w:tc>
        <w:tc>
          <w:tcPr>
            <w:tcW w:type="dxa" w:w="1073"/>
            <w:shd w:val="clear" w:color="auto" w:fill="F7F8FA"/>
          </w:tcPr>
          <w:p>
            <w:pPr>
              <w:spacing w:after="0"/>
            </w:pPr>
            <w:r>
              <w:rPr>
                <w:b w:val="0"/>
                <w:i w:val="0"/>
                <w:sz w:val="18"/>
              </w:rPr>
              <w:t>Sponsor</w:t>
            </w:r>
          </w:p>
        </w:tc>
        <w:tc>
          <w:tcPr>
            <w:tcW w:type="dxa" w:w="2925"/>
            <w:shd w:val="clear" w:color="auto" w:fill="F7F8FA"/>
          </w:tcPr>
          <w:p>
            <w:pPr>
              <w:spacing w:after="0"/>
            </w:pPr>
            <w:r>
              <w:rPr>
                <w:b w:val="0"/>
                <w:i w:val="0"/>
                <w:sz w:val="18"/>
              </w:rPr>
              <w:t>Reduce: test calendar agreed by the CFO</w:t>
            </w:r>
          </w:p>
        </w:tc>
      </w:tr>
      <w:tr>
        <w:trPr>
          <w:cantSplit w:val="true"/>
        </w:trPr>
        <w:tc>
          <w:tcPr>
            <w:tcW w:type="dxa" w:w="585"/>
          </w:tcPr>
          <w:p>
            <w:pPr>
              <w:spacing w:after="0"/>
            </w:pPr>
            <w:r>
              <w:rPr>
                <w:b w:val="0"/>
                <w:i w:val="0"/>
                <w:sz w:val="18"/>
              </w:rPr>
              <w:t>R3</w:t>
            </w:r>
          </w:p>
        </w:tc>
        <w:tc>
          <w:tcPr>
            <w:tcW w:type="dxa" w:w="3510"/>
          </w:tcPr>
          <w:p>
            <w:pPr>
              <w:spacing w:after="0"/>
            </w:pPr>
            <w:r>
              <w:rPr>
                <w:b w:val="0"/>
                <w:i w:val="0"/>
                <w:sz w:val="18"/>
              </w:rPr>
              <w:t>Delay in the ERP data flows</w:t>
            </w:r>
          </w:p>
        </w:tc>
        <w:tc>
          <w:tcPr>
            <w:tcW w:type="dxa" w:w="488"/>
          </w:tcPr>
          <w:p>
            <w:pPr>
              <w:spacing w:after="0"/>
            </w:pPr>
            <w:r>
              <w:rPr>
                <w:b w:val="0"/>
                <w:i w:val="0"/>
                <w:sz w:val="18"/>
              </w:rPr>
              <w:t>3</w:t>
            </w:r>
          </w:p>
        </w:tc>
        <w:tc>
          <w:tcPr>
            <w:tcW w:type="dxa" w:w="488"/>
          </w:tcPr>
          <w:p>
            <w:pPr>
              <w:spacing w:after="0"/>
            </w:pPr>
            <w:r>
              <w:rPr>
                <w:b w:val="0"/>
                <w:i w:val="0"/>
                <w:sz w:val="18"/>
              </w:rPr>
              <w:t>4</w:t>
            </w:r>
          </w:p>
        </w:tc>
        <w:tc>
          <w:tcPr>
            <w:tcW w:type="dxa" w:w="683"/>
          </w:tcPr>
          <w:p>
            <w:pPr>
              <w:spacing w:after="0"/>
            </w:pPr>
            <w:r>
              <w:rPr>
                <w:b w:val="0"/>
                <w:i w:val="0"/>
                <w:sz w:val="18"/>
              </w:rPr>
              <w:t>12</w:t>
            </w:r>
          </w:p>
        </w:tc>
        <w:tc>
          <w:tcPr>
            <w:tcW w:type="dxa" w:w="1073"/>
          </w:tcPr>
          <w:p>
            <w:pPr>
              <w:spacing w:after="0"/>
            </w:pPr>
            <w:r>
              <w:rPr>
                <w:b w:val="0"/>
                <w:i w:val="0"/>
                <w:sz w:val="18"/>
              </w:rPr>
              <w:t>IT</w:t>
            </w:r>
          </w:p>
        </w:tc>
        <w:tc>
          <w:tcPr>
            <w:tcW w:type="dxa" w:w="2925"/>
          </w:tcPr>
          <w:p>
            <w:pPr>
              <w:spacing w:after="0"/>
            </w:pPr>
            <w:r>
              <w:rPr>
                <w:b w:val="0"/>
                <w:i w:val="0"/>
                <w:sz w:val="18"/>
              </w:rPr>
              <w:t>Fallback: manual file loads</w:t>
            </w:r>
          </w:p>
        </w:tc>
      </w:tr>
      <w:tr>
        <w:trPr>
          <w:cantSplit w:val="true"/>
        </w:trPr>
        <w:tc>
          <w:tcPr>
            <w:tcW w:type="dxa" w:w="585"/>
            <w:shd w:val="clear" w:color="auto" w:fill="F7F8FA"/>
          </w:tcPr>
          <w:p>
            <w:pPr>
              <w:spacing w:after="0"/>
            </w:pPr>
            <w:r>
              <w:rPr>
                <w:b w:val="0"/>
                <w:i w:val="0"/>
                <w:sz w:val="18"/>
              </w:rPr>
              <w:t>R4</w:t>
            </w:r>
          </w:p>
        </w:tc>
        <w:tc>
          <w:tcPr>
            <w:tcW w:type="dxa" w:w="3510"/>
            <w:shd w:val="clear" w:color="auto" w:fill="F7F8FA"/>
          </w:tcPr>
          <w:p>
            <w:pPr>
              <w:spacing w:after="0"/>
            </w:pPr>
            <w:r>
              <w:rPr>
                <w:b w:val="0"/>
                <w:i w:val="0"/>
                <w:sz w:val="18"/>
              </w:rPr>
              <w:t>Complex consolidation rules (NCI, FX)</w:t>
            </w:r>
          </w:p>
        </w:tc>
        <w:tc>
          <w:tcPr>
            <w:tcW w:type="dxa" w:w="488"/>
            <w:shd w:val="clear" w:color="auto" w:fill="F7F8FA"/>
          </w:tcPr>
          <w:p>
            <w:pPr>
              <w:spacing w:after="0"/>
            </w:pPr>
            <w:r>
              <w:rPr>
                <w:b w:val="0"/>
                <w:i w:val="0"/>
                <w:sz w:val="18"/>
              </w:rPr>
              <w:t>2</w:t>
            </w:r>
          </w:p>
        </w:tc>
        <w:tc>
          <w:tcPr>
            <w:tcW w:type="dxa" w:w="488"/>
            <w:shd w:val="clear" w:color="auto" w:fill="F7F8FA"/>
          </w:tcPr>
          <w:p>
            <w:pPr>
              <w:spacing w:after="0"/>
            </w:pPr>
            <w:r>
              <w:rPr>
                <w:b w:val="0"/>
                <w:i w:val="0"/>
                <w:sz w:val="18"/>
              </w:rPr>
              <w:t>4</w:t>
            </w:r>
          </w:p>
        </w:tc>
        <w:tc>
          <w:tcPr>
            <w:tcW w:type="dxa" w:w="683"/>
            <w:shd w:val="clear" w:color="auto" w:fill="F7F8FA"/>
          </w:tcPr>
          <w:p>
            <w:pPr>
              <w:spacing w:after="0"/>
            </w:pPr>
            <w:r>
              <w:rPr>
                <w:b w:val="0"/>
                <w:i w:val="0"/>
                <w:sz w:val="18"/>
              </w:rPr>
              <w:t>8</w:t>
            </w:r>
          </w:p>
        </w:tc>
        <w:tc>
          <w:tcPr>
            <w:tcW w:type="dxa" w:w="1073"/>
            <w:shd w:val="clear" w:color="auto" w:fill="F7F8FA"/>
          </w:tcPr>
          <w:p>
            <w:pPr>
              <w:spacing w:after="0"/>
            </w:pPr>
            <w:r>
              <w:rPr>
                <w:b w:val="0"/>
                <w:i w:val="0"/>
                <w:sz w:val="18"/>
              </w:rPr>
              <w:t>Consol.</w:t>
            </w:r>
          </w:p>
        </w:tc>
        <w:tc>
          <w:tcPr>
            <w:tcW w:type="dxa" w:w="2925"/>
            <w:shd w:val="clear" w:color="auto" w:fill="F7F8FA"/>
          </w:tcPr>
          <w:p>
            <w:pPr>
              <w:spacing w:after="0"/>
            </w:pPr>
            <w:r>
              <w:rPr>
                <w:b w:val="0"/>
                <w:i w:val="0"/>
                <w:sz w:val="18"/>
              </w:rPr>
              <w:t>Reduce: dedicated tests, auditor review</w:t>
            </w:r>
          </w:p>
        </w:tc>
      </w:tr>
      <w:tr>
        <w:trPr>
          <w:cantSplit w:val="true"/>
        </w:trPr>
        <w:tc>
          <w:tcPr>
            <w:tcW w:type="dxa" w:w="585"/>
          </w:tcPr>
          <w:p>
            <w:pPr>
              <w:spacing w:after="0"/>
            </w:pPr>
            <w:r>
              <w:rPr>
                <w:b w:val="0"/>
                <w:i w:val="0"/>
                <w:sz w:val="18"/>
              </w:rPr>
              <w:t>R5</w:t>
            </w:r>
          </w:p>
        </w:tc>
        <w:tc>
          <w:tcPr>
            <w:tcW w:type="dxa" w:w="3510"/>
          </w:tcPr>
          <w:p>
            <w:pPr>
              <w:spacing w:after="0"/>
            </w:pPr>
            <w:r>
              <w:rPr>
                <w:b w:val="0"/>
                <w:i w:val="0"/>
                <w:sz w:val="18"/>
              </w:rPr>
              <w:t>Resistance to change (Excel habits)</w:t>
            </w:r>
          </w:p>
        </w:tc>
        <w:tc>
          <w:tcPr>
            <w:tcW w:type="dxa" w:w="488"/>
          </w:tcPr>
          <w:p>
            <w:pPr>
              <w:spacing w:after="0"/>
            </w:pPr>
            <w:r>
              <w:rPr>
                <w:b w:val="0"/>
                <w:i w:val="0"/>
                <w:sz w:val="18"/>
              </w:rPr>
              <w:t>3</w:t>
            </w:r>
          </w:p>
        </w:tc>
        <w:tc>
          <w:tcPr>
            <w:tcW w:type="dxa" w:w="488"/>
          </w:tcPr>
          <w:p>
            <w:pPr>
              <w:spacing w:after="0"/>
            </w:pPr>
            <w:r>
              <w:rPr>
                <w:b w:val="0"/>
                <w:i w:val="0"/>
                <w:sz w:val="18"/>
              </w:rPr>
              <w:t>3</w:t>
            </w:r>
          </w:p>
        </w:tc>
        <w:tc>
          <w:tcPr>
            <w:tcW w:type="dxa" w:w="683"/>
          </w:tcPr>
          <w:p>
            <w:pPr>
              <w:spacing w:after="0"/>
            </w:pPr>
            <w:r>
              <w:rPr>
                <w:b w:val="0"/>
                <w:i w:val="0"/>
                <w:sz w:val="18"/>
              </w:rPr>
              <w:t>9</w:t>
            </w:r>
          </w:p>
        </w:tc>
        <w:tc>
          <w:tcPr>
            <w:tcW w:type="dxa" w:w="1073"/>
          </w:tcPr>
          <w:p>
            <w:pPr>
              <w:spacing w:after="0"/>
            </w:pPr>
            <w:r>
              <w:rPr>
                <w:b w:val="0"/>
                <w:i w:val="0"/>
                <w:sz w:val="18"/>
              </w:rPr>
              <w:t>PM</w:t>
            </w:r>
          </w:p>
        </w:tc>
        <w:tc>
          <w:tcPr>
            <w:tcW w:type="dxa" w:w="2925"/>
          </w:tcPr>
          <w:p>
            <w:pPr>
              <w:spacing w:after="0"/>
            </w:pPr>
            <w:r>
              <w:rPr>
                <w:b w:val="0"/>
                <w:i w:val="0"/>
                <w:sz w:val="18"/>
              </w:rPr>
              <w:t>Reduce: champions, demos, hands-on training</w:t>
            </w:r>
          </w:p>
        </w:tc>
      </w:tr>
      <w:tr>
        <w:trPr>
          <w:cantSplit w:val="true"/>
        </w:trPr>
        <w:tc>
          <w:tcPr>
            <w:tcW w:type="dxa" w:w="585"/>
            <w:shd w:val="clear" w:color="auto" w:fill="F7F8FA"/>
          </w:tcPr>
          <w:p>
            <w:pPr>
              <w:spacing w:after="0"/>
            </w:pPr>
            <w:r>
              <w:rPr>
                <w:b w:val="0"/>
                <w:i w:val="0"/>
                <w:sz w:val="18"/>
              </w:rPr>
              <w:t>R8</w:t>
            </w:r>
          </w:p>
        </w:tc>
        <w:tc>
          <w:tcPr>
            <w:tcW w:type="dxa" w:w="3510"/>
            <w:shd w:val="clear" w:color="auto" w:fill="F7F8FA"/>
          </w:tcPr>
          <w:p>
            <w:pPr>
              <w:spacing w:after="0"/>
            </w:pPr>
            <w:r>
              <w:rPr>
                <w:b w:val="0"/>
                <w:i w:val="0"/>
                <w:sz w:val="18"/>
              </w:rPr>
              <w:t>Project budget overrun</w:t>
            </w:r>
          </w:p>
        </w:tc>
        <w:tc>
          <w:tcPr>
            <w:tcW w:type="dxa" w:w="488"/>
            <w:shd w:val="clear" w:color="auto" w:fill="F7F8FA"/>
          </w:tcPr>
          <w:p>
            <w:pPr>
              <w:spacing w:after="0"/>
            </w:pPr>
            <w:r>
              <w:rPr>
                <w:b w:val="0"/>
                <w:i w:val="0"/>
                <w:sz w:val="18"/>
              </w:rPr>
              <w:t>3</w:t>
            </w:r>
          </w:p>
        </w:tc>
        <w:tc>
          <w:tcPr>
            <w:tcW w:type="dxa" w:w="488"/>
            <w:shd w:val="clear" w:color="auto" w:fill="F7F8FA"/>
          </w:tcPr>
          <w:p>
            <w:pPr>
              <w:spacing w:after="0"/>
            </w:pPr>
            <w:r>
              <w:rPr>
                <w:b w:val="0"/>
                <w:i w:val="0"/>
                <w:sz w:val="18"/>
              </w:rPr>
              <w:t>3</w:t>
            </w:r>
          </w:p>
        </w:tc>
        <w:tc>
          <w:tcPr>
            <w:tcW w:type="dxa" w:w="683"/>
            <w:shd w:val="clear" w:color="auto" w:fill="F7F8FA"/>
          </w:tcPr>
          <w:p>
            <w:pPr>
              <w:spacing w:after="0"/>
            </w:pPr>
            <w:r>
              <w:rPr>
                <w:b w:val="0"/>
                <w:i w:val="0"/>
                <w:sz w:val="18"/>
              </w:rPr>
              <w:t>9</w:t>
            </w:r>
          </w:p>
        </w:tc>
        <w:tc>
          <w:tcPr>
            <w:tcW w:type="dxa" w:w="1073"/>
            <w:shd w:val="clear" w:color="auto" w:fill="F7F8FA"/>
          </w:tcPr>
          <w:p>
            <w:pPr>
              <w:spacing w:after="0"/>
            </w:pPr>
            <w:r>
              <w:rPr>
                <w:b w:val="0"/>
                <w:i w:val="0"/>
                <w:sz w:val="18"/>
              </w:rPr>
              <w:t>PM</w:t>
            </w:r>
          </w:p>
        </w:tc>
        <w:tc>
          <w:tcPr>
            <w:tcW w:type="dxa" w:w="2925"/>
            <w:shd w:val="clear" w:color="auto" w:fill="F7F8FA"/>
          </w:tcPr>
          <w:p>
            <w:pPr>
              <w:spacing w:after="0"/>
            </w:pPr>
            <w:r>
              <w:rPr>
                <w:b w:val="0"/>
                <w:i w:val="0"/>
                <w:sz w:val="18"/>
              </w:rPr>
              <w:t>Reduce: monthly earned value, scope trade-offs</w:t>
            </w:r>
          </w:p>
        </w:tc>
      </w:tr>
    </w:tbl>
    <w:p>
      <w:pPr>
        <w:spacing w:after="40"/>
      </w:pPr>
    </w:p>
    <w:p>
      <w:pPr>
        <w:pStyle w:val="Heading1"/>
      </w:pPr>
      <w:r>
        <w:t>10. Quality management approach</w:t>
      </w:r>
    </w:p>
    <w:tbl>
      <w:tblPr>
        <w:tblW w:type="dxa" w:w="9752"/>
        <w:jc w:val="left"/>
        <w:tblBorders>
          <w:top w:val="single" w:sz="4" w:color="D5DAE0"/>
          <w:left w:val="single" w:sz="4" w:color="D5DAE0"/>
          <w:bottom w:val="single" w:sz="4" w:color="D5DAE0"/>
          <w:right w:val="single" w:sz="4" w:color="D5DAE0"/>
          <w:insideH w:val="single" w:sz="4" w:color="D5DAE0"/>
          <w:insideV w:val="single" w:sz="4" w:color="D5DAE0"/>
        </w:tblBorders>
        <w:tblLayout w:type="fixed"/>
        <w:tblCellMar>
          <w:top w:w="60" w:type="dxa"/>
          <w:left w:w="100" w:type="dxa"/>
          <w:bottom w:w="60" w:type="dxa"/>
          <w:right w:w="100" w:type="dxa"/>
        </w:tblCellMar>
        <w:tblLook w:firstColumn="1" w:firstRow="1" w:lastColumn="0" w:lastRow="0" w:noHBand="0" w:noVBand="1" w:val="04A0"/>
      </w:tblPr>
      <w:tblGrid>
        <w:gridCol w:w="2535"/>
        <w:gridCol w:w="2340"/>
        <w:gridCol w:w="4876"/>
      </w:tblGrid>
      <w:tr>
        <w:trPr>
          <w:tblHeader w:val="true"/>
        </w:trPr>
        <w:tc>
          <w:tcPr>
            <w:tcW w:type="dxa" w:w="2535"/>
            <w:shd w:val="clear" w:color="auto" w:fill="2F5D62"/>
          </w:tcPr>
          <w:p>
            <w:r>
              <w:rPr>
                <w:b/>
                <w:i w:val="0"/>
                <w:color w:val="FFFFFF"/>
                <w:sz w:val="18"/>
              </w:rPr>
              <w:t>Test stage</w:t>
            </w:r>
          </w:p>
        </w:tc>
        <w:tc>
          <w:tcPr>
            <w:tcW w:type="dxa" w:w="2340"/>
            <w:shd w:val="clear" w:color="auto" w:fill="2F5D62"/>
          </w:tcPr>
          <w:p>
            <w:r>
              <w:rPr>
                <w:b/>
                <w:i w:val="0"/>
                <w:color w:val="FFFFFF"/>
                <w:sz w:val="18"/>
              </w:rPr>
              <w:t>Who</w:t>
            </w:r>
          </w:p>
        </w:tc>
        <w:tc>
          <w:tcPr>
            <w:tcW w:type="dxa" w:w="4876"/>
            <w:shd w:val="clear" w:color="auto" w:fill="2F5D62"/>
          </w:tcPr>
          <w:p>
            <w:r>
              <w:rPr>
                <w:b/>
                <w:i w:val="0"/>
                <w:color w:val="FFFFFF"/>
                <w:sz w:val="18"/>
              </w:rPr>
              <w:t>Purpose</w:t>
            </w:r>
          </w:p>
        </w:tc>
      </w:tr>
      <w:tr>
        <w:trPr>
          <w:cantSplit w:val="true"/>
        </w:trPr>
        <w:tc>
          <w:tcPr>
            <w:tcW w:type="dxa" w:w="2535"/>
          </w:tcPr>
          <w:p>
            <w:pPr>
              <w:spacing w:after="0"/>
            </w:pPr>
            <w:r>
              <w:rPr>
                <w:b w:val="0"/>
                <w:i w:val="0"/>
                <w:sz w:val="18"/>
              </w:rPr>
              <w:t>Configuration tests</w:t>
            </w:r>
          </w:p>
        </w:tc>
        <w:tc>
          <w:tcPr>
            <w:tcW w:type="dxa" w:w="2340"/>
          </w:tcPr>
          <w:p>
            <w:pPr>
              <w:spacing w:after="0"/>
            </w:pPr>
            <w:r>
              <w:rPr>
                <w:b w:val="0"/>
                <w:i w:val="0"/>
                <w:sz w:val="18"/>
              </w:rPr>
              <w:t>Consultants</w:t>
            </w:r>
          </w:p>
        </w:tc>
        <w:tc>
          <w:tcPr>
            <w:tcW w:type="dxa" w:w="4876"/>
          </w:tcPr>
          <w:p>
            <w:pPr>
              <w:spacing w:after="0"/>
            </w:pPr>
            <w:r>
              <w:rPr>
                <w:b w:val="0"/>
                <w:i w:val="0"/>
                <w:sz w:val="18"/>
              </w:rPr>
              <w:t>Each form, rule and report works as designed</w:t>
            </w:r>
          </w:p>
        </w:tc>
      </w:tr>
      <w:tr>
        <w:trPr>
          <w:cantSplit w:val="true"/>
        </w:trPr>
        <w:tc>
          <w:tcPr>
            <w:tcW w:type="dxa" w:w="2535"/>
            <w:shd w:val="clear" w:color="auto" w:fill="F7F8FA"/>
          </w:tcPr>
          <w:p>
            <w:pPr>
              <w:spacing w:after="0"/>
            </w:pPr>
            <w:r>
              <w:rPr>
                <w:b w:val="0"/>
                <w:i w:val="0"/>
                <w:sz w:val="18"/>
              </w:rPr>
              <w:t>System integration testing (SIT)</w:t>
            </w:r>
          </w:p>
        </w:tc>
        <w:tc>
          <w:tcPr>
            <w:tcW w:type="dxa" w:w="2340"/>
            <w:shd w:val="clear" w:color="auto" w:fill="F7F8FA"/>
          </w:tcPr>
          <w:p>
            <w:pPr>
              <w:spacing w:after="0"/>
            </w:pPr>
            <w:r>
              <w:rPr>
                <w:b w:val="0"/>
                <w:i w:val="0"/>
                <w:sz w:val="18"/>
              </w:rPr>
              <w:t>Consultants, IT</w:t>
            </w:r>
          </w:p>
        </w:tc>
        <w:tc>
          <w:tcPr>
            <w:tcW w:type="dxa" w:w="4876"/>
            <w:shd w:val="clear" w:color="auto" w:fill="F7F8FA"/>
          </w:tcPr>
          <w:p>
            <w:pPr>
              <w:spacing w:after="0"/>
            </w:pPr>
            <w:r>
              <w:rPr>
                <w:b w:val="0"/>
                <w:i w:val="0"/>
                <w:sz w:val="18"/>
              </w:rPr>
              <w:t>End-to-end flows from the ERP to the reports</w:t>
            </w:r>
          </w:p>
        </w:tc>
      </w:tr>
      <w:tr>
        <w:trPr>
          <w:cantSplit w:val="true"/>
        </w:trPr>
        <w:tc>
          <w:tcPr>
            <w:tcW w:type="dxa" w:w="2535"/>
          </w:tcPr>
          <w:p>
            <w:pPr>
              <w:spacing w:after="0"/>
            </w:pPr>
            <w:r>
              <w:rPr>
                <w:b w:val="0"/>
                <w:i w:val="0"/>
                <w:sz w:val="18"/>
              </w:rPr>
              <w:t>User acceptance testing (UAT)</w:t>
            </w:r>
          </w:p>
        </w:tc>
        <w:tc>
          <w:tcPr>
            <w:tcW w:type="dxa" w:w="2340"/>
          </w:tcPr>
          <w:p>
            <w:pPr>
              <w:spacing w:after="0"/>
            </w:pPr>
            <w:r>
              <w:rPr>
                <w:b w:val="0"/>
                <w:i w:val="0"/>
                <w:sz w:val="18"/>
              </w:rPr>
              <w:t>Key users</w:t>
            </w:r>
          </w:p>
        </w:tc>
        <w:tc>
          <w:tcPr>
            <w:tcW w:type="dxa" w:w="4876"/>
          </w:tcPr>
          <w:p>
            <w:pPr>
              <w:spacing w:after="0"/>
            </w:pPr>
            <w:r>
              <w:rPr>
                <w:b w:val="0"/>
                <w:i w:val="0"/>
                <w:sz w:val="18"/>
              </w:rPr>
              <w:t>Real processes replayed in the tool, against the requirements</w:t>
            </w:r>
          </w:p>
        </w:tc>
      </w:tr>
      <w:tr>
        <w:trPr>
          <w:cantSplit w:val="true"/>
        </w:trPr>
        <w:tc>
          <w:tcPr>
            <w:tcW w:type="dxa" w:w="2535"/>
            <w:shd w:val="clear" w:color="auto" w:fill="F7F8FA"/>
          </w:tcPr>
          <w:p>
            <w:pPr>
              <w:spacing w:after="0"/>
            </w:pPr>
            <w:r>
              <w:rPr>
                <w:b w:val="0"/>
                <w:i w:val="0"/>
                <w:sz w:val="18"/>
              </w:rPr>
              <w:t>Performance and security</w:t>
            </w:r>
          </w:p>
        </w:tc>
        <w:tc>
          <w:tcPr>
            <w:tcW w:type="dxa" w:w="2340"/>
            <w:shd w:val="clear" w:color="auto" w:fill="F7F8FA"/>
          </w:tcPr>
          <w:p>
            <w:pPr>
              <w:spacing w:after="0"/>
            </w:pPr>
            <w:r>
              <w:rPr>
                <w:b w:val="0"/>
                <w:i w:val="0"/>
                <w:sz w:val="18"/>
              </w:rPr>
              <w:t>IT, consultants</w:t>
            </w:r>
          </w:p>
        </w:tc>
        <w:tc>
          <w:tcPr>
            <w:tcW w:type="dxa" w:w="4876"/>
            <w:shd w:val="clear" w:color="auto" w:fill="F7F8FA"/>
          </w:tcPr>
          <w:p>
            <w:pPr>
              <w:spacing w:after="0"/>
            </w:pPr>
            <w:r>
              <w:rPr>
                <w:b w:val="0"/>
                <w:i w:val="0"/>
                <w:sz w:val="18"/>
              </w:rPr>
              <w:t>Response times; access restricted by entity</w:t>
            </w:r>
          </w:p>
        </w:tc>
      </w:tr>
      <w:tr>
        <w:trPr>
          <w:cantSplit w:val="true"/>
        </w:trPr>
        <w:tc>
          <w:tcPr>
            <w:tcW w:type="dxa" w:w="2535"/>
          </w:tcPr>
          <w:p>
            <w:pPr>
              <w:spacing w:after="0"/>
            </w:pPr>
            <w:r>
              <w:rPr>
                <w:b w:val="0"/>
                <w:i w:val="0"/>
                <w:sz w:val="18"/>
              </w:rPr>
              <w:t>Parallel run (FCCS)</w:t>
            </w:r>
          </w:p>
        </w:tc>
        <w:tc>
          <w:tcPr>
            <w:tcW w:type="dxa" w:w="2340"/>
          </w:tcPr>
          <w:p>
            <w:pPr>
              <w:spacing w:after="0"/>
            </w:pPr>
            <w:r>
              <w:rPr>
                <w:b w:val="0"/>
                <w:i w:val="0"/>
                <w:sz w:val="18"/>
              </w:rPr>
              <w:t>Consolidation team</w:t>
            </w:r>
          </w:p>
        </w:tc>
        <w:tc>
          <w:tcPr>
            <w:tcW w:type="dxa" w:w="4876"/>
          </w:tcPr>
          <w:p>
            <w:pPr>
              <w:spacing w:after="0"/>
            </w:pPr>
            <w:r>
              <w:rPr>
                <w:b w:val="0"/>
                <w:i w:val="0"/>
                <w:sz w:val="18"/>
              </w:rPr>
              <w:t>November close run in both Excel and FCCS, results reconciled</w:t>
            </w:r>
          </w:p>
        </w:tc>
      </w:tr>
      <w:tr>
        <w:trPr>
          <w:cantSplit w:val="true"/>
        </w:trPr>
        <w:tc>
          <w:tcPr>
            <w:tcW w:type="dxa" w:w="2535"/>
            <w:shd w:val="clear" w:color="auto" w:fill="F7F8FA"/>
          </w:tcPr>
          <w:p>
            <w:pPr>
              <w:spacing w:after="0"/>
            </w:pPr>
            <w:r>
              <w:rPr>
                <w:b w:val="0"/>
                <w:i w:val="0"/>
                <w:sz w:val="18"/>
              </w:rPr>
              <w:t>Regression</w:t>
            </w:r>
          </w:p>
        </w:tc>
        <w:tc>
          <w:tcPr>
            <w:tcW w:type="dxa" w:w="2340"/>
            <w:shd w:val="clear" w:color="auto" w:fill="F7F8FA"/>
          </w:tcPr>
          <w:p>
            <w:pPr>
              <w:spacing w:after="0"/>
            </w:pPr>
            <w:r>
              <w:rPr>
                <w:b w:val="0"/>
                <w:i w:val="0"/>
                <w:sz w:val="18"/>
              </w:rPr>
              <w:t>Key users</w:t>
            </w:r>
          </w:p>
        </w:tc>
        <w:tc>
          <w:tcPr>
            <w:tcW w:type="dxa" w:w="4876"/>
            <w:shd w:val="clear" w:color="auto" w:fill="F7F8FA"/>
          </w:tcPr>
          <w:p>
            <w:pPr>
              <w:spacing w:after="0"/>
            </w:pPr>
            <w:r>
              <w:rPr>
                <w:b w:val="0"/>
                <w:i w:val="0"/>
                <w:sz w:val="18"/>
              </w:rPr>
              <w:t>After each Oracle monthly update, before production</w:t>
            </w:r>
          </w:p>
        </w:tc>
      </w:tr>
    </w:tbl>
    <w:p>
      <w:pPr>
        <w:spacing w:after="40"/>
      </w:pPr>
    </w:p>
    <w:p>
      <w:pPr>
        <w:pStyle w:val="Heading2"/>
      </w:pPr>
      <w:r>
        <w:t>UAT exit criteria and defect severity</w:t>
      </w:r>
    </w:p>
    <w:p>
      <w:pPr>
        <w:pStyle w:val="ListBullet"/>
      </w:pPr>
      <w:r>
        <w:rPr>
          <w:b w:val="0"/>
          <w:i w:val="0"/>
        </w:rPr>
        <w:t>100 % of test cases executed; at least 95 % passed; 100 % of security tests passed.</w:t>
      </w:r>
    </w:p>
    <w:p>
      <w:pPr>
        <w:pStyle w:val="ListBullet"/>
      </w:pPr>
      <w:r>
        <w:rPr>
          <w:b w:val="0"/>
          <w:i w:val="0"/>
        </w:rPr>
        <w:t>No critical defect open; no more than two major defects, each with a documented workaround.</w:t>
      </w:r>
    </w:p>
    <w:p>
      <w:pPr>
        <w:pStyle w:val="ListBullet"/>
      </w:pPr>
      <w:r>
        <w:rPr>
          <w:b/>
          <w:i w:val="0"/>
        </w:rPr>
        <w:t>Critical</w:t>
      </w:r>
      <w:r>
        <w:rPr>
          <w:b w:val="0"/>
          <w:i w:val="0"/>
        </w:rPr>
        <w:t>: a process cannot be completed or figures are wrong, with no workaround.</w:t>
      </w:r>
    </w:p>
    <w:p>
      <w:pPr>
        <w:pStyle w:val="ListBullet"/>
      </w:pPr>
      <w:r>
        <w:rPr>
          <w:b/>
          <w:i w:val="0"/>
        </w:rPr>
        <w:t>Major</w:t>
      </w:r>
      <w:r>
        <w:rPr>
          <w:b w:val="0"/>
          <w:i w:val="0"/>
        </w:rPr>
        <w:t xml:space="preserve">: a process is impaired but a workaround exists. </w:t>
      </w:r>
      <w:r>
        <w:rPr>
          <w:b/>
          <w:i w:val="0"/>
        </w:rPr>
        <w:t>Minor</w:t>
      </w:r>
      <w:r>
        <w:rPr>
          <w:b w:val="0"/>
          <w:i w:val="0"/>
        </w:rPr>
        <w:t>: cosmetic or low impact.</w:t>
      </w:r>
    </w:p>
    <w:p>
      <w:pPr>
        <w:pStyle w:val="Heading1"/>
      </w:pPr>
      <w:r>
        <w:t>11. Communication plan</w:t>
      </w:r>
    </w:p>
    <w:tbl>
      <w:tblPr>
        <w:tblW w:type="dxa" w:w="9752"/>
        <w:jc w:val="left"/>
        <w:tblBorders>
          <w:top w:val="single" w:sz="4" w:color="D5DAE0"/>
          <w:left w:val="single" w:sz="4" w:color="D5DAE0"/>
          <w:bottom w:val="single" w:sz="4" w:color="D5DAE0"/>
          <w:right w:val="single" w:sz="4" w:color="D5DAE0"/>
          <w:insideH w:val="single" w:sz="4" w:color="D5DAE0"/>
          <w:insideV w:val="single" w:sz="4" w:color="D5DAE0"/>
        </w:tblBorders>
        <w:tblLayout w:type="fixed"/>
        <w:tblCellMar>
          <w:top w:w="60" w:type="dxa"/>
          <w:left w:w="100" w:type="dxa"/>
          <w:bottom w:w="60" w:type="dxa"/>
          <w:right w:w="100" w:type="dxa"/>
        </w:tblCellMar>
        <w:tblLook w:firstColumn="1" w:firstRow="1" w:lastColumn="0" w:lastRow="0" w:noHBand="0" w:noVBand="1" w:val="04A0"/>
      </w:tblPr>
      <w:tblGrid>
        <w:gridCol w:w="1950"/>
        <w:gridCol w:w="3120"/>
        <w:gridCol w:w="1755"/>
        <w:gridCol w:w="1365"/>
        <w:gridCol w:w="1560"/>
      </w:tblGrid>
      <w:tr>
        <w:trPr>
          <w:tblHeader w:val="true"/>
        </w:trPr>
        <w:tc>
          <w:tcPr>
            <w:tcW w:type="dxa" w:w="1950"/>
            <w:shd w:val="clear" w:color="auto" w:fill="2F5D62"/>
          </w:tcPr>
          <w:p>
            <w:r>
              <w:rPr>
                <w:b/>
                <w:i w:val="0"/>
                <w:color w:val="FFFFFF"/>
                <w:sz w:val="18"/>
              </w:rPr>
              <w:t>Audience</w:t>
            </w:r>
          </w:p>
        </w:tc>
        <w:tc>
          <w:tcPr>
            <w:tcW w:type="dxa" w:w="3120"/>
            <w:shd w:val="clear" w:color="auto" w:fill="2F5D62"/>
          </w:tcPr>
          <w:p>
            <w:r>
              <w:rPr>
                <w:b/>
                <w:i w:val="0"/>
                <w:color w:val="FFFFFF"/>
                <w:sz w:val="18"/>
              </w:rPr>
              <w:t>Message</w:t>
            </w:r>
          </w:p>
        </w:tc>
        <w:tc>
          <w:tcPr>
            <w:tcW w:type="dxa" w:w="1755"/>
            <w:shd w:val="clear" w:color="auto" w:fill="2F5D62"/>
          </w:tcPr>
          <w:p>
            <w:r>
              <w:rPr>
                <w:b/>
                <w:i w:val="0"/>
                <w:color w:val="FFFFFF"/>
                <w:sz w:val="18"/>
              </w:rPr>
              <w:t>Channel</w:t>
            </w:r>
          </w:p>
        </w:tc>
        <w:tc>
          <w:tcPr>
            <w:tcW w:type="dxa" w:w="1365"/>
            <w:shd w:val="clear" w:color="auto" w:fill="2F5D62"/>
          </w:tcPr>
          <w:p>
            <w:r>
              <w:rPr>
                <w:b/>
                <w:i w:val="0"/>
                <w:color w:val="FFFFFF"/>
                <w:sz w:val="18"/>
              </w:rPr>
              <w:t>Frequency</w:t>
            </w:r>
          </w:p>
        </w:tc>
        <w:tc>
          <w:tcPr>
            <w:tcW w:type="dxa" w:w="1560"/>
            <w:shd w:val="clear" w:color="auto" w:fill="2F5D62"/>
          </w:tcPr>
          <w:p>
            <w:r>
              <w:rPr>
                <w:b/>
                <w:i w:val="0"/>
                <w:color w:val="FFFFFF"/>
                <w:sz w:val="18"/>
              </w:rPr>
              <w:t>Owner</w:t>
            </w:r>
          </w:p>
        </w:tc>
      </w:tr>
      <w:tr>
        <w:trPr>
          <w:cantSplit w:val="true"/>
        </w:trPr>
        <w:tc>
          <w:tcPr>
            <w:tcW w:type="dxa" w:w="1950"/>
          </w:tcPr>
          <w:p>
            <w:pPr>
              <w:spacing w:after="0"/>
            </w:pPr>
            <w:r>
              <w:rPr>
                <w:b w:val="0"/>
                <w:i w:val="0"/>
                <w:sz w:val="18"/>
              </w:rPr>
              <w:t>Project board</w:t>
            </w:r>
          </w:p>
        </w:tc>
        <w:tc>
          <w:tcPr>
            <w:tcW w:type="dxa" w:w="3120"/>
          </w:tcPr>
          <w:p>
            <w:pPr>
              <w:spacing w:after="0"/>
            </w:pPr>
            <w:r>
              <w:rPr>
                <w:b w:val="0"/>
                <w:i w:val="0"/>
                <w:sz w:val="18"/>
              </w:rPr>
              <w:t>Status, decisions needed, tolerances</w:t>
            </w:r>
          </w:p>
        </w:tc>
        <w:tc>
          <w:tcPr>
            <w:tcW w:type="dxa" w:w="1755"/>
          </w:tcPr>
          <w:p>
            <w:pPr>
              <w:spacing w:after="0"/>
            </w:pPr>
            <w:r>
              <w:rPr>
                <w:b w:val="0"/>
                <w:i w:val="0"/>
                <w:sz w:val="18"/>
              </w:rPr>
              <w:t>Steering committee</w:t>
            </w:r>
          </w:p>
        </w:tc>
        <w:tc>
          <w:tcPr>
            <w:tcW w:type="dxa" w:w="1365"/>
          </w:tcPr>
          <w:p>
            <w:pPr>
              <w:spacing w:after="0"/>
            </w:pPr>
            <w:r>
              <w:rPr>
                <w:b w:val="0"/>
                <w:i w:val="0"/>
                <w:sz w:val="18"/>
              </w:rPr>
              <w:t>Monthly</w:t>
            </w:r>
          </w:p>
        </w:tc>
        <w:tc>
          <w:tcPr>
            <w:tcW w:type="dxa" w:w="1560"/>
          </w:tcPr>
          <w:p>
            <w:pPr>
              <w:spacing w:after="0"/>
            </w:pPr>
            <w:r>
              <w:rPr>
                <w:b w:val="0"/>
                <w:i w:val="0"/>
                <w:sz w:val="18"/>
              </w:rPr>
              <w:t>Project manager</w:t>
            </w:r>
          </w:p>
        </w:tc>
      </w:tr>
      <w:tr>
        <w:trPr>
          <w:cantSplit w:val="true"/>
        </w:trPr>
        <w:tc>
          <w:tcPr>
            <w:tcW w:type="dxa" w:w="1950"/>
            <w:shd w:val="clear" w:color="auto" w:fill="F7F8FA"/>
          </w:tcPr>
          <w:p>
            <w:pPr>
              <w:spacing w:after="0"/>
            </w:pPr>
            <w:r>
              <w:rPr>
                <w:b w:val="0"/>
                <w:i w:val="0"/>
                <w:sz w:val="18"/>
              </w:rPr>
              <w:t>Finance teams</w:t>
            </w:r>
          </w:p>
        </w:tc>
        <w:tc>
          <w:tcPr>
            <w:tcW w:type="dxa" w:w="3120"/>
            <w:shd w:val="clear" w:color="auto" w:fill="F7F8FA"/>
          </w:tcPr>
          <w:p>
            <w:pPr>
              <w:spacing w:after="0"/>
            </w:pPr>
            <w:r>
              <w:rPr>
                <w:b w:val="0"/>
                <w:i w:val="0"/>
                <w:sz w:val="18"/>
              </w:rPr>
              <w:t>What changes, when, what is expected of them</w:t>
            </w:r>
          </w:p>
        </w:tc>
        <w:tc>
          <w:tcPr>
            <w:tcW w:type="dxa" w:w="1755"/>
            <w:shd w:val="clear" w:color="auto" w:fill="F7F8FA"/>
          </w:tcPr>
          <w:p>
            <w:pPr>
              <w:spacing w:after="0"/>
            </w:pPr>
            <w:r>
              <w:rPr>
                <w:b w:val="0"/>
                <w:i w:val="0"/>
                <w:sz w:val="18"/>
              </w:rPr>
              <w:t>Newsletter, demos</w:t>
            </w:r>
          </w:p>
        </w:tc>
        <w:tc>
          <w:tcPr>
            <w:tcW w:type="dxa" w:w="1365"/>
            <w:shd w:val="clear" w:color="auto" w:fill="F7F8FA"/>
          </w:tcPr>
          <w:p>
            <w:pPr>
              <w:spacing w:after="0"/>
            </w:pPr>
            <w:r>
              <w:rPr>
                <w:b w:val="0"/>
                <w:i w:val="0"/>
                <w:sz w:val="18"/>
              </w:rPr>
              <w:t>Each stage</w:t>
            </w:r>
          </w:p>
        </w:tc>
        <w:tc>
          <w:tcPr>
            <w:tcW w:type="dxa" w:w="1560"/>
            <w:shd w:val="clear" w:color="auto" w:fill="F7F8FA"/>
          </w:tcPr>
          <w:p>
            <w:pPr>
              <w:spacing w:after="0"/>
            </w:pPr>
            <w:r>
              <w:rPr>
                <w:b w:val="0"/>
                <w:i w:val="0"/>
                <w:sz w:val="18"/>
              </w:rPr>
              <w:t>Sponsor, PM</w:t>
            </w:r>
          </w:p>
        </w:tc>
      </w:tr>
      <w:tr>
        <w:trPr>
          <w:cantSplit w:val="true"/>
        </w:trPr>
        <w:tc>
          <w:tcPr>
            <w:tcW w:type="dxa" w:w="1950"/>
          </w:tcPr>
          <w:p>
            <w:pPr>
              <w:spacing w:after="0"/>
            </w:pPr>
            <w:r>
              <w:rPr>
                <w:b w:val="0"/>
                <w:i w:val="0"/>
                <w:sz w:val="18"/>
              </w:rPr>
              <w:t>Key users</w:t>
            </w:r>
          </w:p>
        </w:tc>
        <w:tc>
          <w:tcPr>
            <w:tcW w:type="dxa" w:w="3120"/>
          </w:tcPr>
          <w:p>
            <w:pPr>
              <w:spacing w:after="0"/>
            </w:pPr>
            <w:r>
              <w:rPr>
                <w:b w:val="0"/>
                <w:i w:val="0"/>
                <w:sz w:val="18"/>
              </w:rPr>
              <w:t>Test calendar, defects, training</w:t>
            </w:r>
          </w:p>
        </w:tc>
        <w:tc>
          <w:tcPr>
            <w:tcW w:type="dxa" w:w="1755"/>
          </w:tcPr>
          <w:p>
            <w:pPr>
              <w:spacing w:after="0"/>
            </w:pPr>
            <w:r>
              <w:rPr>
                <w:b w:val="0"/>
                <w:i w:val="0"/>
                <w:sz w:val="18"/>
              </w:rPr>
              <w:t>Project committee</w:t>
            </w:r>
          </w:p>
        </w:tc>
        <w:tc>
          <w:tcPr>
            <w:tcW w:type="dxa" w:w="1365"/>
          </w:tcPr>
          <w:p>
            <w:pPr>
              <w:spacing w:after="0"/>
            </w:pPr>
            <w:r>
              <w:rPr>
                <w:b w:val="0"/>
                <w:i w:val="0"/>
                <w:sz w:val="18"/>
              </w:rPr>
              <w:t>Weekly</w:t>
            </w:r>
          </w:p>
        </w:tc>
        <w:tc>
          <w:tcPr>
            <w:tcW w:type="dxa" w:w="1560"/>
          </w:tcPr>
          <w:p>
            <w:pPr>
              <w:spacing w:after="0"/>
            </w:pPr>
            <w:r>
              <w:rPr>
                <w:b w:val="0"/>
                <w:i w:val="0"/>
                <w:sz w:val="18"/>
              </w:rPr>
              <w:t>Project manager</w:t>
            </w:r>
          </w:p>
        </w:tc>
      </w:tr>
      <w:tr>
        <w:trPr>
          <w:cantSplit w:val="true"/>
        </w:trPr>
        <w:tc>
          <w:tcPr>
            <w:tcW w:type="dxa" w:w="1950"/>
            <w:shd w:val="clear" w:color="auto" w:fill="F7F8FA"/>
          </w:tcPr>
          <w:p>
            <w:pPr>
              <w:spacing w:after="0"/>
            </w:pPr>
            <w:r>
              <w:rPr>
                <w:b w:val="0"/>
                <w:i w:val="0"/>
                <w:sz w:val="18"/>
              </w:rPr>
              <w:t>Subsidiary controllers</w:t>
            </w:r>
          </w:p>
        </w:tc>
        <w:tc>
          <w:tcPr>
            <w:tcW w:type="dxa" w:w="3120"/>
            <w:shd w:val="clear" w:color="auto" w:fill="F7F8FA"/>
          </w:tcPr>
          <w:p>
            <w:pPr>
              <w:spacing w:after="0"/>
            </w:pPr>
            <w:r>
              <w:rPr>
                <w:b w:val="0"/>
                <w:i w:val="0"/>
                <w:sz w:val="18"/>
              </w:rPr>
              <w:t>Consolidation packages and calendar</w:t>
            </w:r>
          </w:p>
        </w:tc>
        <w:tc>
          <w:tcPr>
            <w:tcW w:type="dxa" w:w="1755"/>
            <w:shd w:val="clear" w:color="auto" w:fill="F7F8FA"/>
          </w:tcPr>
          <w:p>
            <w:pPr>
              <w:spacing w:after="0"/>
            </w:pPr>
            <w:r>
              <w:rPr>
                <w:b w:val="0"/>
                <w:i w:val="0"/>
                <w:sz w:val="18"/>
              </w:rPr>
              <w:t>Webinar, user guides</w:t>
            </w:r>
          </w:p>
        </w:tc>
        <w:tc>
          <w:tcPr>
            <w:tcW w:type="dxa" w:w="1365"/>
            <w:shd w:val="clear" w:color="auto" w:fill="F7F8FA"/>
          </w:tcPr>
          <w:p>
            <w:pPr>
              <w:spacing w:after="0"/>
            </w:pPr>
            <w:r>
              <w:rPr>
                <w:b w:val="0"/>
                <w:i w:val="0"/>
                <w:sz w:val="18"/>
              </w:rPr>
              <w:t>Before each close</w:t>
            </w:r>
          </w:p>
        </w:tc>
        <w:tc>
          <w:tcPr>
            <w:tcW w:type="dxa" w:w="1560"/>
            <w:shd w:val="clear" w:color="auto" w:fill="F7F8FA"/>
          </w:tcPr>
          <w:p>
            <w:pPr>
              <w:spacing w:after="0"/>
            </w:pPr>
            <w:r>
              <w:rPr>
                <w:b w:val="0"/>
                <w:i w:val="0"/>
                <w:sz w:val="18"/>
              </w:rPr>
              <w:t>Consolidation team</w:t>
            </w:r>
          </w:p>
        </w:tc>
      </w:tr>
      <w:tr>
        <w:trPr>
          <w:cantSplit w:val="true"/>
        </w:trPr>
        <w:tc>
          <w:tcPr>
            <w:tcW w:type="dxa" w:w="1950"/>
          </w:tcPr>
          <w:p>
            <w:pPr>
              <w:spacing w:after="0"/>
            </w:pPr>
            <w:r>
              <w:rPr>
                <w:b w:val="0"/>
                <w:i w:val="0"/>
                <w:sz w:val="18"/>
              </w:rPr>
              <w:t>IT and ERP team</w:t>
            </w:r>
          </w:p>
        </w:tc>
        <w:tc>
          <w:tcPr>
            <w:tcW w:type="dxa" w:w="3120"/>
          </w:tcPr>
          <w:p>
            <w:pPr>
              <w:spacing w:after="0"/>
            </w:pPr>
            <w:r>
              <w:rPr>
                <w:b w:val="0"/>
                <w:i w:val="0"/>
                <w:sz w:val="18"/>
              </w:rPr>
              <w:t>Data flows, environments, Oracle updates</w:t>
            </w:r>
          </w:p>
        </w:tc>
        <w:tc>
          <w:tcPr>
            <w:tcW w:type="dxa" w:w="1755"/>
          </w:tcPr>
          <w:p>
            <w:pPr>
              <w:spacing w:after="0"/>
            </w:pPr>
            <w:r>
              <w:rPr>
                <w:b w:val="0"/>
                <w:i w:val="0"/>
                <w:sz w:val="18"/>
              </w:rPr>
              <w:t>Technical meeting</w:t>
            </w:r>
          </w:p>
        </w:tc>
        <w:tc>
          <w:tcPr>
            <w:tcW w:type="dxa" w:w="1365"/>
          </w:tcPr>
          <w:p>
            <w:pPr>
              <w:spacing w:after="0"/>
            </w:pPr>
            <w:r>
              <w:rPr>
                <w:b w:val="0"/>
                <w:i w:val="0"/>
                <w:sz w:val="18"/>
              </w:rPr>
              <w:t>Fortnightly</w:t>
            </w:r>
          </w:p>
        </w:tc>
        <w:tc>
          <w:tcPr>
            <w:tcW w:type="dxa" w:w="1560"/>
          </w:tcPr>
          <w:p>
            <w:pPr>
              <w:spacing w:after="0"/>
            </w:pPr>
            <w:r>
              <w:rPr>
                <w:b w:val="0"/>
                <w:i w:val="0"/>
                <w:sz w:val="18"/>
              </w:rPr>
              <w:t>IT and ERP lead</w:t>
            </w:r>
          </w:p>
        </w:tc>
      </w:tr>
    </w:tbl>
    <w:p>
      <w:pPr>
        <w:spacing w:after="40"/>
      </w:pPr>
    </w:p>
    <w:tbl>
      <w:tblPr>
        <w:tblW w:type="dxa" w:w="9752"/>
        <w:tblBorders>
          <w:top w:val="nil"/>
          <w:left w:val="nil"/>
          <w:bottom w:val="nil"/>
          <w:right w:val="nil"/>
          <w:insideH w:val="nil"/>
          <w:insideV w:val="nil"/>
        </w:tblBorders>
        <w:tblLayout w:type="fixed"/>
        <w:tblCellMar>
          <w:top w:w="110" w:type="dxa"/>
          <w:left w:w="160" w:type="dxa"/>
          <w:bottom w:w="110" w:type="dxa"/>
          <w:right w:w="160" w:type="dxa"/>
        </w:tblCellMar>
        <w:tblLook w:firstColumn="1" w:firstRow="1" w:lastColumn="0" w:lastRow="0" w:noHBand="0" w:noVBand="1" w:val="04A0"/>
      </w:tblPr>
      <w:tblGrid>
        <w:gridCol w:w="9752"/>
      </w:tblGrid>
      <w:tr>
        <w:tc>
          <w:tcPr>
            <w:tcW w:type="dxa" w:w="9751"/>
            <w:shd w:val="clear" w:color="auto" w:fill="FBF3E4"/>
          </w:tcPr>
          <w:p>
            <w:pPr>
              <w:spacing w:after="40"/>
            </w:pPr>
            <w:r>
              <w:rPr>
                <w:b/>
                <w:i w:val="0"/>
                <w:color w:val="8A5410"/>
                <w:sz w:val="21"/>
              </w:rPr>
              <w:t>Authorisation</w:t>
            </w:r>
          </w:p>
          <w:p>
            <w:r>
              <w:rPr>
                <w:b w:val="0"/>
                <w:i w:val="0"/>
              </w:rPr>
              <w:t>The steering committee approved this document on 27 March 2026 (milestone M1, decision DC1). The initiation stage is closed and the design stage is authorised. This document is the baseline against which later changes are assessed.</w:t>
            </w:r>
          </w:p>
        </w:tc>
      </w:tr>
    </w:tbl>
    <w:p>
      <w:pPr>
        <w:spacing w:after="40"/>
      </w:pPr>
    </w:p>
    <w:sectPr w:rsidR="00FC693F" w:rsidRPr="0006063C" w:rsidSect="00034616">
      <w:headerReference w:type="default" r:id="rId9"/>
      <w:footerReference w:type="default" r:id="rId10"/>
      <w:pgSz w:w="11906" w:h="16838"/>
      <w:pgMar w:top="1134" w:right="1077" w:bottom="1020" w:left="107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B6673"/>
        <w:sz w:val="18"/>
      </w:rPr>
      <w:t xml:space="preserve">Page </w:t>
    </w:r>
    <w:r>
      <w:rPr>
        <w:color w:val="5B6673"/>
        <w:sz w:val="18"/>
      </w:rPr>
      <w:fldChar w:fldCharType="begin"/>
    </w:r>
    <w:r>
      <w:rPr>
        <w:color w:val="5B6673"/>
        <w:sz w:val="18"/>
      </w:rPr>
      <w:instrText xml:space="preserve"> PAGE </w:instrText>
    </w:r>
    <w:r>
      <w:rPr>
        <w:color w:val="5B6673"/>
        <w:sz w:val="18"/>
      </w:rPr>
      <w:fldChar w:fldCharType="separate"/>
    </w:r>
    <w:r>
      <w:rPr>
        <w:color w:val="5B6673"/>
        <w:sz w:val="18"/>
      </w:rPr>
      <w:t>1</w:t>
    </w:r>
    <w:r>
      <w:rPr>
        <w:color w:val="5B6673"/>
        <w:sz w:val="18"/>
      </w:rPr>
      <w:fldChar w:fldCharType="end"/>
    </w:r>
    <w:r>
      <w:rPr>
        <w:color w:val="5B6673"/>
        <w:sz w:val="18"/>
      </w:rPr>
      <w:t xml:space="preserve"> of </w:t>
    </w:r>
    <w:r>
      <w:rPr>
        <w:color w:val="5B6673"/>
        <w:sz w:val="18"/>
      </w:rPr>
      <w:fldChar w:fldCharType="begin"/>
    </w:r>
    <w:r>
      <w:rPr>
        <w:color w:val="5B6673"/>
        <w:sz w:val="18"/>
      </w:rPr>
      <w:instrText xml:space="preserve"> NUMPAGES </w:instrText>
    </w:r>
    <w:r>
      <w:rPr>
        <w:color w:val="5B6673"/>
        <w:sz w:val="18"/>
      </w:rPr>
      <w:fldChar w:fldCharType="separate"/>
    </w:r>
    <w:r>
      <w:rPr>
        <w:color w:val="5B6673"/>
        <w:sz w:val="18"/>
      </w:rPr>
      <w:t>1</w:t>
    </w:r>
    <w:r>
      <w:rPr>
        <w:color w:val="5B6673"/>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val="0"/>
        <w:i w:val="0"/>
        <w:color w:val="5B6673"/>
        <w:sz w:val="18"/>
      </w:rPr>
      <w:t>Maison Lumen · Lumen Rollout · Project Initiation Documentation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Calibri" w:hAnsi="Calibri" w:cs="Calibri" w:eastAsia="Calibri"/>
      <w:color w:val="1C25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Cambria" w:hAnsi="Cambria" w:cs="Cambria" w:eastAsia="Cambria"/>
      <w:b/>
      <w:bCs/>
      <w:color w:val="1C2530"/>
      <w:sz w:val="32"/>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Cambria" w:hAnsi="Cambria" w:cs="Cambria" w:eastAsia="Cambria"/>
      <w:b/>
      <w:bCs/>
      <w:color w:val="2F5D62"/>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0"/>
      <w:contextualSpacing/>
    </w:pPr>
    <w:rPr>
      <w:rFonts w:ascii="Cambria" w:hAnsi="Cambria" w:cs="Cambria" w:eastAsia="Cambria"/>
      <w:b/>
      <w:color w:val="FFFF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Calibri" w:hAnsi="Calibri" w:cs="Calibri" w:eastAsia="Calibri"/>
      <w:color w:val="1C253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Initiation Documentation</dc:title>
  <dc:subject>Lumen Rollout: deploying Oracle EPM Planning (EPBCS) and Financial Consolidation (FCCS)</dc:subject>
  <dc:creator>Gaurav Sharma</dc:creator>
  <cp:keywords>PRINCE2, project initiation documentation, Oracle EPM, portfolio sample</cp:keywords>
  <dc:description>generated by python-docx</dc:description>
  <cp:lastModifiedBy/>
  <cp:revision>1</cp:revision>
  <dcterms:created xsi:type="dcterms:W3CDTF">2013-12-23T23:15:00Z</dcterms:created>
  <dcterms:modified xsi:type="dcterms:W3CDTF">2013-12-23T23:15:00Z</dcterms:modified>
  <cp:category/>
</cp:coreProperties>
</file>