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120" w:after="360"/>
        <w:jc w:val="center"/>
      </w:pPr>
      <w:r>
        <w:rPr>
          <w:rFonts w:ascii="黑体" w:hAnsi="黑体" w:eastAsia="黑体"/>
          <w:b/>
          <w:sz w:val="32"/>
        </w:rPr>
        <w:t>“同路人”大学生家教创业计划书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一、摘要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“同路人”是在校大学生家教服务平台，面向K12家庭提供“诊断—匹配—托管—反馈”闭环服务。与传统撮合型中介不同，我们以“同龄人陪伴+可量化提分方案”为核心，用标准化培训与试讲评级把控师资，以学习档案呈现效果。依托高校社团与勤工助学渠道低成本获客，首年力争盈亏平衡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二、项目背景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项目进入K12课外辅导行业。行业需求刚性、供给分散，家长重口碑。现存问题：机构课价高、退费难；个人家教信息不透明、师资无从验证，大学生家教常被视为“便宜但不专业”；“双减”后家庭更看重合规、轻负担的个性化辅导。本地机构胜在品牌场地，个人中介靠低价与熟人网络。行业正向小班化、个性化、线上线下融合方向发展，政策鼓励大学生创业并规范校外培训，为合规家教留出空间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三、产品与服务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服务分三部分：学情诊断与方案定制，入学前测评学科与学习习惯，输出四周提分计划；1对1或1对3小班授课，教师来自本校师范及重点专业，经培训、试讲、评级后上岗；过程托管，课后推送课堂报告，每月阶段测评并动态调课。优势：价格约为本地机构六至七折；师生年龄相近、沟通成本低；过程留痕、效果可量化；师资统一考核，降低家长试错成本。已形成课程模板、题库与评级标准，并在本校两个学院验证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四、市场分析与定位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切入点为高校周边三至五公里社区、孩子读小学高年级至初二的家庭，重视成绩但预算有限。进入门槛主要是师资培训体系与口碑，资金门槛低。市场季节性强，期中期末与寒暑假为高峰，转介绍占比高。某高校片区约1.2万常住家庭中，目标客群约2000户，渗透率5%即约100个稳定客户，按每学期3000元计年营收约30万元。对手为连锁机构与个人家教：机构胜在品牌场地，个人家教胜在低价，我们胜在价格、透明与师资保障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五、商业模式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收入来自课时费分成（20%—25%）、测评与档案服务费、假期集训营；成本为教师分成、教研培训与获客。运营分教研、教务、师资三条线：教研迭代课程题库，教务排课并沟通家长，师资组招募培训与评级。长期先跑通本地单店模型，再以城市合伙人方式复制到同城其他高校片区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六、营销策略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种子期借社团与勤工助学渠道招募师资，以免费学情诊断和首课体验进入家长群与社区；成长期用提分案例、课堂报告做内容营销，设老带新奖励；成熟期与社区书店、托管班异业合作，寒暑假推集训营。按客群分层：预算敏感型推1对3小班，效果焦虑型推1对1加月度测评，冲刺型推专题短训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七、投资与财务分析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启动资金约8万元：教研2万、培训1.5万、推广2万、场地设备1.5万、流动资金1万，由团队自筹与校级创业扶持资金解决。预测：第1年营收30万元、净利4万元；第2年覆盖3个片区，营收80万元、净利14万元；第3年营收150万元、净利28万元，净利率约18%。按8—10倍市盈率估算，第3年估值约220万至280万元；前6个月现金流为负，需预留3个月运营资金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八、团队介绍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核心成员4人：负责人（工商管理，统筹战略融资）、教研负责人（数学师范，负责课程测评）、师资负责人（汉语言文学，负责招募培训评级）、运营负责人（市场营销，负责获客与家长服务），另聘1名兼职财务。团队专业互补、熟悉校园渠道，决策链条短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九、风险与控制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市场风险：同质化与价格战，靠教研与效果数据筑壁垒。管理风险：大学生流动性高，用评级涨薪与违约责任留人。财务风险：预收费与现金流错配，按消课确认收入、预收款专户管理。政策风险：监管趋严，坚持合规辅导，合同与退费规则标准化。安全风险：明确安全与知识产权条款并购买责任保险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十、其他说明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项目以勤工助学为起点，后续将部分收益投入乡村学校公益辅导。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