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智能仓储管理系统需求规格说明书</w:t>
      </w:r>
    </w:p>
    <w:p>
      <w:r>
        <w:t>文档编号:WH-REQ-2026-031  版本:v1.2  拟制:产品部  日期:2026-06-18</w:t>
      </w:r>
    </w:p>
    <w:p>
      <w:pPr>
        <w:pStyle w:val="Heading1"/>
      </w:pPr>
      <w:r>
        <w:t>1  引言</w:t>
      </w:r>
    </w:p>
    <w:p>
      <w:r>
        <w:t>本文档定义智能仓储管理系统(WMS)的功能需求与非功能需求,作为设计、开发和验收的依据。系统面向三个仓区(华东、华南、华北),支持入库、出库、盘点与预警四大核心流程。</w:t>
      </w:r>
    </w:p>
    <w:p>
      <w:pPr>
        <w:pStyle w:val="Heading2"/>
      </w:pPr>
      <w:r>
        <w:t>1.1  范围</w:t>
      </w:r>
    </w:p>
    <w:p>
      <w:r>
        <w:t>本期范围仅覆盖标准品整箱作业,不包含冷链与危险品场景;该两类场景在下一期规划中评估。</w:t>
      </w:r>
    </w:p>
    <w:p>
      <w:pPr>
        <w:pStyle w:val="Heading2"/>
      </w:pPr>
      <w:r>
        <w:t>1.2  术语</w:t>
      </w:r>
    </w:p>
    <w:p>
      <w:pPr>
        <w:pStyle w:val="ListBullet"/>
      </w:pPr>
      <w:r>
        <w:t>SKU:库存管理单元;波次:按订单批量拣货的作业单元;越库:货物不经入库直接分拣出库。</w:t>
      </w:r>
    </w:p>
    <w:p>
      <w:pPr>
        <w:pStyle w:val="ListBullet"/>
      </w:pPr>
      <w:r>
        <w:t>WMS:仓库管理系统;ERP:企业资源计划系统。</w:t>
      </w:r>
    </w:p>
    <w:p>
      <w:pPr>
        <w:pStyle w:val="Heading1"/>
      </w:pPr>
      <w:r>
        <w:t>2  功能需求</w:t>
      </w:r>
    </w:p>
    <w:p>
      <w:r>
        <w:t>下表按优先级排列本期功能需求,优先级 P0 为上线必需,P1 为三个月内补齐。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需求编号</w:t>
            </w:r>
          </w:p>
        </w:tc>
        <w:tc>
          <w:tcPr>
            <w:tcW w:type="dxa" w:w="2160"/>
          </w:tcPr>
          <w:p>
            <w:r>
              <w:t>功能名称</w:t>
            </w:r>
          </w:p>
        </w:tc>
        <w:tc>
          <w:tcPr>
            <w:tcW w:type="dxa" w:w="2160"/>
          </w:tcPr>
          <w:p>
            <w:r>
              <w:t>需求描述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入库预约</w:t>
            </w:r>
          </w:p>
        </w:tc>
        <w:tc>
          <w:tcPr>
            <w:tcW w:type="dxa" w:w="2160"/>
          </w:tcPr>
          <w:p>
            <w:r>
              <w:t>承运商提前预约到货时间与月台,系统自动排期并生成收货单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收货上架</w:t>
            </w:r>
          </w:p>
        </w:tc>
        <w:tc>
          <w:tcPr>
            <w:tcW w:type="dxa" w:w="2160"/>
          </w:tcPr>
          <w:p>
            <w:r>
              <w:t>扫码核对 SKU 与数量,异常件转入待处理区并记录差异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波次拣货</w:t>
            </w:r>
          </w:p>
        </w:tc>
        <w:tc>
          <w:tcPr>
            <w:tcW w:type="dxa" w:w="2160"/>
          </w:tcPr>
          <w:p>
            <w:r>
              <w:t>按订单时效与库位就近原则生成拣货波次,支持任务拆分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库存盘点</w:t>
            </w:r>
          </w:p>
        </w:tc>
        <w:tc>
          <w:tcPr>
            <w:tcW w:type="dxa" w:w="2160"/>
          </w:tcPr>
          <w:p>
            <w:r>
              <w:t>支持循环盘点与全盘,差异单需主管审批后生效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库存预警</w:t>
            </w:r>
          </w:p>
        </w:tc>
        <w:tc>
          <w:tcPr>
            <w:tcW w:type="dxa" w:w="2160"/>
          </w:tcPr>
          <w:p>
            <w:r>
              <w:t>低于安全库存或临期时生成预警消息,推送至仓管员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FR-006</w:t>
            </w:r>
          </w:p>
        </w:tc>
        <w:tc>
          <w:tcPr>
            <w:tcW w:type="dxa" w:w="2160"/>
          </w:tcPr>
          <w:p>
            <w:r>
              <w:t>报表统计</w:t>
            </w:r>
          </w:p>
        </w:tc>
        <w:tc>
          <w:tcPr>
            <w:tcW w:type="dxa" w:w="2160"/>
          </w:tcPr>
          <w:p>
            <w:r>
              <w:t>按日/周/月输出吞吐、库存周转与作业效率报表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p>
      <w:pPr>
        <w:pStyle w:val="Heading2"/>
      </w:pPr>
      <w:r>
        <w:t>2.1  业务规则</w:t>
      </w:r>
    </w:p>
    <w:p>
      <w:pPr>
        <w:pStyle w:val="ListNumber"/>
      </w:pPr>
      <w:r>
        <w:t>拣货遵循先进先出原则;同 SKU 不同批次不得混放;危化品仓区门禁独立。</w:t>
      </w:r>
    </w:p>
    <w:p>
      <w:pPr>
        <w:pStyle w:val="ListNumber"/>
      </w:pPr>
      <w:r>
        <w:t>盘点期间冻结该库位出入库操作;差异率超过 2% 需二次复盘。</w:t>
      </w:r>
    </w:p>
    <w:p>
      <w:pPr>
        <w:pStyle w:val="Heading1"/>
      </w:pPr>
      <w:r>
        <w:t>3  非功能需求</w:t>
      </w:r>
    </w:p>
    <w:p>
      <w:r>
        <w:t>可用性:核心流程全年可用率不低于 99.5%,计划内维护每月不超过 2 小时。</w:t>
      </w:r>
    </w:p>
    <w:p>
      <w:r>
        <w:t>性能:入库单据处理平均响应时间不超过 2 秒,峰值并发 200 用户。</w:t>
      </w:r>
    </w:p>
    <w:p>
      <w:pPr>
        <w:pStyle w:val="Heading1"/>
      </w:pPr>
      <w:r>
        <w:t>4  验收标准</w:t>
      </w:r>
    </w:p>
    <w:p>
      <w:r>
        <w:t>以本文档需求编号为验收单元,逐条对照;P0 需求全部通过后方可进入试运行。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验收项</w:t>
            </w:r>
          </w:p>
        </w:tc>
        <w:tc>
          <w:tcPr>
            <w:tcW w:type="dxa" w:w="2880"/>
          </w:tcPr>
          <w:p>
            <w:r>
              <w:t>操作步骤</w:t>
            </w:r>
          </w:p>
        </w:tc>
        <w:tc>
          <w:tcPr>
            <w:tcW w:type="dxa" w:w="2880"/>
          </w:tcPr>
          <w:p>
            <w:r>
              <w:t>通过判据</w:t>
            </w:r>
          </w:p>
        </w:tc>
      </w:tr>
      <w:tr>
        <w:tc>
          <w:tcPr>
            <w:tcW w:type="dxa" w:w="2880"/>
          </w:tcPr>
          <w:p>
            <w:r>
              <w:t>FR-001</w:t>
            </w:r>
          </w:p>
        </w:tc>
        <w:tc>
          <w:tcPr>
            <w:tcW w:type="dxa" w:w="2880"/>
          </w:tcPr>
          <w:p>
            <w:r>
              <w:t>创建一条到货预约</w:t>
            </w:r>
          </w:p>
        </w:tc>
        <w:tc>
          <w:tcPr>
            <w:tcW w:type="dxa" w:w="2880"/>
          </w:tcPr>
          <w:p>
            <w:r>
              <w:t>生成收货单且月台排期无冲突</w:t>
            </w:r>
          </w:p>
        </w:tc>
      </w:tr>
      <w:tr>
        <w:tc>
          <w:tcPr>
            <w:tcW w:type="dxa" w:w="2880"/>
          </w:tcPr>
          <w:p>
            <w:r>
              <w:t>FR-003</w:t>
            </w:r>
          </w:p>
        </w:tc>
        <w:tc>
          <w:tcPr>
            <w:tcW w:type="dxa" w:w="2880"/>
          </w:tcPr>
          <w:p>
            <w:r>
              <w:t>创建 50 个订单并触发波次</w:t>
            </w:r>
          </w:p>
        </w:tc>
        <w:tc>
          <w:tcPr>
            <w:tcW w:type="dxa" w:w="2880"/>
          </w:tcPr>
          <w:p>
            <w:r>
              <w:t>波次任务数与订单覆盖一致,无遗漏</w:t>
            </w:r>
          </w:p>
        </w:tc>
      </w:tr>
      <w:tr>
        <w:tc>
          <w:tcPr>
            <w:tcW w:type="dxa" w:w="2880"/>
          </w:tcPr>
          <w:p>
            <w:r>
              <w:t>FR-005</w:t>
            </w:r>
          </w:p>
        </w:tc>
        <w:tc>
          <w:tcPr>
            <w:tcW w:type="dxa" w:w="2880"/>
          </w:tcPr>
          <w:p>
            <w:r>
              <w:t>将某 SKU 库存调至安全值以下</w:t>
            </w:r>
          </w:p>
        </w:tc>
        <w:tc>
          <w:tcPr>
            <w:tcW w:type="dxa" w:w="2880"/>
          </w:tcPr>
          <w:p>
            <w:r>
              <w:t>2 分钟内生成预警消息</w:t>
            </w:r>
          </w:p>
        </w:tc>
      </w:tr>
    </w:tbl>
    <w:p>
      <w:pPr>
        <w:pStyle w:val="Heading1"/>
      </w:pPr>
      <w:r>
        <w:t>5  附录</w:t>
      </w:r>
    </w:p>
    <w:p>
      <w:r>
        <w:t>A. 需求变更记录表(见版本历史);B. 与 ERP 的接口清单详见《系统接口设计》。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内部公开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