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渠道运营项目周报</w:t>
      </w:r>
    </w:p>
    <w:p>
      <w:r>
        <w:t>项目名称:渠道数字化改造  汇报周期:2026 年第 32 周  汇报人:运营组</w:t>
      </w:r>
    </w:p>
    <w:p>
      <w:pPr>
        <w:pStyle w:val="Heading1"/>
      </w:pPr>
      <w:r>
        <w:t>1  本周进展</w:t>
      </w:r>
    </w:p>
    <w:p>
      <w:pPr>
        <w:pStyle w:val="ListBullet"/>
      </w:pPr>
      <w:r>
        <w:t>本周完成渠道数据看板 V2 的核心指标上线,并启动两场城市站运营活动。</w:t>
      </w:r>
    </w:p>
    <w:p>
      <w:pPr>
        <w:pStyle w:val="ListBullet"/>
      </w:pPr>
      <w:r>
        <w:t>完成 12 家重点渠道商的季度对账,差异 3 家已进入人工复核。</w:t>
      </w:r>
    </w:p>
    <w:p>
      <w:pPr>
        <w:pStyle w:val="ListBullet"/>
      </w:pPr>
      <w:r>
        <w:t>数据中台口径对齐会议达成一致,下周三前输出口径文档。</w:t>
      </w:r>
    </w:p>
    <w:p>
      <w:pPr>
        <w:pStyle w:val="Heading1"/>
      </w:pPr>
      <w:r>
        <w:t>2  风险与问题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风险描述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应对措施</w:t>
            </w:r>
          </w:p>
        </w:tc>
      </w:tr>
      <w:tr>
        <w:tc>
          <w:tcPr>
            <w:tcW w:type="dxa" w:w="2160"/>
          </w:tcPr>
          <w:p>
            <w:r>
              <w:t>R-01</w:t>
            </w:r>
          </w:p>
        </w:tc>
        <w:tc>
          <w:tcPr>
            <w:tcW w:type="dxa" w:w="2160"/>
          </w:tcPr>
          <w:p>
            <w:r>
              <w:t>渠道商对账接口改造依赖对方排期,存在延期风险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已升级至项目例会,准备手工对账兜底</w:t>
            </w:r>
          </w:p>
        </w:tc>
      </w:tr>
      <w:tr>
        <w:tc>
          <w:tcPr>
            <w:tcW w:type="dxa" w:w="2160"/>
          </w:tcPr>
          <w:p>
            <w:r>
              <w:t>R-02</w:t>
            </w:r>
          </w:p>
        </w:tc>
        <w:tc>
          <w:tcPr>
            <w:tcW w:type="dxa" w:w="2160"/>
          </w:tcPr>
          <w:p>
            <w:r>
              <w:t>看板数据源切换后历史口径需重算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安排周五夜间批量重算</w:t>
            </w:r>
          </w:p>
        </w:tc>
      </w:tr>
      <w:tr>
        <w:tc>
          <w:tcPr>
            <w:tcW w:type="dxa" w:w="2160"/>
          </w:tcPr>
          <w:p>
            <w:r>
              <w:t>R-03</w:t>
            </w:r>
          </w:p>
        </w:tc>
        <w:tc>
          <w:tcPr>
            <w:tcW w:type="dxa" w:w="2160"/>
          </w:tcPr>
          <w:p>
            <w:r>
              <w:t>活动物资物流周期较长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提前一周下单,每日跟踪物流节点</w:t>
            </w:r>
          </w:p>
        </w:tc>
      </w:tr>
    </w:tbl>
    <w:p>
      <w:pPr>
        <w:pStyle w:val="Heading1"/>
      </w:pPr>
      <w:r>
        <w:t>3  下周计划</w:t>
      </w:r>
    </w:p>
    <w:p>
      <w:pPr>
        <w:pStyle w:val="ListNumber"/>
      </w:pPr>
      <w:r>
        <w:t>发布口径文档并完成评审。</w:t>
      </w:r>
    </w:p>
    <w:p>
      <w:pPr>
        <w:pStyle w:val="ListNumber"/>
      </w:pPr>
      <w:r>
        <w:t>完成 3 家差异渠道的对账复核与结案。</w:t>
      </w:r>
    </w:p>
    <w:p>
      <w:pPr>
        <w:pStyle w:val="ListNumber"/>
      </w:pPr>
      <w:r>
        <w:t>启动城市站活动复盘模板设计。</w:t>
      </w:r>
    </w:p>
    <w:p>
      <w:pPr>
        <w:pStyle w:val="Heading1"/>
      </w:pPr>
      <w:r>
        <w:t>4  需协调事项</w:t>
      </w:r>
    </w:p>
    <w:p>
      <w:r>
        <w:t>请财务本周五前确认对账差异处理规则,避免影响结案进度。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内部公开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