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数据中台建设技术方案(评审稿)</w:t>
      </w:r>
    </w:p>
    <w:p>
      <w:r>
        <w:t>密级:内部公开  版本:v0.9  编制:架构组  日期:2026-07-30</w:t>
      </w:r>
    </w:p>
    <w:p>
      <w:pPr>
        <w:pStyle w:val="Heading1"/>
      </w:pPr>
      <w:r>
        <w:t>1  建设背景</w:t>
      </w:r>
    </w:p>
    <w:p>
      <w:r>
        <w:t>当前各业务系统数据分散、口径不一,报表开发周期长。本方案拟通过数据中台统一采集、加工与服务,一期覆盖营销、供应链、财务三个域,支撑经营分析看板与自助取数。</w:t>
      </w:r>
    </w:p>
    <w:p>
      <w:pPr>
        <w:pStyle w:val="Heading1"/>
      </w:pPr>
      <w:r>
        <w:t>2  总体架构</w:t>
      </w:r>
    </w:p>
    <w:p>
      <w:r>
        <w:t>总体分为四层:数据采集层、数据加工层、数据服务层与数据治理层。</w:t>
      </w:r>
    </w:p>
    <w:p>
      <w:r>
        <w:t>采集层通过 CDC 与定时批量两种方式接入源系统;加工层采用批流一体框架;服务层提供指标 API 与即席查询;治理层负责元数据、质量与安全。</w:t>
      </w:r>
    </w:p>
    <w:p>
      <w:pPr>
        <w:pStyle w:val="Heading1"/>
      </w:pPr>
      <w:r>
        <w:t>3 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环节</w:t>
            </w:r>
          </w:p>
        </w:tc>
        <w:tc>
          <w:tcPr>
            <w:tcW w:type="dxa" w:w="2880"/>
          </w:tcPr>
          <w:p>
            <w:r>
              <w:t>选型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采集</w:t>
            </w:r>
          </w:p>
        </w:tc>
        <w:tc>
          <w:tcPr>
            <w:tcW w:type="dxa" w:w="2880"/>
          </w:tcPr>
          <w:p>
            <w:r>
              <w:t>CDC + 批量调度</w:t>
            </w:r>
          </w:p>
        </w:tc>
        <w:tc>
          <w:tcPr>
            <w:tcW w:type="dxa" w:w="2880"/>
          </w:tcPr>
          <w:p>
            <w:r>
              <w:t>实时性与成本平衡,兼容既有 Oracle 与 MySQL</w:t>
            </w:r>
          </w:p>
        </w:tc>
      </w:tr>
      <w:tr>
        <w:tc>
          <w:tcPr>
            <w:tcW w:type="dxa" w:w="2880"/>
          </w:tcPr>
          <w:p>
            <w:r>
              <w:t>加工</w:t>
            </w:r>
          </w:p>
        </w:tc>
        <w:tc>
          <w:tcPr>
            <w:tcW w:type="dxa" w:w="2880"/>
          </w:tcPr>
          <w:p>
            <w:r>
              <w:t>批流一体计算引擎</w:t>
            </w:r>
          </w:p>
        </w:tc>
        <w:tc>
          <w:tcPr>
            <w:tcW w:type="dxa" w:w="2880"/>
          </w:tcPr>
          <w:p>
            <w:r>
              <w:t>一套 SQL 同时支撑批与流,降低维护成本</w:t>
            </w:r>
          </w:p>
        </w:tc>
      </w:tr>
      <w:tr>
        <w:tc>
          <w:tcPr>
            <w:tcW w:type="dxa" w:w="2880"/>
          </w:tcPr>
          <w:p>
            <w:r>
              <w:t>存储</w:t>
            </w:r>
          </w:p>
        </w:tc>
        <w:tc>
          <w:tcPr>
            <w:tcW w:type="dxa" w:w="2880"/>
          </w:tcPr>
          <w:p>
            <w:r>
              <w:t>湖仓一体</w:t>
            </w:r>
          </w:p>
        </w:tc>
        <w:tc>
          <w:tcPr>
            <w:tcW w:type="dxa" w:w="2880"/>
          </w:tcPr>
          <w:p>
            <w:r>
              <w:t>明细入湖、指标入仓,兼顾成本与查询性能</w:t>
            </w:r>
          </w:p>
        </w:tc>
      </w:tr>
      <w:tr>
        <w:tc>
          <w:tcPr>
            <w:tcW w:type="dxa" w:w="2880"/>
          </w:tcPr>
          <w:p>
            <w:r>
              <w:t>服务</w:t>
            </w:r>
          </w:p>
        </w:tc>
        <w:tc>
          <w:tcPr>
            <w:tcW w:type="dxa" w:w="2880"/>
          </w:tcPr>
          <w:p>
            <w:r>
              <w:t>指标平台 + API 网关</w:t>
            </w:r>
          </w:p>
        </w:tc>
        <w:tc>
          <w:tcPr>
            <w:tcW w:type="dxa" w:w="2880"/>
          </w:tcPr>
          <w:p>
            <w:r>
              <w:t>口径统一收敛在指标层,消费方不直连表</w:t>
            </w:r>
          </w:p>
        </w:tc>
      </w:tr>
    </w:tbl>
    <w:p>
      <w:pPr>
        <w:pStyle w:val="Heading1"/>
      </w:pPr>
      <w:r>
        <w:t>4  实施计划</w:t>
      </w:r>
    </w:p>
    <w:p>
      <w:r>
        <w:t>实施分三个阶段,每阶段末安排一次业务验证。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周期</w:t>
            </w:r>
          </w:p>
        </w:tc>
        <w:tc>
          <w:tcPr>
            <w:tcW w:type="dxa" w:w="2160"/>
          </w:tcPr>
          <w:p>
            <w:r>
              <w:t>范围</w:t>
            </w:r>
          </w:p>
        </w:tc>
        <w:tc>
          <w:tcPr>
            <w:tcW w:type="dxa" w:w="2160"/>
          </w:tcPr>
          <w:p>
            <w:r>
              <w:t>里程碑</w:t>
            </w:r>
          </w:p>
        </w:tc>
      </w:tr>
      <w:tr>
        <w:tc>
          <w:tcPr>
            <w:tcW w:type="dxa" w:w="2160"/>
          </w:tcPr>
          <w:p>
            <w:r>
              <w:t>一期</w:t>
            </w:r>
          </w:p>
        </w:tc>
        <w:tc>
          <w:tcPr>
            <w:tcW w:type="dxa" w:w="2160"/>
          </w:tcPr>
          <w:p>
            <w:r>
              <w:t>2026 Q3</w:t>
            </w:r>
          </w:p>
        </w:tc>
        <w:tc>
          <w:tcPr>
            <w:tcW w:type="dxa" w:w="2160"/>
          </w:tcPr>
          <w:p>
            <w:r>
              <w:t>营销域 + 经营看板</w:t>
            </w:r>
          </w:p>
        </w:tc>
        <w:tc>
          <w:tcPr>
            <w:tcW w:type="dxa" w:w="2160"/>
          </w:tcPr>
          <w:p>
            <w:r>
              <w:t>看板 30 个核心指标上线</w:t>
            </w:r>
          </w:p>
        </w:tc>
      </w:tr>
      <w:tr>
        <w:tc>
          <w:tcPr>
            <w:tcW w:type="dxa" w:w="2160"/>
          </w:tcPr>
          <w:p>
            <w:r>
              <w:t>二期</w:t>
            </w:r>
          </w:p>
        </w:tc>
        <w:tc>
          <w:tcPr>
            <w:tcW w:type="dxa" w:w="2160"/>
          </w:tcPr>
          <w:p>
            <w:r>
              <w:t>2026 Q4</w:t>
            </w:r>
          </w:p>
        </w:tc>
        <w:tc>
          <w:tcPr>
            <w:tcW w:type="dxa" w:w="2160"/>
          </w:tcPr>
          <w:p>
            <w:r>
              <w:t>供应链域 + 自助取数</w:t>
            </w:r>
          </w:p>
        </w:tc>
        <w:tc>
          <w:tcPr>
            <w:tcW w:type="dxa" w:w="2160"/>
          </w:tcPr>
          <w:p>
            <w:r>
              <w:t>自助取数覆盖 80% 报表场景</w:t>
            </w:r>
          </w:p>
        </w:tc>
      </w:tr>
      <w:tr>
        <w:tc>
          <w:tcPr>
            <w:tcW w:type="dxa" w:w="2160"/>
          </w:tcPr>
          <w:p>
            <w:r>
              <w:t>三期</w:t>
            </w:r>
          </w:p>
        </w:tc>
        <w:tc>
          <w:tcPr>
            <w:tcW w:type="dxa" w:w="2160"/>
          </w:tcPr>
          <w:p>
            <w:r>
              <w:t>2027 Q1</w:t>
            </w:r>
          </w:p>
        </w:tc>
        <w:tc>
          <w:tcPr>
            <w:tcW w:type="dxa" w:w="2160"/>
          </w:tcPr>
          <w:p>
            <w:r>
              <w:t>财务域 + 数据治理</w:t>
            </w:r>
          </w:p>
        </w:tc>
        <w:tc>
          <w:tcPr>
            <w:tcW w:type="dxa" w:w="2160"/>
          </w:tcPr>
          <w:p>
            <w:r>
              <w:t>治理成熟度达到 L3</w:t>
            </w:r>
          </w:p>
        </w:tc>
      </w:tr>
    </w:tbl>
    <w:p>
      <w:pPr>
        <w:pStyle w:val="Heading1"/>
      </w:pPr>
      <w:r>
        <w:t>5  风险与对策</w:t>
      </w:r>
    </w:p>
    <w:p>
      <w:r>
        <w:t>源系统改造配合度风险:由项目组与各系统负责人签订接口 SLA。</w:t>
      </w:r>
    </w:p>
    <w:p>
      <w:r>
        <w:t>口径冲突风险:建立指标口径评审委员会,所有指标上线前评审。</w:t>
      </w:r>
    </w:p>
    <w:p>
      <w:pPr>
        <w:pStyle w:val="Heading1"/>
      </w:pPr>
      <w:r>
        <w:t>6  附录</w:t>
      </w:r>
    </w:p>
    <w:p>
      <w:r>
        <w:t>附录 A 指标清单(草案);附录 B 数据模型命名规范。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内部公开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