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需求说明</w:t>
      </w:r>
    </w:p>
    <w:p>
      <w:r>
        <w:t>本文件是脱敏的固定交付样例,用于验证 Word 输入解析主链路。</w:t>
      </w:r>
    </w:p>
    <w:p>
      <w:pPr>
        <w:pStyle w:val="Heading1"/>
      </w:pPr>
      <w:r>
        <w:t>一、建设目标</w:t>
      </w:r>
    </w:p>
    <w:p>
      <w:r>
        <w:t>形成可离线运行的文档解析、IR 校验与可编辑产物生成能力。</w:t>
      </w:r>
    </w:p>
    <w:p>
      <w:pPr>
        <w:pStyle w:val="Heading2"/>
      </w:pPr>
      <w:r>
        <w:t>1.1 功能范围</w:t>
      </w:r>
    </w:p>
    <w:p>
      <w:pPr>
        <w:pStyle w:val="ListBullet"/>
      </w:pPr>
      <w:r>
        <w:t>支持 Markdown、Word、Excel、PowerPoint 四类输入。</w:t>
      </w:r>
    </w:p>
    <w:p>
      <w:pPr>
        <w:pStyle w:val="ListBullet2"/>
      </w:pPr>
      <w:r>
        <w:t>所有模型输出必须先通过 IR 校验。</w:t>
      </w:r>
    </w:p>
    <w:p>
      <w:pPr>
        <w:pStyle w:val="Heading1"/>
      </w:pPr>
      <w:r>
        <w:t>二、验收要求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验收项</w:t>
            </w:r>
          </w:p>
        </w:tc>
        <w:tc>
          <w:tcPr>
            <w:tcW w:type="dxa" w:w="2880"/>
          </w:tcPr>
          <w:p>
            <w:r>
              <w:t>判据</w:t>
            </w:r>
          </w:p>
        </w:tc>
        <w:tc>
          <w:tcPr>
            <w:tcW w:type="dxa" w:w="2880"/>
          </w:tcPr>
          <w:p>
            <w:r>
              <w:t>责任角色</w:t>
            </w:r>
          </w:p>
        </w:tc>
      </w:tr>
      <w:tr>
        <w:tc>
          <w:tcPr>
            <w:tcW w:type="dxa" w:w="2880"/>
          </w:tcPr>
          <w:p>
            <w:r>
              <w:t>结构解析</w:t>
            </w:r>
          </w:p>
        </w:tc>
        <w:tc>
          <w:tcPr>
            <w:tcW w:type="dxa" w:w="2880"/>
          </w:tcPr>
          <w:p>
            <w:r>
              <w:t>标题、列表、表格顺序正确</w:t>
            </w:r>
          </w:p>
        </w:tc>
        <w:tc>
          <w:tcPr>
            <w:tcW w:type="dxa" w:w="2880"/>
          </w:tcPr>
          <w:p>
            <w:r>
              <w:t>开发</w:t>
            </w:r>
          </w:p>
        </w:tc>
      </w:tr>
      <w:tr>
        <w:tc>
          <w:tcPr>
            <w:tcW w:type="dxa" w:w="2880"/>
          </w:tcPr>
          <w:p>
            <w:r>
              <w:t>交付复检</w:t>
            </w:r>
          </w:p>
        </w:tc>
        <w:tc>
          <w:tcPr>
            <w:tcW w:type="dxa" w:w="2880"/>
          </w:tcPr>
          <w:p>
            <w:r>
              <w:t>错误码与报告齐全</w:t>
            </w:r>
          </w:p>
        </w:tc>
        <w:tc>
          <w:tcPr>
            <w:tcW w:type="dxa" w:w="2880"/>
          </w:tcPr>
          <w:p>
            <w:r>
              <w:t>评审</w:t>
            </w:r>
          </w:p>
        </w:tc>
      </w:tr>
    </w:tbl>
    <w:p>
      <w:r>
        <w:t>文本框内容仅用于验证不支持项 warning,不应进入正文。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xmlns:w="http://schemas.openxmlformats.org/wordprocessingml/2006/main" xmlns:v="urn:schemas-microsoft-com:vml">
      <w:r>
        <w:pict>
          <v:shape id="DeliveryTextBox" style="width:180pt;height:32pt" type="#_x0000_t202">
            <v:textbox>
              <w:txbxContent>
                <w:p>
                  <w:r>
                    <w:t>文本框降级样例</w:t>
                  </w:r>
                </w:p>
              </w:txbxContent>
            </v:textbox>
          </v:shape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需求说明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