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项目周报</w:t>
      </w:r>
    </w:p>
    <w:p>
      <w:pPr>
        <w:pStyle w:val="ListNumber"/>
      </w:pPr>
      <w:r>
        <w:t>一、本周进展</w:t>
      </w:r>
    </w:p>
    <w:p>
      <w:pPr>
        <w:pStyle w:val="ListNumber2"/>
      </w:pPr>
      <w:r>
        <w:t>1.1 完成台账核对</w:t>
      </w:r>
    </w:p>
    <w:p>
      <w:pPr>
        <w:pStyle w:val="ListNumber2"/>
      </w:pPr>
      <w:r>
        <w:t>1.2 输出风险清单</w:t>
      </w:r>
    </w:p>
    <w:p>
      <w:pPr>
        <w:pStyle w:val="ListBullet"/>
      </w:pPr>
      <w:r>
        <w:t>关键风险</w:t>
      </w:r>
    </w:p>
    <w:p>
      <w:pPr>
        <w:pStyle w:val="ListBullet2"/>
      </w:pPr>
      <w:r>
        <w:t>跨部门依赖未完全闭环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事项</w:t>
            </w:r>
          </w:p>
        </w:tc>
        <w:tc>
          <w:tcPr>
            <w:tcW w:type="dxa" w:w="2880"/>
          </w:tcPr>
          <w:p>
            <w:r>
              <w:t>责任人</w:t>
            </w:r>
          </w:p>
        </w:tc>
        <w:tc>
          <w:tcPr>
            <w:tcW w:type="dxa" w:w="2880"/>
          </w:tcPr>
          <w:p>
            <w:r>
              <w:t>状态</w:t>
            </w:r>
          </w:p>
        </w:tc>
      </w:tr>
      <w:tr>
        <w:tc>
          <w:tcPr>
            <w:tcW w:type="dxa" w:w="2880"/>
          </w:tcPr>
          <w:p>
            <w:r>
              <w:t>需求澄清</w:t>
            </w:r>
          </w:p>
        </w:tc>
        <w:tc>
          <w:tcPr>
            <w:tcW w:type="dxa" w:w="2880"/>
          </w:tcPr>
          <w:p>
            <w:r>
              <w:t>王五</w:t>
            </w:r>
          </w:p>
        </w:tc>
        <w:tc>
          <w:tcPr>
            <w:tcW w:type="dxa" w:w="2880"/>
          </w:tcPr>
          <w:p>
            <w:r>
              <w:t>完成</w:t>
            </w:r>
          </w:p>
        </w:tc>
      </w:tr>
      <w:tr>
        <w:tc>
          <w:tcPr>
            <w:tcW w:type="dxa" w:w="2880"/>
          </w:tcPr>
          <w:p>
            <w:r>
              <w:t>风险复盘</w:t>
            </w:r>
          </w:p>
        </w:tc>
        <w:tc>
          <w:tcPr>
            <w:tcW w:type="dxa" w:w="2880"/>
          </w:tcPr>
          <w:p>
            <w:r>
              <w:t>赵六</w:t>
            </w:r>
          </w:p>
        </w:tc>
        <w:tc>
          <w:tcPr>
            <w:tcW w:type="dxa" w:w="2880"/>
          </w:tcPr>
          <w:p>
            <w:r>
              <w:t>推进中</w:t>
            </w:r>
          </w:p>
        </w:tc>
      </w:tr>
    </w:tbl>
    <w:p>
      <w:pPr>
        <w:sectPr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pPr>
        <w:pStyle w:val="Heading2"/>
      </w:pPr>
      <w:r>
        <w:t>下周计划</w:t>
      </w:r>
    </w:p>
    <w:p>
      <w:r>
        <w:t>补齐验收证据并同步导师。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