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用户材料：统一校验方案</w:t>
      </w:r>
    </w:p>
    <w:p>
      <w:r>
        <w:t>密级：HUAWEI CONFIDENTIAL</w:t>
      </w:r>
    </w:p>
    <w:p>
      <w:r>
        <w:t>背景：当前流程存在重复录入和问题定位慢的痛点，目标是缩短处理链路。</w:t>
      </w:r>
    </w:p>
    <w:p>
      <w:r>
        <w:t>封面副标题：把校验前移到契约层。</w:t>
      </w:r>
    </w:p>
    <w:p>
      <w:r>
        <w:t>汇报人：交付组</w:t>
      </w:r>
    </w:p>
    <w:p>
      <w:r>
        <w:t>卡片一：现状重复录入；卡片二：定位链路过长；卡片三：缺少统一契约；卡片四：回归证据不足。</w:t>
      </w:r>
    </w:p>
    <w:p>
      <w:pPr>
        <w:pStyle w:val="ListBullet"/>
      </w:pPr>
      <w:r>
        <w:t>方案 A 保留现有接口，改造成本低；方案 B 增加统一校验层，问题提前暴露。</w:t>
      </w:r>
    </w:p>
    <w:p>
      <w:pPr>
        <w:pStyle w:val="ListBullet"/>
      </w:pPr>
      <w:r>
        <w:t>推荐方案 B，因为校验职责集中且回归边界清晰。</w:t>
      </w:r>
    </w:p>
    <w:p>
      <w:r>
        <w:t>问题是字段不一致；措施是 Schema 前置；负责人是契约组；状态是进行中。</w:t>
      </w:r>
    </w:p>
    <w:p>
      <w:r>
        <w:t>表体：接口字段缺少必填标记。统一校验拦截非法输入。契约组跟进。本周完成。</w:t>
      </w:r>
    </w:p>
    <w:p>
      <w:r>
        <w:t>表体：下游失败无法定位。增加审计清单。交付组跟进。下周验证。</w:t>
      </w:r>
    </w:p>
    <w:p>
      <w:r>
        <w:t>节点：解析输入、校验契约、生成产物、执行审计。</w:t>
      </w:r>
    </w:p>
    <w:p>
      <w:r>
        <w:t>测试覆盖正常输入、缺失字段和异常包，非法输入不生成产物。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