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A48E" w14:textId="71612779" w:rsidR="002E05F9" w:rsidRPr="00DE6E71" w:rsidRDefault="00A64BF9" w:rsidP="00DE6E71">
      <w:pPr>
        <w:pStyle w:val="WISS"/>
        <w:rPr>
          <w:rFonts w:hint="eastAsia"/>
        </w:rPr>
      </w:pPr>
      <w:r w:rsidRPr="00C14B4F">
        <w:rPr>
          <w:rFonts w:hint="eastAsia"/>
          <w:noProof/>
        </w:rPr>
        <mc:AlternateContent>
          <mc:Choice Requires="wpg">
            <w:drawing>
              <wp:anchor distT="0" distB="0" distL="114300" distR="114300" simplePos="0" relativeHeight="251661824" behindDoc="0" locked="0" layoutInCell="1" allowOverlap="1" wp14:anchorId="3D7C6D16" wp14:editId="1BDB116B">
                <wp:simplePos x="0" y="0"/>
                <wp:positionH relativeFrom="column">
                  <wp:posOffset>6350</wp:posOffset>
                </wp:positionH>
                <wp:positionV relativeFrom="paragraph">
                  <wp:posOffset>0</wp:posOffset>
                </wp:positionV>
                <wp:extent cx="6113145" cy="259080"/>
                <wp:effectExtent l="0" t="0" r="8255" b="7620"/>
                <wp:wrapTight wrapText="bothSides">
                  <wp:wrapPolygon edited="0">
                    <wp:start x="18623" y="0"/>
                    <wp:lineTo x="0" y="13765"/>
                    <wp:lineTo x="0" y="19059"/>
                    <wp:lineTo x="18623" y="21176"/>
                    <wp:lineTo x="21584" y="21176"/>
                    <wp:lineTo x="21584" y="0"/>
                    <wp:lineTo x="18623" y="0"/>
                  </wp:wrapPolygon>
                </wp:wrapTight>
                <wp:docPr id="28"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3145" cy="259080"/>
                          <a:chOff x="1147" y="1719"/>
                          <a:chExt cx="9627" cy="408"/>
                        </a:xfrm>
                      </wpg:grpSpPr>
                      <wps:wsp>
                        <wps:cNvPr id="29" name="Text Box 38"/>
                        <wps:cNvSpPr txBox="1">
                          <a:spLocks noChangeArrowheads="1"/>
                        </wps:cNvSpPr>
                        <wps:spPr bwMode="auto">
                          <a:xfrm>
                            <a:off x="9497" y="1719"/>
                            <a:ext cx="1277" cy="4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wps:txbx>
                        <wps:bodyPr rot="0" vert="horz" wrap="square" lIns="0" tIns="0" rIns="0" bIns="0" anchor="t" anchorCtr="0" upright="1">
                          <a:noAutofit/>
                        </wps:bodyPr>
                      </wps:wsp>
                      <pic:pic xmlns:pic="http://schemas.openxmlformats.org/drawingml/2006/picture">
                        <pic:nvPicPr>
                          <pic:cNvPr id="30" name="Picture 120" descr="header_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1147" y="1993"/>
                            <a:ext cx="8680" cy="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D7C6D16" id="Group 121" o:spid="_x0000_s1026" style="position:absolute;left:0;text-align:left;margin-left:.5pt;margin-top:0;width:481.35pt;height:20.4pt;z-index:251661824" coordorigin="1147,1719" coordsize="9627,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">
                <v:shapetype id="_x0000_t202" coordsize="21600,21600" o:spt="202" path="m,l,21600r21600,l21600,xe">
                  <v:stroke joinstyle="miter"/>
                  <v:path gradientshapeok="t" o:connecttype="rect"/>
                </v:shapetype>
                <v:shape id="Text Box 38" o:spid="_x0000_s1027" type="#_x0000_t202" style="position:absolute;left:9497;top:1719;width:1277;height: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" filled="f" stroked="f">
                  <v:textbox inset="0,0,0,0">
                    <w:txbxContent>
                      <w:p w14:paraId="67A20881" w14:textId="50E753E3" w:rsidR="00011E59" w:rsidRDefault="00011E59" w:rsidP="00EB0B61">
                        <w:pPr>
                          <w:ind w:right="78" w:firstLineChars="0" w:firstLine="0"/>
                          <w:jc w:val="right"/>
                          <w:rPr>
                            <w:rFonts w:ascii="Arial Unicode MS" w:eastAsia="Arial Unicode MS" w:hAnsi="Arial Unicode MS" w:cs="Arial Unicode MS"/>
                            <w:sz w:val="12"/>
                            <w:szCs w:val="10"/>
                          </w:rPr>
                        </w:pPr>
                        <w:r>
                          <w:rPr>
                            <w:rFonts w:ascii="Arial Unicode MS" w:eastAsia="Arial Unicode MS" w:hAnsi="Arial Unicode MS" w:cs="Arial Unicode MS"/>
                            <w:sz w:val="12"/>
                            <w:szCs w:val="10"/>
                          </w:rPr>
                          <w:t>WISS</w:t>
                        </w:r>
                        <w:r>
                          <w:rPr>
                            <w:rFonts w:ascii="Arial Unicode MS" w:eastAsia="Arial Unicode MS" w:hAnsi="Arial Unicode MS" w:cs="Arial Unicode MS" w:hint="eastAsia"/>
                            <w:sz w:val="12"/>
                            <w:szCs w:val="10"/>
                          </w:rPr>
                          <w:t xml:space="preserve"> </w:t>
                        </w:r>
                        <w:r w:rsidR="00C14B4F">
                          <w:rPr>
                            <w:rFonts w:ascii="Arial Unicode MS" w:eastAsia="Arial Unicode MS" w:hAnsi="Arial Unicode MS" w:cs="Arial Unicode MS"/>
                            <w:sz w:val="12"/>
                            <w:szCs w:val="10"/>
                          </w:rPr>
                          <w:t>20</w:t>
                        </w:r>
                        <w:r w:rsidR="00EC1E7B">
                          <w:rPr>
                            <w:rFonts w:ascii="Arial Unicode MS" w:eastAsia="Arial Unicode MS" w:hAnsi="Arial Unicode MS" w:cs="Arial Unicode MS"/>
                            <w:sz w:val="12"/>
                            <w:szCs w:val="10"/>
                          </w:rPr>
                          <w:t>2</w:t>
                        </w:r>
                        <w:r w:rsidR="00614B23">
                          <w:rPr>
                            <w:rFonts w:ascii="Arial Unicode MS" w:eastAsia="Arial Unicode MS" w:hAnsi="Arial Unicode MS" w:cs="Arial Unicode MS" w:hint="eastAsia"/>
                            <w:sz w:val="12"/>
                            <w:szCs w:val="10"/>
                          </w:rPr>
                          <w:t>6</w:t>
                        </w:r>
                      </w:p>
                      <w:p w14:paraId="04916F25" w14:textId="77777777" w:rsidR="00012FA5" w:rsidRPr="00731F8E" w:rsidRDefault="00012FA5" w:rsidP="00EB0B61">
                        <w:pPr>
                          <w:ind w:right="78" w:firstLineChars="0" w:firstLine="0"/>
                          <w:jc w:val="right"/>
                          <w:rPr>
                            <w:rFonts w:ascii="Arial Unicode MS" w:eastAsia="Arial Unicode MS" w:hAnsi="Arial Unicode MS" w:cs="Arial Unicode MS"/>
                            <w:sz w:val="12"/>
                            <w:szCs w:val="10"/>
                          </w:rPr>
                        </w:pPr>
                      </w:p>
                      <w:p w14:paraId="4E2D1E58" w14:textId="77777777" w:rsidR="00011E59" w:rsidRDefault="00011E59" w:rsidP="00CD3F50">
                        <w:pPr>
                          <w:ind w:right="78" w:firstLineChars="0" w:firstLine="0"/>
                          <w:rPr>
                            <w:sz w:val="10"/>
                            <w:szCs w:val="10"/>
                          </w:rPr>
                        </w:pPr>
                      </w:p>
                      <w:p w14:paraId="33F1FBDF" w14:textId="77777777" w:rsidR="00011E59" w:rsidRPr="004736CC" w:rsidRDefault="00011E59" w:rsidP="00CD3F50">
                        <w:pPr>
                          <w:ind w:right="78" w:firstLineChars="0" w:firstLine="0"/>
                          <w:rPr>
                            <w:sz w:val="10"/>
                            <w:szCs w:val="10"/>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0" o:spid="_x0000_s1028" type="#_x0000_t75" alt="header_line" style="position:absolute;left:1147;top:1993;width:8680;height: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">
                  <v:imagedata r:id="rId9" o:title="header_line"/>
                </v:shape>
                <w10:wrap type="tight"/>
              </v:group>
            </w:pict>
          </mc:Fallback>
        </mc:AlternateContent>
      </w:r>
      <w:r w:rsidRPr="00C14B4F">
        <w:rPr>
          <w:rFonts w:hint="eastAsia"/>
          <w:noProof/>
        </w:rPr>
        <mc:AlternateContent>
          <mc:Choice Requires="wpg">
            <w:drawing>
              <wp:anchor distT="0" distB="0" distL="114300" distR="114300" simplePos="0" relativeHeight="251657728" behindDoc="0" locked="1" layoutInCell="1" allowOverlap="1" wp14:anchorId="499C1B1B" wp14:editId="149C3455">
                <wp:simplePos x="0" y="0"/>
                <wp:positionH relativeFrom="margin">
                  <wp:posOffset>-1905</wp:posOffset>
                </wp:positionH>
                <wp:positionV relativeFrom="margin">
                  <wp:posOffset>8068310</wp:posOffset>
                </wp:positionV>
                <wp:extent cx="2926080" cy="499745"/>
                <wp:effectExtent l="0" t="0" r="7620" b="8255"/>
                <wp:wrapTopAndBottom/>
                <wp:docPr id="25" name="Group 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26080" cy="499745"/>
                          <a:chOff x="1134" y="14406"/>
                          <a:chExt cx="4608" cy="1062"/>
                        </a:xfrm>
                      </wpg:grpSpPr>
                      <wps:wsp>
                        <wps:cNvPr id="26" name="Text Box 22"/>
                        <wps:cNvSpPr txBox="1">
                          <a:spLocks noChangeArrowheads="1"/>
                        </wps:cNvSpPr>
                        <wps:spPr bwMode="auto">
                          <a:xfrm>
                            <a:off x="1134" y="14406"/>
                            <a:ext cx="4608" cy="1062"/>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wps:txbx>
                        <wps:bodyPr rot="0" vert="horz" wrap="square" lIns="74295" tIns="19800" rIns="74295" bIns="8890" anchor="t" anchorCtr="0" upright="1">
                          <a:noAutofit/>
                        </wps:bodyPr>
                      </wps:wsp>
                      <wps:wsp>
                        <wps:cNvPr id="27" name="AutoShape 23"/>
                        <wps:cNvCnPr>
                          <a:cxnSpLocks noChangeShapeType="1"/>
                        </wps:cNvCnPr>
                        <wps:spPr bwMode="auto">
                          <a:xfrm>
                            <a:off x="1134" y="14406"/>
                            <a:ext cx="1839" cy="0"/>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99C1B1B" id="Group 87" o:spid="_x0000_s1029" style="position:absolute;left:0;text-align:left;margin-left:-.15pt;margin-top:635.3pt;width:230.4pt;height:39.35pt;z-index:251657728;mso-position-horizontal-relative:margin;mso-position-vertical-relative:margin" coordorigin="1134,14406" coordsize="4608,106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">
                <v:shapetype id="_x0000_t202" coordsize="21600,21600" o:spt="202" path="m,l,21600r21600,l21600,xe">
                  <v:stroke joinstyle="miter"/>
                  <v:path gradientshapeok="t" o:connecttype="rect"/>
                </v:shapetype>
                <v:shape id="Text Box 22" o:spid="_x0000_s1030" type="#_x0000_t202" style="position:absolute;left:1134;top:14406;width:4608;height:106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" filled="f" strokecolor="white">
                  <v:textbox inset="5.85pt,.55mm,5.85pt,.7pt">
                    <w:txbxContent>
                      <w:p w14:paraId="0D8F41CD" w14:textId="77777777" w:rsidR="00011E59" w:rsidRPr="00706092" w:rsidRDefault="00011E59" w:rsidP="00CC7E43">
                        <w:pPr>
                          <w:spacing w:line="220" w:lineRule="exact"/>
                          <w:ind w:right="73" w:firstLineChars="50" w:firstLine="87"/>
                          <w:rPr>
                            <w:spacing w:val="-16"/>
                            <w:szCs w:val="16"/>
                          </w:rPr>
                        </w:pPr>
                        <w:r w:rsidRPr="00706092">
                          <w:rPr>
                            <w:rFonts w:hint="eastAsia"/>
                            <w:spacing w:val="-16"/>
                            <w:szCs w:val="16"/>
                          </w:rPr>
                          <w:t>Copyright is held by the author(s).</w:t>
                        </w:r>
                      </w:p>
                      <w:p w14:paraId="54DCD21A" w14:textId="040392A3" w:rsidR="00011E59" w:rsidRPr="00706092" w:rsidRDefault="00011E59" w:rsidP="00D25030">
                        <w:pPr>
                          <w:spacing w:line="220" w:lineRule="exact"/>
                          <w:ind w:right="73" w:firstLineChars="0" w:firstLine="0"/>
                          <w:rPr>
                            <w:spacing w:val="-16"/>
                            <w:szCs w:val="16"/>
                          </w:rPr>
                        </w:pPr>
                        <w:r w:rsidRPr="00706092">
                          <w:rPr>
                            <w:rFonts w:hint="eastAsia"/>
                            <w:spacing w:val="-16"/>
                            <w:szCs w:val="16"/>
                          </w:rPr>
                          <w:t xml:space="preserve">* </w:t>
                        </w:r>
                        <w:r w:rsidR="00FA7323">
                          <w:rPr>
                            <w:rFonts w:hint="eastAsia"/>
                            <w:spacing w:val="-16"/>
                            <w:szCs w:val="16"/>
                          </w:rPr>
                          <w:t>津田塾</w:t>
                        </w:r>
                        <w:r w:rsidRPr="00706092">
                          <w:rPr>
                            <w:rFonts w:hint="eastAsia"/>
                            <w:spacing w:val="-16"/>
                            <w:szCs w:val="16"/>
                          </w:rPr>
                          <w:t>大学，</w:t>
                        </w:r>
                        <w:r w:rsidRPr="00706092">
                          <w:rPr>
                            <w:rFonts w:hint="eastAsia"/>
                            <w:vertAlign w:val="superscript"/>
                          </w:rPr>
                          <w:t>†</w:t>
                        </w:r>
                        <w:r w:rsidR="00FA7323">
                          <w:rPr>
                            <w:rFonts w:hint="eastAsia"/>
                            <w:spacing w:val="-16"/>
                            <w:szCs w:val="16"/>
                          </w:rPr>
                          <w:t>日本学術振興会</w:t>
                        </w:r>
                      </w:p>
                    </w:txbxContent>
                  </v:textbox>
                </v:shape>
                <v:shapetype id="_x0000_t32" coordsize="21600,21600" o:spt="32" o:oned="t" path="m,l21600,21600e" filled="f">
                  <v:path arrowok="t" fillok="f" o:connecttype="none"/>
                  <o:lock v:ext="edit" shapetype="t"/>
                </v:shapetype>
                <v:shape id="AutoShape 23" o:spid="_x0000_s1031" type="#_x0000_t32" style="position:absolute;left:1134;top:14406;width:183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" strokeweight=".5pt"/>
                <w10:wrap type="topAndBottom" anchorx="margin" anchory="margin"/>
                <w10:anchorlock/>
              </v:group>
            </w:pict>
          </mc:Fallback>
        </mc:AlternateContent>
      </w:r>
      <w:r>
        <w:rPr>
          <w:rFonts w:hint="eastAsia"/>
        </w:rPr>
        <w:t xml:space="preserve">音声の識別率軌跡を再現する動的文字 iFont の生成と，四種類の表示方式の比較</w:t>
      </w:r>
    </w:p>
    <w:p w14:paraId="284F9117" w14:textId="65265780" w:rsidR="00202E5A" w:rsidRPr="00695681" w:rsidRDefault="00706689" w:rsidP="00695681">
      <w:pPr>
        <w:pStyle w:val="aa"/>
      </w:pPr>
      <w:r>
        <w:rPr>
          <w:rFonts w:hint="eastAsia"/>
        </w:rPr>
        <w:t>丸山</w:t>
      </w:r>
      <w:r w:rsidR="00725612" w:rsidRPr="00695681">
        <w:rPr>
          <w:rFonts w:hint="eastAsia"/>
        </w:rPr>
        <w:t xml:space="preserve"> </w:t>
      </w:r>
      <w:r>
        <w:rPr>
          <w:rFonts w:hint="eastAsia"/>
        </w:rPr>
        <w:t>礼華</w:t>
      </w:r>
      <w:r w:rsidR="006A5606" w:rsidRPr="006F662F">
        <w:rPr>
          <w:rFonts w:hint="eastAsia"/>
          <w:vertAlign w:val="superscript"/>
        </w:rPr>
        <w:t>*</w:t>
      </w:r>
      <w:r w:rsidR="00D527C4" w:rsidRPr="006F662F">
        <w:rPr>
          <w:rFonts w:hint="eastAsia"/>
          <w:vertAlign w:val="superscript"/>
        </w:rPr>
        <w:t>†</w:t>
      </w:r>
      <w:r w:rsidR="00D527C4">
        <w:t xml:space="preserve"> </w:t>
      </w:r>
      <w:r>
        <w:rPr>
          <w:rFonts w:hint="eastAsia"/>
        </w:rPr>
        <w:t>栗原</w:t>
      </w:r>
      <w:r w:rsidR="00725612" w:rsidRPr="00695681">
        <w:rPr>
          <w:rFonts w:hint="eastAsia"/>
        </w:rPr>
        <w:t xml:space="preserve"> </w:t>
      </w:r>
      <w:r>
        <w:rPr>
          <w:rFonts w:hint="eastAsia"/>
        </w:rPr>
        <w:t>一貴</w:t>
      </w:r>
      <w:r w:rsidR="00476867" w:rsidRPr="006F662F">
        <w:rPr>
          <w:rFonts w:hint="eastAsia"/>
          <w:vertAlign w:val="superscript"/>
        </w:rPr>
        <w:t>*</w:t>
      </w:r>
    </w:p>
    <w:p w14:paraId="0F7DDDFD" w14:textId="77777777" w:rsidR="007B0C4C" w:rsidRDefault="00195642" w:rsidP="00D232A0">
      <w:pPr>
        <w:pStyle w:val="aff0"/>
      </w:pPr>
      <w:r w:rsidRPr="00492902">
        <w:rPr>
          <w:rFonts w:ascii="ＭＳ ゴシック" w:eastAsia="ＭＳ ゴシック" w:hAnsi="ＭＳ ゴシック" w:hint="eastAsia"/>
        </w:rPr>
        <w:t>概要．</w:t>
      </w:r>
      <w:r w:rsidR="0069528E">
        <w:rPr>
          <w:rFonts w:ascii="ＭＳ ゴシック" w:eastAsia="ＭＳ ゴシック" w:hAnsi="ＭＳ ゴシック" w:hint="eastAsia"/>
        </w:rPr>
        <w:t xml:space="preserve">　</w:t>
      </w:r>
      <w:r>
        <w:rPr>
          <w:rFonts w:hint="eastAsia"/>
        </w:rPr>
        <w:t xml:space="preserve">音声や文字アニメーションでは，情報が時間とともに提示されるため，何が表されているかを判別できる程度も時間に沿って変化する．しかし，この時間的な変化を，異なる提示方法に共通する形式で記述する枠組みは十分に整備されていない．本研究では，各時点で文字や語がどの程度判別可能であるべきかを記述する中間表現Perceptual Scoreを提案する．同一のPerceptual Scoreを音声または動的文字表示へ変換することで，同じ時点に同程度まで判別可能な提示を構成する．この動的文字表示をiFontと呼ぶ．Perceptual Scoreを各提示方法で実現するため，文脈を持たないかな1文字について，視覚と聴覚における提示の明瞭さを，共通の認識率を基準として対応づける変換 g を構成する．本稿はこのうち文字合成の側を扱う．音声を打ち切って測った識別率の軌跡を目標に与え，測定した曲線の逆引きによって時間軸を非線形に変形し，人手を挟まない一度きりの計算で生成する．刺激を途中で打ち切り，与えられた断片からどこまで識別できるかを調べる測定を，視覚325名・聴覚90名で実施した．その実測から，測定した曲線が提示水準の並べ方に依存する方式があること，および進行度という一つの数では読める状態が定まらない場合があることが明らかになった．また，識別率が変化する範囲で作れる表示の段階数と，提示時間に対する識別率の安定性の2つにより，この測定の段階だけで表示方式の適否を判定でき，調べた4方式のうち転写に用いうるのは2方式であった．</w:t>
      </w:r>
    </w:p>
    <w:p w14:paraId="6AB9F7CE" w14:textId="77777777" w:rsidR="00D232A0" w:rsidRPr="00D232A0" w:rsidRDefault="00D232A0" w:rsidP="00D232A0">
      <w:pPr>
        <w:pStyle w:val="aff0"/>
      </w:pPr>
    </w:p>
    <w:p w14:paraId="7B648791" w14:textId="77777777" w:rsidR="00202E5A" w:rsidRPr="009D5004" w:rsidRDefault="00202E5A" w:rsidP="00D232A0">
      <w:pPr>
        <w:ind w:firstLine="205"/>
        <w:sectPr w:rsidR="00202E5A" w:rsidRPr="009D5004" w:rsidSect="00CD3F50">
          <w:headerReference w:type="even" r:id="rId10"/>
          <w:headerReference w:type="default" r:id="rId11"/>
          <w:footerReference w:type="even" r:id="rId12"/>
          <w:footerReference w:type="default" r:id="rId13"/>
          <w:headerReference w:type="first" r:id="rId14"/>
          <w:footerReference w:type="first" r:id="rId15"/>
          <w:pgSz w:w="11906" w:h="16838" w:code="9"/>
          <w:pgMar w:top="1985" w:right="1134" w:bottom="1361" w:left="1134" w:header="624" w:footer="284" w:gutter="0"/>
          <w:cols w:space="425"/>
          <w:titlePg/>
          <w:docGrid w:type="linesAndChars" w:linePitch="586" w:charSpace="1037"/>
        </w:sectPr>
      </w:pPr>
    </w:p>
    <w:p>
      <w:pPr>
        <w:pStyle w:val="1"/>
      </w:pPr>
      <w:r>
        <w:rPr>
          <w:rFonts w:hint="eastAsia"/>
        </w:rPr>
        <w:t xml:space="preserve">はじめに</w:t>
      </w:r>
    </w:p>
    <w:p>
      <w:r>
        <w:rPr>
          <w:rFonts w:hint="eastAsia"/>
        </w:rPr>
        <w:t xml:space="preserve">かるたでは，読み札の音が 1 音ずつ届くあいだに取るべき絵札の候補が絞られ，何が読まれているかを識別できる程度が時間とともに変化する [10]．本研究が対象とするのはこの時間変化であり，その最小の単位は，文脈を持たないかな 1 文字を音の先頭から聞き取る過程である．既存の字幕表示はこの時間変化を提示しない．一語を一度に出す字幕は語が確定した後に文字を表示し，音声に同期して文字の色を変えるカラオケ型の表示は，どの時点でどれだけ識別できるかを測定したうえで設計されてはいない．識別が成立する時刻を合わせる手段は存在するが，識別が進む過程を合わせる手段は存在しない．</w:t>
      </w:r>
    </w:p>
    <w:p>
      <w:r>
        <w:rPr>
          <w:rFonts w:hint="eastAsia"/>
        </w:rPr>
        <w:t xml:space="preserve">本研究は iFont プロジェクトの一部であり，このプロジェクトでは，文字情報が徐々に識別可能になっていく過程を記述する，モダリティに依存しない中間表現 Perceptual Score（知覚スコア）を提案している [6]．スコアの各時点には，その時点までに届いた情報から対象がどの程度識別可能であるべきかを，基準となる観測者集団の識別率によって記述する．同一のスコアを音声合成によって音声として，文字合成によって動的な文字表示として実現すれば，同じ時点で同程度に識別できる 2 つの提示が得られる．この文字合成の出力を iFont と定義する．本稿は文字合成にあたる部分を，かな 1 文字という最小の構成で扱う．中間表現そのものの妥当性，および同一のスコアから生成した音声と文字とで得られる理解が同じかどうかは，本稿の範囲に含めない．</w:t>
      </w:r>
    </w:p>
    <w:p>
      <w:r>
        <w:rPr>
          <w:rFonts w:hint="eastAsia"/>
        </w:rPr>
        <w:t xml:space="preserve">本研究の目的は，読みやすさの最大化ではなく，識別可能性を時間軸の上で制御することにある．本稿では，刺激を先頭から一定量だけ提示して打ち切ったときの正答率を提示量の関数として並べたものを識別率軌跡と呼び，音声の識別率軌跡を文字アニメーションの上で再現することを転写と呼ぶ．また，このように刺激を途中で打ち切り，与えられた断片からどこまで識別できるかを調べることを断片情報での測定（以下，測定）と呼ぶ．提案する生成手続きは，音声の測定，文字アニメーションの測定，逆引きによる時間軸の変形の 3 段からなり，人手の調整を挟まない一度きりの計算である．</w:t>
      </w:r>
    </w:p>
    <w:p>
      <w:r>
        <w:rPr>
          <w:rFonts w:hint="eastAsia"/>
        </w:rPr>
        <w:t xml:space="preserve">本研究の貢献は次の 3 点である．第一に，音声と文字アニメーションの識別率軌跡を同一の打ち切り手続きによって測定し，その逆引きにもとづく非線形な時間変形によって文字アニメーションを生成する手法を定式化した．第二に，4 種類の表示方式について測定を実施し，測定した曲線が提示水準の並べ方に依存する方式があること，および進行度という一つの数では読める状態が定まらない場合があることを示した．第三に，識別率が変化する範囲で作れる表示の段階数と，同じ進行度で提示時間を変えたときの識別率の安定性という 2 つの量により，測定の段階で表示方式の適否を判定できることを示した．</w:t>
      </w:r>
    </w:p>
    <w:p>
      <w:r>
        <w:rPr>
          <w:rFonts w:hint="eastAsia"/>
        </w:rPr>
        <w:t xml:space="preserve">本稿は原理確認の段階にあり，評価の範囲は，1 名の話者による合成音声から作成した 8 文字の刺激，調べた 4 種類の表示方式，および集団単位での識別率に限られる．本論文は，2 章で関連研究を整理したのち，3 章で提案手法，4 章で測定の設計，5 章で結果，6 章で考察と限界を述べる．</w:t>
      </w:r>
    </w:p>
    <w:p/>
    <w:p>
      <w:pPr>
        <w:pStyle w:val="1"/>
      </w:pPr>
      <w:r>
        <w:rPr>
          <w:rFonts w:hint="eastAsia"/>
        </w:rPr>
        <w:t xml:space="preserve">関連研究</w:t>
      </w:r>
    </w:p>
    <w:p>
      <w:pPr>
        <w:pStyle w:val="2"/>
        <w:ind w:left="386" w:hanging="386"/>
      </w:pPr>
      <w:r>
        <w:rPr>
          <w:rFonts w:hint="eastAsia"/>
        </w:rPr>
        <w:t xml:space="preserve">刺激を打ち切って識別の時間経過を測る方法</w:t>
      </w:r>
    </w:p>
    <w:p>
      <w:r>
        <w:rPr>
          <w:rFonts w:hint="eastAsia"/>
        </w:rPr>
        <w:t xml:space="preserve">刺激を先頭から一定量だけ提示し，残りを打ち切って識別を求める方法は，音声知覚の分野で用いられてきた．日本語でも分割した単音節や切り出した音節について同種の測定が行われ [16][7][5]，英語圏では Grosjean [4] がゲーティング法を定式化し，Smits [15] が VCV 発話における識別情報の時間分布を調べている．Furui [3] は識別に必要な区間の長さが子音の種類によって異なることを報告しており，提示時点を音の種類ごとに配置するという本研究の設計の根拠となる．視覚側でも，単一文字について提示時間の心理測定関数を求めた例 [12] や，3 条件で 10 ms 刻みのゲーティングを行った例 [14] がある．これらが確立したのは識別率軌跡を測定する手続きであり，本研究は測定した軌跡から別の表現を生成する段階を扱う．</w:t>
      </w:r>
    </w:p>
    <w:p>
      <w:pPr>
        <w:pStyle w:val="2"/>
        <w:ind w:left="386" w:hanging="386"/>
      </w:pPr>
      <w:r>
        <w:rPr>
          <w:rFonts w:hint="eastAsia"/>
        </w:rPr>
        <w:t xml:space="preserve">時間的に変化する文字表示</w:t>
      </w:r>
    </w:p>
    <w:p>
      <w:r>
        <w:rPr>
          <w:rFonts w:hint="eastAsia"/>
        </w:rPr>
        <w:t xml:space="preserve">Bragg ら [1] の Livefonts は，文字の構成要素に動きと色を与えた書体により，従来の書体よりも小さい寸法で判読できることを示している．上月ら [17] は，コントラストが時間とともに立ち上がって減衰する動的テキスト提示について提示速度と読み速度の関係を調べており，同じ枠組みは音声の抑揚を文字の時間変化へ移す試みへも展開されている [18]．Lee ら [8] は，文字の位置，大きさ，角度を関数の合成として駆動する枠組みを与えている．これらが表示方法を変えたときに読みやすさや理解がどう変わるかを調べているのに対し，本研究は目標の軌跡を先に与え，測定を経て表示を生成する．表示方式は優劣の比較対象ではなく，識別可能性を時間軸の上で操作する手段として用いる．</w:t>
      </w:r>
    </w:p>
    <w:p>
      <w:pPr>
        <w:pStyle w:val="2"/>
        <w:ind w:left="386" w:hanging="386"/>
      </w:pPr>
      <w:r>
        <w:rPr>
          <w:rFonts w:hint="eastAsia"/>
        </w:rPr>
        <w:t xml:space="preserve">モダリティ間の対応づけと本研究の位置づけ</w:t>
      </w:r>
    </w:p>
    <w:p>
      <w:r>
        <w:rPr>
          <w:rFonts w:hint="eastAsia"/>
        </w:rPr>
        <w:t xml:space="preserve">著者らはこれまでに，競技かるたの聴き分け能力を測定する Web サイトで 576 名分の反応時間を分析している [10]．この測定が対象としたのは識別が成立した時刻であるのに対し，本研究は識別が成立するまでの時間変化を対象とする．感覚間マッチングの研究は主に強度や大きさの次元を対象としており，識別が進行する時間構造は扱われていない．広く用いられているカラオケ型の表示は，どの時点でどれだけ識別できるかを測る工程を持たない．私たちの知る限り，測定した識別率軌跡を目標として，測定した曲線の逆引きによって文字アニメーションを生成した例はない．</w:t>
      </w:r>
    </w:p>
    <w:p/>
    <w:p>
      <w:pPr>
        <w:pStyle w:val="1"/>
      </w:pPr>
      <w:r>
        <w:rPr>
          <w:rFonts w:hint="eastAsia"/>
        </w:rPr>
        <w:t xml:space="preserve">提案手法</w:t>
      </w:r>
    </w:p>
    <w:p>
      <w:r>
        <w:rPr>
          <w:rFonts w:hint="eastAsia"/>
        </w:rPr>
        <w:t xml:space="preserve">1 章で述べた枠組みと本手法との対応は次のとおりである．音声について測定した識別率軌跡が中間表現にあたり，変換 g を時間軸に沿って適用したものが，視覚について測定した曲線の逆引きによる時間変形にあたる．この手続き全体が文字合成にあたり，生成されたアニメーションが iFont にあたる．以降では，測定した量を直接表す語として識別率軌跡と時間変形を用いる．</w:t>
      </w:r>
    </w:p>
    <w:p>
      <w:pPr>
        <w:pStyle w:val="2"/>
        <w:ind w:left="386" w:hanging="386"/>
      </w:pPr>
      <w:r>
        <w:rPr>
          <w:rFonts w:hint="eastAsia"/>
        </w:rPr>
        <w:t xml:space="preserve">全体の構成</w:t>
      </w:r>
    </w:p>
    <w:p>
      <w:r>
        <w:rPr>
          <w:rFonts w:hint="eastAsia"/>
        </w:rPr>
        <w:t xml:space="preserve">対象文字 i について，提案手法は 3 段で文字アニメーションを生成する．第 1 段は聴覚の測定であり，文字 i の音声を音の実体が始まる点から t ms だけ提示して打ち切り，かな表から回答させて正答率の時間関数 A_i(t) を得る．第 2 段は視覚の測定であり，文字 i の基準アニメーションを進行度 s % まで進めて打ち切り，同じ回答形式で正答率 V_i(s) を得る．基準アニメーションは進行度が時間に比例する等速のアニメーションであり，表示方式ごとに用意する．第 3 段は時間軸の変形であり，両者を後述する識別の進み具合 q の空間で対応づけ，逆引きによって次式を得る．</w:t>
      </w:r>
    </w:p>
    <w:p>
      <w:r>
        <w:rPr>
          <w:rFonts w:hint="eastAsia"/>
        </w:rPr>
        <w:t xml:space="preserve">s_i(t) = q̂V_i⁻¹( q̂A_i(t) )</w:t>
      </w:r>
    </w:p>
    <w:p>
      <w:r>
        <w:rPr>
          <w:rFonts w:hint="eastAsia"/>
        </w:rPr>
        <w:t xml:space="preserve">この規則は，音声が 50% 識別される時刻にアニメーションを 50% 識別される進行度まで進めることを意味する．聴覚と視覚はいずれも先頭から一定量を提示して打ち切る対称な課題であるため，静止画とアニメーション途中の状態が等価であるという仮定を置く必要がない．一方で本手法は，基準アニメーションで測定した進行度と正答率の関係が時間軸を変形した後にも保たれると仮定する．この仮定は 4.5 節の設計にもとづいて 5.6 節で測定する．</w:t>
      </w:r>
    </w:p>
    <w:p>
      <w:pPr>
        <w:pStyle w:val="2"/>
        <w:ind w:left="386" w:hanging="386"/>
      </w:pPr>
      <w:r>
        <w:rPr>
          <w:rFonts w:hint="eastAsia"/>
        </w:rPr>
        <w:t xml:space="preserve">識別の進み具合 q</w:t>
      </w:r>
    </w:p>
    <w:p>
      <w:r>
        <w:rPr>
          <w:rFonts w:hint="eastAsia"/>
        </w:rPr>
        <w:t xml:space="preserve">観測される正答率には，まぐれ当たりによる下限と押し間違いによる上限の欠けが含まれ，そのまま対応づけると時間変形の誤差となる．そこで，下限を γ，上限の欠けを λ として，観測正答率 P から次式によって 0 から 1 に正規化した量を定義する．</w:t>
      </w:r>
    </w:p>
    <w:p>
      <w:r>
        <w:rPr>
          <w:rFonts w:hint="eastAsia"/>
        </w:rPr>
        <w:t xml:space="preserve">q = ( P − γ ) / ( 1 − γ − λ )</w:t>
      </w:r>
    </w:p>
    <w:p>
      <w:r>
        <w:rPr>
          <w:rFonts w:hint="eastAsia"/>
        </w:rPr>
        <w:t xml:space="preserve">この量を識別の進み具合と呼び，対応づけと逆引きはすべて q の空間で行う．</w:t>
      </w:r>
    </w:p>
    <w:p>
      <w:pPr>
        <w:pStyle w:val="2"/>
        <w:ind w:left="386" w:hanging="386"/>
      </w:pPr>
      <w:r>
        <w:rPr>
          <w:rFonts w:hint="eastAsia"/>
        </w:rPr>
        <w:t xml:space="preserve">軌跡の推定と値域の外の扱い</w:t>
      </w:r>
    </w:p>
    <w:p>
      <w:r>
        <w:rPr>
          <w:rFonts w:hint="eastAsia"/>
        </w:rPr>
        <w:t xml:space="preserve">生成に用いる q̂A_i と q̂V_i は，関数形をあらかじめ決めずに単調性の制約を課した回帰によって推定し，逆関数は推定した単調曲線から解析的に求める．二項尤度のもとでの単調最尤解が試行数で重み付けした単調最小二乗と一致することを用い，参加者を単位としたブートストラップで平均した単調回帰を用いる．平均をとるのは，単調回帰が単独では階段状になり平坦な区間で逆関数が一意に定まらないためであり，平滑化の程度は標本のばらつきが決めるので調整すべき定数を持たない．単調関数の平均は単調であるから制約は保たれる．水準のあいだは区間ごとに解析的に補間し，測定した範囲の外へは外挿しない．</w:t>
      </w:r>
    </w:p>
    <w:p>
      <w:r>
        <w:rPr>
          <w:rFonts w:hint="eastAsia"/>
        </w:rPr>
        <w:t xml:space="preserve">提案する時間変形を評価するため，比較のための基準となる時間変形を 2 つ置く．基準 1 はその方式の等速の進行，基準 2 は開始時刻と速度のみを合わせた一次変換 s = at + b である．基準 2 の係数は，測定データだけから作れる最良の一次変換となるよう，2 つの軌跡の距離 E（4.6 節）が最小になる値に決める．</w:t>
      </w:r>
    </w:p>
    <w:p>
      <w:r>
        <w:rPr>
          <w:rFonts w:hint="eastAsia"/>
        </w:rPr>
        <w:t xml:space="preserve">双方をロジスティック関数に当てはめてから逆引きしてはならない．得られる変換が開始時刻の平行移動と速度の定数倍に帰着し，基準 2 と区別できなくなるためである．この帰着は γ と λ が両側で一致するとき厳密に成立し，本研究の測定データでも，λ が近い文字では提案軌跡と理論上の一次変換との残差が可動域比で 0.0005 であった．ロジスティック関数による推定を用いた場合，提案と基準 2 の平均差はフェード方式で 3.4 ポイント，部分表示方式で 7.1 ポイントにとどまる（基準 1 とは 47 から 48 ポイント離れている）．ワイプ方式では提案が基準 2 より目標から 7.6 ポイント遠くなり，転写として機能しない．単調回帰を用いると全方式で符号が正となり，平均は 6.5 ポイントから 17.3 ポイントへ，目標軌跡の再現誤差は 16.3 ポイントから 3.8 ポイントへ改善する．</w:t>
      </w:r>
    </w:p>
    <w:p>
      <w:r>
        <w:rPr>
          <w:rFonts w:hint="eastAsia"/>
        </w:rPr>
        <w:t xml:space="preserve">ロジスティック関数は分析の要約に限って用い，その関数は P(t) = γ + ( 1 − γ − λ ) · logistic( ( t − μ ) / σ ) である [19]．交差確認による予測精度では単調回帰はロジスティック関数に劣るが，推定としての当てはまりと逆引きを経た変換としての妥当性は別の量であり，本研究が必要とするのは後者である．</w:t>
      </w:r>
    </w:p>
    <w:p>
      <w:r>
        <w:rPr>
          <w:rFonts w:hint="eastAsia"/>
        </w:rPr>
        <w:t xml:space="preserve">q̂A_i(t) が q̂V_i の値域の上限を超える時刻以降は s を丸め，丸めの発生範囲は記録して報告する．進行度が 100% に到達することは要求しない．音声が最後まで識別されない文字では，文字表示も最後まで完成しないことが正しい再現である．</w:t>
      </w:r>
    </w:p>
    <w:p>
      <w:pPr>
        <w:pStyle w:val="2"/>
        <w:ind w:left="386" w:hanging="386"/>
      </w:pPr>
      <w:r>
        <w:rPr>
          <w:rFonts w:hint="eastAsia"/>
        </w:rPr>
        <w:t xml:space="preserve">表示方式の位置づけ</w:t>
      </w:r>
    </w:p>
    <w:p>
      <w:r>
        <w:rPr>
          <w:rFonts w:hint="eastAsia"/>
        </w:rPr>
        <w:t xml:space="preserve">提案手法が表示に要求する条件は，単調に増加する 1 次元の進行度によって記述できることの 1 点である．先行研究が用いてきた代表的な機構から，この条件を満たす 4 種類を実装例として選んだ（表 1）．画素の表示順は文字ごとに固定した乱数順とし，ワイプの走査方向は全文字で共通とする．いずれの方式も，生成時には進行度を s_i(t) に置き換えるのみで，方式ごとの生成規則は用意しない．</w:t>
      </w:r>
    </w:p>
    <w:p>
      <w:pPr>
        <w:pStyle w:val="af6"/>
      </w:pPr>
      <w:r>
        <w:rPr>
          <w:rFonts w:hint="eastAsia"/>
        </w:rPr>
        <w:t xml:space="preserve">表 1．本研究で用いる 4 種類の表示方式．</w:t>
      </w:r>
    </w:p>
    <w:tbl>
      <w:tblPr>
        <w:tblStyle w:val="af7"/>
        <w:tblW w:w="4400" w:type="dxa"/>
        <w:jc w:val="center"/>
        <w:tblLayout w:type="fixed"/>
        <w:tblLook w:val="04A0" w:firstRow="1" w:lastRow="0" w:firstColumn="0" w:lastColumn="0" w:noHBand="0" w:noVBand="1"/>
      </w:tblPr>
      <w:tblGrid>
        <w:gridCol w:w="709"/>
        <w:gridCol w:w="1277"/>
        <w:gridCol w:w="2414"/>
      </w:tblGrid>
      <w:tr>
        <w:trPr>
          <w:jc w:val="center"/>
        </w:trPr>
        <w:tc>
          <w:tcPr>
            <w:tcW w:w="709" w:type="dxa"/>
            <w:vAlign w:val="center"/>
          </w:tcPr>
          <w:p>
            <w:pPr>
              <w:ind w:firstLineChars="0" w:firstLine="0"/>
              <w:jc w:val="left"/>
              <w:rPr>
                <w:rStyle w:val="af2"/>
              </w:rPr>
            </w:pPr>
            <w:r>
              <w:rPr>
                <w:rStyle w:val="af2"/>
                <w:rFonts w:hint="eastAsia"/>
                <w:b/>
              </w:rPr>
              <w:t xml:space="preserve">方式</w:t>
            </w:r>
          </w:p>
        </w:tc>
        <w:tc>
          <w:tcPr>
            <w:tcW w:w="1277" w:type="dxa"/>
            <w:vAlign w:val="center"/>
          </w:tcPr>
          <w:p>
            <w:pPr>
              <w:ind w:firstLineChars="0" w:firstLine="0"/>
              <w:jc w:val="left"/>
              <w:rPr>
                <w:rStyle w:val="af2"/>
              </w:rPr>
            </w:pPr>
            <w:r>
              <w:rPr>
                <w:rStyle w:val="af2"/>
                <w:rFonts w:hint="eastAsia"/>
                <w:b/>
              </w:rPr>
              <w:t xml:space="preserve">進行度が支配する量</w:t>
            </w:r>
          </w:p>
        </w:tc>
        <w:tc>
          <w:tcPr>
            <w:tcW w:w="2414" w:type="dxa"/>
            <w:vAlign w:val="center"/>
          </w:tcPr>
          <w:p>
            <w:pPr>
              <w:ind w:firstLineChars="0" w:firstLine="0"/>
              <w:jc w:val="left"/>
              <w:rPr>
                <w:rStyle w:val="af2"/>
              </w:rPr>
            </w:pPr>
            <w:r>
              <w:rPr>
                <w:rStyle w:val="af2"/>
                <w:rFonts w:hint="eastAsia"/>
                <w:b/>
              </w:rPr>
              <w:t xml:space="preserve">情報の増え方</w:t>
            </w:r>
          </w:p>
        </w:tc>
      </w:tr>
      <w:tr>
        <w:trPr>
          <w:jc w:val="center"/>
        </w:trPr>
        <w:tc>
          <w:tcPr>
            <w:tcW w:w="709" w:type="dxa"/>
            <w:vAlign w:val="center"/>
          </w:tcPr>
          <w:p>
            <w:pPr>
              <w:ind w:firstLineChars="0" w:firstLine="0"/>
              <w:jc w:val="left"/>
              <w:rPr>
                <w:rStyle w:val="af2"/>
              </w:rPr>
            </w:pPr>
            <w:r>
              <w:rPr>
                <w:rStyle w:val="af2"/>
                <w:rFonts w:hint="eastAsia"/>
              </w:rPr>
              <w:t xml:space="preserve">フェード</w:t>
            </w:r>
          </w:p>
        </w:tc>
        <w:tc>
          <w:tcPr>
            <w:tcW w:w="1277" w:type="dxa"/>
            <w:vAlign w:val="center"/>
          </w:tcPr>
          <w:p>
            <w:pPr>
              <w:ind w:firstLineChars="0" w:firstLine="0"/>
              <w:jc w:val="left"/>
              <w:rPr>
                <w:rStyle w:val="af2"/>
              </w:rPr>
            </w:pPr>
            <w:r>
              <w:rPr>
                <w:rStyle w:val="af2"/>
                <w:rFonts w:hint="eastAsia"/>
              </w:rPr>
              <w:t xml:space="preserve">不透明度</w:t>
            </w:r>
          </w:p>
        </w:tc>
        <w:tc>
          <w:tcPr>
            <w:tcW w:w="2414" w:type="dxa"/>
            <w:vAlign w:val="center"/>
          </w:tcPr>
          <w:p>
            <w:pPr>
              <w:ind w:firstLineChars="0" w:firstLine="0"/>
              <w:jc w:val="left"/>
              <w:rPr>
                <w:rStyle w:val="af2"/>
              </w:rPr>
            </w:pPr>
            <w:r>
              <w:rPr>
                <w:rStyle w:val="af2"/>
                <w:rFonts w:hint="eastAsia"/>
              </w:rPr>
              <w:t xml:space="preserve">字形全体があり，信号の強さが上がる</w:t>
            </w:r>
          </w:p>
        </w:tc>
      </w:tr>
      <w:tr>
        <w:trPr>
          <w:jc w:val="center"/>
        </w:trPr>
        <w:tc>
          <w:tcPr>
            <w:tcW w:w="709" w:type="dxa"/>
            <w:vAlign w:val="center"/>
          </w:tcPr>
          <w:p>
            <w:pPr>
              <w:ind w:firstLineChars="0" w:firstLine="0"/>
              <w:jc w:val="left"/>
              <w:rPr>
                <w:rStyle w:val="af2"/>
              </w:rPr>
            </w:pPr>
            <w:r>
              <w:rPr>
                <w:rStyle w:val="af2"/>
                <w:rFonts w:hint="eastAsia"/>
              </w:rPr>
              <w:t xml:space="preserve">部分表示</w:t>
            </w:r>
          </w:p>
        </w:tc>
        <w:tc>
          <w:tcPr>
            <w:tcW w:w="1277" w:type="dxa"/>
            <w:vAlign w:val="center"/>
          </w:tcPr>
          <w:p>
            <w:pPr>
              <w:ind w:firstLineChars="0" w:firstLine="0"/>
              <w:jc w:val="left"/>
              <w:rPr>
                <w:rStyle w:val="af2"/>
              </w:rPr>
            </w:pPr>
            <w:r>
              <w:rPr>
                <w:rStyle w:val="af2"/>
                <w:rFonts w:hint="eastAsia"/>
              </w:rPr>
              <w:t xml:space="preserve">表示する画素の割合</w:t>
            </w:r>
          </w:p>
        </w:tc>
        <w:tc>
          <w:tcPr>
            <w:tcW w:w="2414" w:type="dxa"/>
            <w:vAlign w:val="center"/>
          </w:tcPr>
          <w:p>
            <w:pPr>
              <w:ind w:firstLineChars="0" w:firstLine="0"/>
              <w:jc w:val="left"/>
              <w:rPr>
                <w:rStyle w:val="af2"/>
              </w:rPr>
            </w:pPr>
            <w:r>
              <w:rPr>
                <w:rStyle w:val="af2"/>
                <w:rFonts w:hint="eastAsia"/>
              </w:rPr>
              <w:t xml:space="preserve">散らばった部分情報が増える</w:t>
            </w:r>
          </w:p>
        </w:tc>
      </w:tr>
      <w:tr>
        <w:trPr>
          <w:jc w:val="center"/>
        </w:trPr>
        <w:tc>
          <w:tcPr>
            <w:tcW w:w="709" w:type="dxa"/>
            <w:vAlign w:val="center"/>
          </w:tcPr>
          <w:p>
            <w:pPr>
              <w:ind w:firstLineChars="0" w:firstLine="0"/>
              <w:jc w:val="left"/>
              <w:rPr>
                <w:rStyle w:val="af2"/>
              </w:rPr>
            </w:pPr>
            <w:r>
              <w:rPr>
                <w:rStyle w:val="af2"/>
                <w:rFonts w:hint="eastAsia"/>
              </w:rPr>
              <w:t xml:space="preserve">ぼかし解除</w:t>
            </w:r>
          </w:p>
        </w:tc>
        <w:tc>
          <w:tcPr>
            <w:tcW w:w="1277" w:type="dxa"/>
            <w:vAlign w:val="center"/>
          </w:tcPr>
          <w:p>
            <w:pPr>
              <w:ind w:firstLineChars="0" w:firstLine="0"/>
              <w:jc w:val="left"/>
              <w:rPr>
                <w:rStyle w:val="af2"/>
              </w:rPr>
            </w:pPr>
            <w:r>
              <w:rPr>
                <w:rStyle w:val="af2"/>
                <w:rFonts w:hint="eastAsia"/>
              </w:rPr>
              <w:t xml:space="preserve">ぼかし半径の逆</w:t>
            </w:r>
          </w:p>
        </w:tc>
        <w:tc>
          <w:tcPr>
            <w:tcW w:w="2414" w:type="dxa"/>
            <w:vAlign w:val="center"/>
          </w:tcPr>
          <w:p>
            <w:pPr>
              <w:ind w:firstLineChars="0" w:firstLine="0"/>
              <w:jc w:val="left"/>
              <w:rPr>
                <w:rStyle w:val="af2"/>
              </w:rPr>
            </w:pPr>
            <w:r>
              <w:rPr>
                <w:rStyle w:val="af2"/>
                <w:rFonts w:hint="eastAsia"/>
              </w:rPr>
              <w:t xml:space="preserve">形は最初からあり，細部が後から入る</w:t>
            </w:r>
          </w:p>
        </w:tc>
      </w:tr>
      <w:tr>
        <w:trPr>
          <w:jc w:val="center"/>
        </w:trPr>
        <w:tc>
          <w:tcPr>
            <w:tcW w:w="709" w:type="dxa"/>
            <w:vAlign w:val="center"/>
          </w:tcPr>
          <w:p>
            <w:pPr>
              <w:ind w:firstLineChars="0" w:firstLine="0"/>
              <w:jc w:val="left"/>
              <w:rPr>
                <w:rStyle w:val="af2"/>
              </w:rPr>
            </w:pPr>
            <w:r>
              <w:rPr>
                <w:rStyle w:val="af2"/>
                <w:rFonts w:hint="eastAsia"/>
              </w:rPr>
              <w:t xml:space="preserve">ワイプ</w:t>
            </w:r>
          </w:p>
        </w:tc>
        <w:tc>
          <w:tcPr>
            <w:tcW w:w="1277" w:type="dxa"/>
            <w:vAlign w:val="center"/>
          </w:tcPr>
          <w:p>
            <w:pPr>
              <w:ind w:firstLineChars="0" w:firstLine="0"/>
              <w:jc w:val="left"/>
              <w:rPr>
                <w:rStyle w:val="af2"/>
              </w:rPr>
            </w:pPr>
            <w:r>
              <w:rPr>
                <w:rStyle w:val="af2"/>
                <w:rFonts w:hint="eastAsia"/>
              </w:rPr>
              <w:t xml:space="preserve">見せる領域の割合</w:t>
            </w:r>
          </w:p>
        </w:tc>
        <w:tc>
          <w:tcPr>
            <w:tcW w:w="2414" w:type="dxa"/>
            <w:vAlign w:val="center"/>
          </w:tcPr>
          <w:p>
            <w:pPr>
              <w:ind w:firstLineChars="0" w:firstLine="0"/>
              <w:jc w:val="left"/>
              <w:rPr>
                <w:rStyle w:val="af2"/>
              </w:rPr>
            </w:pPr>
            <w:r>
              <w:rPr>
                <w:rStyle w:val="af2"/>
                <w:rFonts w:hint="eastAsia"/>
              </w:rPr>
              <w:t xml:space="preserve">つながった部分情報が増える</w:t>
            </w:r>
          </w:p>
        </w:tc>
      </w:tr>
    </w:tbl>
    <w:p/>
    <w:p>
      <w:r>
        <w:rPr>
          <w:rFonts w:hint="eastAsia"/>
        </w:rPr>
        <w:t xml:space="preserve">測定の結果から，このうち ぼかし解除方式とワイプ方式の 2 種類のみを転写に用いることにした．</w:t>
      </w:r>
    </w:p>
    <w:p>
      <w:r>
        <w:rPr>
          <w:rFonts w:hint="eastAsia"/>
        </w:rPr>
        <w:t xml:space="preserve">フェード方式を用いない理由は分解能である．不透明度は 256 階調で表現されるが，識別率が 5% から 95% まで変化する進行度の範囲は 0.4% から 2.6% と狭く，この範囲に対応する不透明度の整数値は文字によって 5 から 14 段階（中央値 6.5 段階） しかない．進行度をどれだけ細かく指定しても表示される絵は 6 通り程度に限られ，目標の識別率が要求する中間の値を表現できない．これは階調の制約であり，画面の書き換え周期を上げても解消しない．</w:t>
      </w:r>
    </w:p>
    <w:p>
      <w:r>
        <w:rPr>
          <w:rFonts w:hint="eastAsia"/>
        </w:rPr>
        <w:t xml:space="preserve">部分表示方式を用いない理由は提示時間への依存である．進行度をそろえたとき，提示時間が長いほど正答率が高い（5.6 節，+8.8 ポイント）．転写は時間軸を局所的に大きく変形するため，この方式では意図した軌跡から系統的に外れる．散らばった画素を統合して読むという機構そのものに由来するため，実装の変更では解消しない．</w:t>
      </w:r>
    </w:p>
    <w:p>
      <w:r>
        <w:rPr>
          <w:rFonts w:hint="eastAsia"/>
        </w:rPr>
        <w:t xml:space="preserve">残る 2 方式は，提示時間に対して安定である．同じ操作でぼかし解除方式は +1.2 ポイント（11 水準で比較），ワイプ方式は +1.5 ポイント（9 水準で比較）であり，いずれも信頼区間が 0 を含む．さらに，生成される表示において同一の絵が保持される時間（17 から 300 ms）は，測定した範囲（ぼかし解除 67 から 467 ms，ワイプ 50 から 434 ms）に完全に含まれる．フェード方式と部分表示方式では，測定した範囲がそれぞれ 100 ms，83 ms までであり，生成される表示の 9% がその外に出る．</w:t>
      </w:r>
    </w:p>
    <w:p>
      <w:r>
        <w:rPr>
          <w:rFonts w:hint="eastAsia"/>
        </w:rPr>
        <w:t xml:space="preserve">この判定は，測定の段階で表示方式の適否を決められることを示す．必要なのは，識別率が変化する範囲で何段階の異なる表示を作れるか（分解能）と，同じ進行度で提示時間を変えたときに識別率が変わらないか（時間への安定性）の 2 つであり，どちらも打ち切り提示による測定から直接得られる．生成した表示を用いた実験を必要としない．</w:t>
      </w:r>
    </w:p>
    <w:p/>
    <w:p>
      <w:pPr>
        <w:pStyle w:val="1"/>
      </w:pPr>
      <w:r>
        <w:rPr>
          <w:rFonts w:hint="eastAsia"/>
        </w:rPr>
        <w:t xml:space="preserve">測定の設計</w:t>
      </w:r>
    </w:p>
    <w:p>
      <w:pPr>
        <w:pStyle w:val="2"/>
        <w:ind w:left="386" w:hanging="386"/>
      </w:pPr>
      <w:r>
        <w:rPr>
          <w:rFonts w:hint="eastAsia"/>
        </w:rPr>
        <w:t xml:space="preserve">実験協力者集団</w:t>
      </w:r>
    </w:p>
    <w:p>
      <w:r>
        <w:rPr>
          <w:rFonts w:hint="eastAsia"/>
        </w:rPr>
        <w:t xml:space="preserve">実験協力者が参加するのは，測定の 2 集団（聴覚の群 Acal，視覚の群 A′）と，見え心地の 1 集団（群 C）であり，生成は実験協力者を伴わない計算工程である．群 Acal と群 A′ はそれぞれ打ち切った音声とアニメーションにかな表で回答し，A_i(t) と方式ごとの V_m,i(s) を与える．群 C は打ち切らない繰り返し提示を見て評定する．群 Acal の軌跡は音声識別率の真値ではなく，生成手続きに与える目標プロファイルであり，未知の音声協力者集団への一般化は主張しない．目標曲線の不確実性は，群 Acal の標本を参加者単位でブートストラップして当てはめをやり直すことで評価する [19]．3 集団はすべて独立であり，重複参加は ID をサーバ記録と照合して断る．</w:t>
      </w:r>
    </w:p>
    <w:p>
      <w:pPr>
        <w:pStyle w:val="2"/>
        <w:ind w:left="386" w:hanging="386"/>
      </w:pPr>
      <w:r>
        <w:rPr>
          <w:rFonts w:hint="eastAsia"/>
        </w:rPr>
        <w:t xml:space="preserve">対象文字と音声刺激</w:t>
      </w:r>
    </w:p>
    <w:p>
      <w:r>
        <w:rPr>
          <w:rFonts w:hint="eastAsia"/>
        </w:rPr>
        <w:t xml:space="preserve">対象は 8 文字とし，出現頻度にもとづく選定 [11] ではなく，時間構造の異なる音を含めるために音声学的なカテゴリーによる層化選定を用いる [16]．選んだ 8 文字は あ，か，が，ぱ，し，つ，ま，ら であり，母音，無声破裂音，有声破裂音，両唇の無声破裂音，摩擦音，破擦音，鼻音，はじき音を 1 つずつ含む．選定バイアスを避けるため，8 文字の固定，刺激の合成，品質確認，実験の順序を守り，合成音声や軌跡を見てから文字を差し替えない．</w:t>
      </w:r>
    </w:p>
    <w:p>
      <w:r>
        <w:rPr>
          <w:rFonts w:hint="eastAsia"/>
        </w:rPr>
        <w:t xml:space="preserve">音声刺激は音声合成によって作成する．かな 1 字だけを合成すると「短い 1 文」として扱われ，実測では全長が 1 秒前後まで伸びてピッチが最大 174 Hz 動く．そこで，対象音に全字共通の後続モーラを付けた 2 モーラの無意味語として合成し，第 1 モーラだけを切り出すキャリアフレーズ法を用いる [13][9]．合成には COEIROINK v2，話者「あみたろ」を用い，全 68 かなを「対象字＋さ」で合成する．後続モーラは 4 通りを比較し，境界の機械検出が 68 字すべてで成功した さ に決めた．第 1 モーラの長さは 77 から 164 ms（中央 104 ms），音量は A 特性で重みづけした実効値をそろえた．品質確認は全 68 字を人が聞いて行い，不具合のあった 3 字（び，り，ろ）だけ合成条件を変えて作り直した．この 3 字は本命 8 文字に含まれない．</w:t>
      </w:r>
    </w:p>
    <w:p>
      <w:r>
        <w:rPr>
          <w:rFonts w:hint="eastAsia"/>
        </w:rPr>
        <w:t xml:space="preserve">実験上の時刻 0 は音の実体が始まる点とし，自動検出したうえで全数を目視確認する．打ち切りは，打ち切り時刻 t で終わる 5 ms のフェードアウトによって行う．刺激は一度だけ提示し，聞き直しと見直しは設けない．回答は五十音表と同じ並びのかな表から選ぶ形式とし，聴覚は 68 字，視覚は 72 字の表を用いる．まぐれ当たりの率は選択肢の数からは固定せず，値を変えても結論が変わらないことを確認する．実験協力者はクラウドソーシングで募集し，日本語母語話者，18 歳以上，各集団 1 人 1 回を条件とする．</w:t>
      </w:r>
    </w:p>
    <w:p>
      <w:pPr>
        <w:pStyle w:val="2"/>
        <w:ind w:left="386" w:hanging="386"/>
      </w:pPr>
      <w:r>
        <w:rPr>
          <w:rFonts w:hint="eastAsia"/>
        </w:rPr>
        <w:t xml:space="preserve">提示時点の配置</w:t>
      </w:r>
    </w:p>
    <w:p>
      <w:r>
        <w:rPr>
          <w:rFonts w:hint="eastAsia"/>
        </w:rPr>
        <w:t xml:space="preserve">提示の刻みは文字ごとに 7 時点とし，打ち切らない全長の条件を 1 点加えて 8 点とする．聴覚は音の実体の開始点からの実時間 ms，視覚は進行度 % で打ち切る．時点は全文字で共通に置かず，識別に必要な区間の長さが子音の種類によって異なるという知見 [3] にもとづいて音の種類ごとに配置する．暫定の配置は，母音・破裂音・鼻音（あ・か・が・ぱ・ま）が 10, 20, 30, 40, 55, 70, 100 ms，破擦音（つ）とはじき音（ら）が 20, 40, 60, 80, 110, 150, 200 ms，無声摩擦音（し）が 30, 60, 90, 120, 150, 190, 240 ms であり，これに全長を加える．時点は，文字をまたぐ軌跡の比較も逆引きも絶対時間の軸の上で行うため，全長に対する割合ではなく絶対時間で置く．</w:t>
      </w:r>
    </w:p>
    <w:p>
      <w:r>
        <w:rPr>
          <w:rFonts w:hint="eastAsia"/>
        </w:rPr>
        <w:t xml:space="preserve">1 人の実験協力者が担当する測定点は 8 点のうち 3 点に絞る不完全ブロック計画とし，曲線は集団全体で 8 点すべてを埋めて描く．出題には対象 8 文字と同じ回数だけ現れる偽のターゲットを混ぜる．視覚の測定における進行度水準は，4 方式それぞれに独立な 8 水準を配置する．同じ進行度でも方式によって識別の難しさが大きく異なり，共通の水準では大半が下限か上限に張り付いて曲線が描けないことを実測で確かめたためである．</w:t>
      </w:r>
    </w:p>
    <w:p>
      <w:pPr>
        <w:pStyle w:val="2"/>
        <w:ind w:left="386" w:hanging="386"/>
      </w:pPr>
      <w:r>
        <w:rPr>
          <w:rFonts w:hint="eastAsia"/>
        </w:rPr>
        <w:t xml:space="preserve">見え心地の実験（群 C）</w:t>
      </w:r>
    </w:p>
    <w:p>
      <w:r>
        <w:rPr>
          <w:rFonts w:hint="eastAsia"/>
        </w:rPr>
        <w:t xml:space="preserve">生成した表示を字幕として続けて見ていられるかは，目標の軌跡にどれだけ近いかとは別の量であり，識別課題を行わない独立の集団で測定する．群 C では，代表文字（1 字条件は あ，5 字条件は あ・か・し・ま・ら に事前固定）を 4 方式で打ち切らずに繰り返し提示する．提示は，1 字を出す条件，5 字を左から 1 字ずつ出して残す条件，5 字を同じ位置で入れ替える条件の 3 通りに，中点まで待って完成形を一気に出すステップ表示を加えた合計 13 本である．5 字の並びは意味のある語にせず，視覚マスキングの交絡を避けるため [2] 字と字の開始間隔は約 600 ms とする．評定は 7 件法の 3 項目と 2 つの選択問題からなる．</w:t>
      </w:r>
    </w:p>
    <w:p>
      <w:pPr>
        <w:pStyle w:val="2"/>
        <w:ind w:left="386" w:hanging="386"/>
      </w:pPr>
      <w:r>
        <w:rPr>
          <w:rFonts w:hint="eastAsia"/>
        </w:rPr>
        <w:t xml:space="preserve">進行の速さの影響</w:t>
      </w:r>
    </w:p>
    <w:p>
      <w:r>
        <w:rPr>
          <w:rFonts w:hint="eastAsia"/>
        </w:rPr>
        <w:t xml:space="preserve">提案手法は進行度が同じであれば正答率も同じであるという仮定の上に成り立つ（3.1 節）．この仮定を調べるため，視覚の測定では基準アニメーションの長さを 300 ms と，およそ 1.7 倍ゆっくりの 500 ms の 2 水準とし，同じ進行度の水準を両方の速さで測定する．生成の逆引きに用いるのは 300 ms の水準の曲線だけであり，この取り決めはデータを見る前に固定した．結果を見てから生成に都合のよい速さを選んだという批判の余地を消すためである．画面の書き換え周期によらず指定した進行度がそろうよう，打ち切りに達したフレームで指定の進行度にそろえた 1 枚を必ず描画してから消す規則を用いた．</w:t>
      </w:r>
    </w:p>
    <w:p>
      <w:pPr>
        <w:pStyle w:val="2"/>
        <w:ind w:left="386" w:hanging="386"/>
      </w:pPr>
      <w:r>
        <w:rPr>
          <w:rFonts w:hint="eastAsia"/>
        </w:rPr>
        <w:t xml:space="preserve">評価指標と問い</w:t>
      </w:r>
    </w:p>
    <w:p>
      <w:r>
        <w:rPr>
          <w:rFonts w:hint="eastAsia"/>
        </w:rPr>
        <w:t xml:space="preserve">軌跡どうしの近さの指標として距離 E を用いる．E は各時点における正答率の差の絶対値を時点にわたって平均した量であり，単位は正答率のポイントである．比較は同じ文字どうしの対で行い，文字ごとの難しさの差を打ち消す．立ち上がりの急峻さは，二段階の推定で系統的に浅く推定される偏りが生じるため用いない．文字は意図的に選んでいるため，かな全体への一般化には用いない．</w:t>
      </w:r>
    </w:p>
    <w:p>
      <w:r>
        <w:rPr>
          <w:rFonts w:hint="eastAsia"/>
        </w:rPr>
        <w:t xml:space="preserve">本稿が測定から答える問いは 4 つである．RQ1 は，測定した曲線が刺激だけで決まるか，提示水準の並べ方に依存するかである．RQ2 は，識別率が進行度だけで決まるか，提示の速さや文字の形にも左右されるかである．RQ3 は，4 種類の表示方式のうちどれが転写に適するかである．RQ4 は，生成した表示を字幕として続けて見ていられるかであり，群 C で測定する．複数の比較を行う場合の p 値は Holm 法で調整する．</w:t>
      </w:r>
    </w:p>
    <w:p>
      <w:pPr>
        <w:pStyle w:val="2"/>
        <w:ind w:left="386" w:hanging="386"/>
      </w:pPr>
      <w:r>
        <w:rPr>
          <w:rFonts w:hint="eastAsia"/>
        </w:rPr>
        <w:t xml:space="preserve">手続きの確認と実装</w:t>
      </w:r>
    </w:p>
    <w:p>
      <w:r>
        <w:rPr>
          <w:rFonts w:hint="eastAsia"/>
        </w:rPr>
        <w:t xml:space="preserve">3 つの確認を行う．確認 A は全長を提示した問題の正答率が十分に高いこと，確認 B は提示量が多いほど正答率が上がること，確認 C はほとんど情報のない問題の正答率が実験の後半になっても上がっていないことである．確認 C は出題される文字集合を学習した兆候を検出するために置く．</w:t>
      </w:r>
    </w:p>
    <w:p>
      <w:r>
        <w:rPr>
          <w:rFonts w:hint="eastAsia"/>
        </w:rPr>
        <w:t xml:space="preserve">視覚課題は 4 方式それぞれについて打ち切り再生器を持ち，生成した表示は 60 Hz で評価した進行度の数値列で駆動する．記録は 1 問 1 行とし，集団，方式，条件，時点，基準アニメーションの長さ，実際に描画された提示時間，何問目か，端末環境を保存する．フォント名，文字の寸法，フレーム時刻の実測，音の開始点の定義と検出スクリプト，かな表の詳細は公開する．</w:t>
      </w:r>
    </w:p>
    <w:p/>
    <w:p>
      <w:pPr>
        <w:pStyle w:val="1"/>
      </w:pPr>
      <w:r>
        <w:rPr>
          <w:rFonts w:hint="eastAsia"/>
        </w:rPr>
        <w:t xml:space="preserve">結果</w:t>
      </w:r>
    </w:p>
    <w:p>
      <w:pPr>
        <w:pStyle w:val="2"/>
        <w:ind w:left="386" w:hanging="386"/>
      </w:pPr>
      <w:r>
        <w:rPr>
          <w:rFonts w:hint="eastAsia"/>
        </w:rPr>
        <w:t xml:space="preserve">測定の実施と得られた軌跡</w:t>
      </w:r>
    </w:p>
    <w:p>
      <w:r>
        <w:rPr>
          <w:rFonts w:hint="eastAsia"/>
        </w:rPr>
        <w:t xml:space="preserve">測定は，聴覚（群 Acal）90 名，視覚（群 A′）325 名で実施した．視覚の提示水準は，ぼかし解除方式の床とワイプ方式の中間域を測るため，途中で配置を見直している．見直しの前が 163 名，後が 162 名であり，手続き，対象 8 文字，4 方式，募集の条件は前後で同一である．フェード方式と部分表示方式は前後で同一の水準を用いており，この 2 方式が一致することを確かめたうえで，見直しの前後を 1 つの測定として束ねている（5.2 節）．</w:t>
      </w:r>
    </w:p>
    <w:p>
      <w:r>
        <w:rPr>
          <w:rFonts w:hint="eastAsia"/>
        </w:rPr>
        <w:t xml:space="preserve">聴覚の測定で得た正答率 A_i(t) を表 2 に示す．各時点の試行数はおよそ 30 であり，正答率 50% 付近での二項比率の標準誤差はおよそ 9 ポイントである．か の 25 ms(52%) から 35 ms(48%) への低下のような点ごとの上下は，この揺らぎの範囲に収まる．全長提示の正答率は あ と か で 94% と高い一方，し で 43%，が で 3% にとどまった．</w:t>
      </w:r>
    </w:p>
    <w:p>
      <w:pPr>
        <w:pStyle w:val="af6"/>
      </w:pPr>
      <w:r>
        <w:rPr>
          <w:rFonts w:hint="eastAsia"/>
        </w:rPr>
        <w:t xml:space="preserve">表 2．聴覚の測定（群 Acal，90 名）における文字ごとの正答率 A_i(t)．各点はおよそ 30 試行．括弧内は正答率（%），時間の単位は音の実体の開始点からの ms．</w:t>
      </w:r>
    </w:p>
    <w:tbl>
      <w:tblPr>
        <w:tblStyle w:val="af7"/>
        <w:tblW w:w="4400" w:type="dxa"/>
        <w:jc w:val="center"/>
        <w:tblLayout w:type="fixed"/>
        <w:tblLook w:val="04A0" w:firstRow="1" w:lastRow="0" w:firstColumn="0" w:lastColumn="0" w:noHBand="0" w:noVBand="1"/>
      </w:tblPr>
      <w:tblGrid>
        <w:gridCol w:w="500"/>
        <w:gridCol w:w="3900"/>
      </w:tblGrid>
      <w:tr>
        <w:trPr>
          <w:jc w:val="center"/>
        </w:trPr>
        <w:tc>
          <w:tcPr>
            <w:tcW w:w="500" w:type="dxa"/>
            <w:vAlign w:val="center"/>
          </w:tcPr>
          <w:p>
            <w:pPr>
              <w:ind w:firstLineChars="0" w:firstLine="0"/>
              <w:jc w:val="left"/>
              <w:rPr>
                <w:rStyle w:val="af2"/>
              </w:rPr>
            </w:pPr>
            <w:r>
              <w:rPr>
                <w:rStyle w:val="af2"/>
                <w:rFonts w:hint="eastAsia"/>
                <w:b/>
              </w:rPr>
              <w:t xml:space="preserve">文字</w:t>
            </w:r>
          </w:p>
        </w:tc>
        <w:tc>
          <w:tcPr>
            <w:tcW w:w="3900" w:type="dxa"/>
            <w:vAlign w:val="center"/>
          </w:tcPr>
          <w:p>
            <w:pPr>
              <w:ind w:firstLineChars="0" w:firstLine="0"/>
              <w:jc w:val="left"/>
              <w:rPr>
                <w:rStyle w:val="af2"/>
              </w:rPr>
            </w:pPr>
            <w:r>
              <w:rPr>
                <w:rStyle w:val="af2"/>
                <w:rFonts w:hint="eastAsia"/>
                <w:b/>
              </w:rPr>
              <w:t xml:space="preserve">打ち切り時間（正答率）</w:t>
            </w:r>
          </w:p>
        </w:tc>
      </w:tr>
      <w:tr>
        <w:trPr>
          <w:jc w:val="center"/>
        </w:trPr>
        <w:tc>
          <w:tcPr>
            <w:tcW w:w="500" w:type="dxa"/>
            <w:vAlign w:val="center"/>
          </w:tcPr>
          <w:p>
            <w:pPr>
              <w:ind w:firstLineChars="0" w:firstLine="0"/>
              <w:jc w:val="left"/>
              <w:rPr>
                <w:rStyle w:val="af2"/>
              </w:rPr>
            </w:pPr>
            <w:r>
              <w:rPr>
                <w:rStyle w:val="af2"/>
                <w:rFonts w:hint="eastAsia"/>
              </w:rPr>
              <w:t xml:space="preserve">あ</w:t>
            </w:r>
          </w:p>
        </w:tc>
        <w:tc>
          <w:tcPr>
            <w:tcW w:w="3900" w:type="dxa"/>
            <w:vAlign w:val="center"/>
          </w:tcPr>
          <w:p>
            <w:pPr>
              <w:ind w:firstLineChars="0" w:firstLine="0"/>
              <w:jc w:val="left"/>
              <w:rPr>
                <w:rStyle w:val="af2"/>
              </w:rPr>
            </w:pPr>
            <w:r>
              <w:rPr>
                <w:rStyle w:val="af2"/>
                <w:rFonts w:hint="eastAsia"/>
              </w:rPr>
              <w:t xml:space="preserve">10(0) 20(76) 30(97) 35(100) 50(91) 65(100) 90(94) 全長(94)</w:t>
            </w:r>
          </w:p>
        </w:tc>
      </w:tr>
      <w:tr>
        <w:trPr>
          <w:jc w:val="center"/>
        </w:trPr>
        <w:tc>
          <w:tcPr>
            <w:tcW w:w="500" w:type="dxa"/>
            <w:vAlign w:val="center"/>
          </w:tcPr>
          <w:p>
            <w:pPr>
              <w:ind w:firstLineChars="0" w:firstLine="0"/>
              <w:jc w:val="left"/>
              <w:rPr>
                <w:rStyle w:val="af2"/>
              </w:rPr>
            </w:pPr>
            <w:r>
              <w:rPr>
                <w:rStyle w:val="af2"/>
                <w:rFonts w:hint="eastAsia"/>
              </w:rPr>
              <w:t xml:space="preserve">か</w:t>
            </w:r>
          </w:p>
        </w:tc>
        <w:tc>
          <w:tcPr>
            <w:tcW w:w="3900" w:type="dxa"/>
            <w:vAlign w:val="center"/>
          </w:tcPr>
          <w:p>
            <w:pPr>
              <w:ind w:firstLineChars="0" w:firstLine="0"/>
              <w:jc w:val="left"/>
              <w:rPr>
                <w:rStyle w:val="af2"/>
              </w:rPr>
            </w:pPr>
            <w:r>
              <w:rPr>
                <w:rStyle w:val="af2"/>
                <w:rFonts w:hint="eastAsia"/>
              </w:rPr>
              <w:t xml:space="preserve">10(12) 20(37) 25(52) 35(48) 45(60) 60(76) 85(97) 全長(94)</w:t>
            </w:r>
          </w:p>
        </w:tc>
      </w:tr>
      <w:tr>
        <w:trPr>
          <w:jc w:val="center"/>
        </w:trPr>
        <w:tc>
          <w:tcPr>
            <w:tcW w:w="500" w:type="dxa"/>
            <w:vAlign w:val="center"/>
          </w:tcPr>
          <w:p>
            <w:pPr>
              <w:ind w:firstLineChars="0" w:firstLine="0"/>
              <w:jc w:val="left"/>
              <w:rPr>
                <w:rStyle w:val="af2"/>
              </w:rPr>
            </w:pPr>
            <w:r>
              <w:rPr>
                <w:rStyle w:val="af2"/>
                <w:rFonts w:hint="eastAsia"/>
              </w:rPr>
              <w:t xml:space="preserve">ま</w:t>
            </w:r>
          </w:p>
        </w:tc>
        <w:tc>
          <w:tcPr>
            <w:tcW w:w="3900" w:type="dxa"/>
            <w:vAlign w:val="center"/>
          </w:tcPr>
          <w:p>
            <w:pPr>
              <w:ind w:firstLineChars="0" w:firstLine="0"/>
              <w:jc w:val="left"/>
              <w:rPr>
                <w:rStyle w:val="af2"/>
              </w:rPr>
            </w:pPr>
            <w:r>
              <w:rPr>
                <w:rStyle w:val="af2"/>
                <w:rFonts w:hint="eastAsia"/>
              </w:rPr>
              <w:t xml:space="preserve">10(0) 25(3) 35(3) 50(74) 65(85) 85(88) 125(97) 全長(85)</w:t>
            </w:r>
          </w:p>
        </w:tc>
      </w:tr>
      <w:tr>
        <w:trPr>
          <w:jc w:val="center"/>
        </w:trPr>
        <w:tc>
          <w:tcPr>
            <w:tcW w:w="500" w:type="dxa"/>
            <w:vAlign w:val="center"/>
          </w:tcPr>
          <w:p>
            <w:pPr>
              <w:ind w:firstLineChars="0" w:firstLine="0"/>
              <w:jc w:val="left"/>
              <w:rPr>
                <w:rStyle w:val="af2"/>
              </w:rPr>
            </w:pPr>
            <w:r>
              <w:rPr>
                <w:rStyle w:val="af2"/>
                <w:rFonts w:hint="eastAsia"/>
              </w:rPr>
              <w:t xml:space="preserve">つ</w:t>
            </w:r>
          </w:p>
        </w:tc>
        <w:tc>
          <w:tcPr>
            <w:tcW w:w="3900" w:type="dxa"/>
            <w:vAlign w:val="center"/>
          </w:tcPr>
          <w:p>
            <w:pPr>
              <w:ind w:firstLineChars="0" w:firstLine="0"/>
              <w:jc w:val="left"/>
              <w:rPr>
                <w:rStyle w:val="af2"/>
              </w:rPr>
            </w:pPr>
            <w:r>
              <w:rPr>
                <w:rStyle w:val="af2"/>
                <w:rFonts w:hint="eastAsia"/>
              </w:rPr>
              <w:t xml:space="preserve">10(40) 20(48) 30(71) 35(41) 50(64) 65(66) 85(67) 全長(85)</w:t>
            </w:r>
          </w:p>
        </w:tc>
      </w:tr>
      <w:tr>
        <w:trPr>
          <w:jc w:val="center"/>
        </w:trPr>
        <w:tc>
          <w:tcPr>
            <w:tcW w:w="500" w:type="dxa"/>
            <w:vAlign w:val="center"/>
          </w:tcPr>
          <w:p>
            <w:pPr>
              <w:ind w:firstLineChars="0" w:firstLine="0"/>
              <w:jc w:val="left"/>
              <w:rPr>
                <w:rStyle w:val="af2"/>
              </w:rPr>
            </w:pPr>
            <w:r>
              <w:rPr>
                <w:rStyle w:val="af2"/>
                <w:rFonts w:hint="eastAsia"/>
              </w:rPr>
              <w:t xml:space="preserve">ぱ</w:t>
            </w:r>
          </w:p>
        </w:tc>
        <w:tc>
          <w:tcPr>
            <w:tcW w:w="3900" w:type="dxa"/>
            <w:vAlign w:val="center"/>
          </w:tcPr>
          <w:p>
            <w:pPr>
              <w:ind w:firstLineChars="0" w:firstLine="0"/>
              <w:jc w:val="left"/>
              <w:rPr>
                <w:rStyle w:val="af2"/>
              </w:rPr>
            </w:pPr>
            <w:r>
              <w:rPr>
                <w:rStyle w:val="af2"/>
                <w:rFonts w:hint="eastAsia"/>
              </w:rPr>
              <w:t xml:space="preserve">10(0) 15(18) 25(36) 30(40) 40(39) 50(48) 70(49) 全長(64)</w:t>
            </w:r>
          </w:p>
        </w:tc>
      </w:tr>
      <w:tr>
        <w:trPr>
          <w:jc w:val="center"/>
        </w:trPr>
        <w:tc>
          <w:tcPr>
            <w:tcW w:w="500" w:type="dxa"/>
            <w:vAlign w:val="center"/>
          </w:tcPr>
          <w:p>
            <w:pPr>
              <w:ind w:firstLineChars="0" w:firstLine="0"/>
              <w:jc w:val="left"/>
              <w:rPr>
                <w:rStyle w:val="af2"/>
              </w:rPr>
            </w:pPr>
            <w:r>
              <w:rPr>
                <w:rStyle w:val="af2"/>
                <w:rFonts w:hint="eastAsia"/>
              </w:rPr>
              <w:t xml:space="preserve">し</w:t>
            </w:r>
          </w:p>
        </w:tc>
        <w:tc>
          <w:tcPr>
            <w:tcW w:w="3900" w:type="dxa"/>
            <w:vAlign w:val="center"/>
          </w:tcPr>
          <w:p>
            <w:pPr>
              <w:ind w:firstLineChars="0" w:firstLine="0"/>
              <w:jc w:val="left"/>
              <w:rPr>
                <w:rStyle w:val="af2"/>
              </w:rPr>
            </w:pPr>
            <w:r>
              <w:rPr>
                <w:rStyle w:val="af2"/>
                <w:rFonts w:hint="eastAsia"/>
              </w:rPr>
              <w:t xml:space="preserve">10(6) 20(6) 30(26) 35(21) 40(26) 50(42) 60(12) 全長(43)</w:t>
            </w:r>
          </w:p>
        </w:tc>
      </w:tr>
      <w:tr>
        <w:trPr>
          <w:jc w:val="center"/>
        </w:trPr>
        <w:tc>
          <w:tcPr>
            <w:tcW w:w="500" w:type="dxa"/>
            <w:vAlign w:val="center"/>
          </w:tcPr>
          <w:p>
            <w:pPr>
              <w:ind w:firstLineChars="0" w:firstLine="0"/>
              <w:jc w:val="left"/>
              <w:rPr>
                <w:rStyle w:val="af2"/>
              </w:rPr>
            </w:pPr>
            <w:r>
              <w:rPr>
                <w:rStyle w:val="af2"/>
                <w:rFonts w:hint="eastAsia"/>
              </w:rPr>
              <w:t xml:space="preserve">ら</w:t>
            </w:r>
          </w:p>
        </w:tc>
        <w:tc>
          <w:tcPr>
            <w:tcW w:w="3900" w:type="dxa"/>
            <w:vAlign w:val="center"/>
          </w:tcPr>
          <w:p>
            <w:pPr>
              <w:ind w:firstLineChars="0" w:firstLine="0"/>
              <w:jc w:val="left"/>
              <w:rPr>
                <w:rStyle w:val="af2"/>
              </w:rPr>
            </w:pPr>
            <w:r>
              <w:rPr>
                <w:rStyle w:val="af2"/>
                <w:rFonts w:hint="eastAsia"/>
              </w:rPr>
              <w:t xml:space="preserve">10(0) 25(3) 35(6) 50(27) 65(50) 85(41) 110(33) 全長(51)</w:t>
            </w:r>
          </w:p>
        </w:tc>
      </w:tr>
      <w:tr>
        <w:trPr>
          <w:jc w:val="center"/>
        </w:trPr>
        <w:tc>
          <w:tcPr>
            <w:tcW w:w="500" w:type="dxa"/>
            <w:vAlign w:val="center"/>
          </w:tcPr>
          <w:p>
            <w:pPr>
              <w:ind w:firstLineChars="0" w:firstLine="0"/>
              <w:jc w:val="left"/>
              <w:rPr>
                <w:rStyle w:val="af2"/>
              </w:rPr>
            </w:pPr>
            <w:r>
              <w:rPr>
                <w:rStyle w:val="af2"/>
                <w:rFonts w:hint="eastAsia"/>
              </w:rPr>
              <w:t xml:space="preserve">が</w:t>
            </w:r>
          </w:p>
        </w:tc>
        <w:tc>
          <w:tcPr>
            <w:tcW w:w="3900" w:type="dxa"/>
            <w:vAlign w:val="center"/>
          </w:tcPr>
          <w:p>
            <w:pPr>
              <w:ind w:firstLineChars="0" w:firstLine="0"/>
              <w:jc w:val="left"/>
              <w:rPr>
                <w:rStyle w:val="af2"/>
              </w:rPr>
            </w:pPr>
            <w:r>
              <w:rPr>
                <w:rStyle w:val="af2"/>
                <w:rFonts w:hint="eastAsia"/>
              </w:rPr>
              <w:t xml:space="preserve">10(0) 20(0) 25(0) 35(3) 45(0) 60(0) 85(3) 全長(3)</w:t>
            </w:r>
          </w:p>
        </w:tc>
      </w:tr>
    </w:tbl>
    <w:p/>
    <w:p>
      <w:pPr>
        <w:pStyle w:val="af6"/>
      </w:pPr>
      <w:r>
        <w:rPr>
          <w:rFonts w:hint="eastAsia"/>
        </w:rPr>
        <w:t xml:space="preserve">図 1．代表文字「あ」について，聴覚の目標軌跡 A_i(t)，視覚の測定で得た軌跡 V_i(s)，逆引きで得た進行度 s_i(t)，および 2 つの基準となる時間変形をまとめた図．</w:t>
      </w:r>
    </w:p>
    <w:p>
      <w:r>
        <w:rPr>
          <w:rFonts w:hint="eastAsia"/>
        </w:rPr>
        <w:t xml:space="preserve">視覚の測定で得た正答率 V_m(s) を表 3 に示す．いずれも本命 8 文字の合計であり，1 人が受け持つのは 8 文字それぞれについて 3 水準の計 24 問である．方式と水準の組ごとの回答数は，前後を束ねたフェードと部分表示でおよそ 245，水準を置き直したぼかし解除とワイプで配置ごとおよそ 110 から 125 である．</w:t>
      </w:r>
    </w:p>
    <w:p>
      <w:pPr>
        <w:pStyle w:val="af6"/>
      </w:pPr>
      <w:r>
        <w:rPr>
          <w:rFonts w:hint="eastAsia"/>
        </w:rPr>
        <w:t xml:space="preserve">表 3．視覚の測定（群 A′，325 名）における表示方式ごとの正答率 V_m(s)．括弧内は正答率（%）．フェードと部分表示は水準の見直しの前後で同一の水準を用いたため，束ねた値である．ぼかし解除は 5.4 節の閲覧環境を除外した値．</w:t>
      </w:r>
    </w:p>
    <w:tbl>
      <w:tblPr>
        <w:tblStyle w:val="af7"/>
        <w:tblW w:w="4400" w:type="dxa"/>
        <w:jc w:val="center"/>
        <w:tblLayout w:type="fixed"/>
        <w:tblLook w:val="04A0" w:firstRow="1" w:lastRow="0" w:firstColumn="0" w:lastColumn="0" w:noHBand="0" w:noVBand="1"/>
      </w:tblPr>
      <w:tblGrid>
        <w:gridCol w:w="514"/>
        <w:gridCol w:w="3886"/>
      </w:tblGrid>
      <w:tr>
        <w:trPr>
          <w:jc w:val="center"/>
        </w:trPr>
        <w:tc>
          <w:tcPr>
            <w:tcW w:w="514" w:type="dxa"/>
            <w:vAlign w:val="center"/>
          </w:tcPr>
          <w:p>
            <w:pPr>
              <w:ind w:firstLineChars="0" w:firstLine="0"/>
              <w:jc w:val="left"/>
              <w:rPr>
                <w:rStyle w:val="af2"/>
              </w:rPr>
            </w:pPr>
            <w:r>
              <w:rPr>
                <w:rStyle w:val="af2"/>
                <w:rFonts w:hint="eastAsia"/>
                <w:b/>
              </w:rPr>
              <w:t xml:space="preserve">方式</w:t>
            </w:r>
          </w:p>
        </w:tc>
        <w:tc>
          <w:tcPr>
            <w:tcW w:w="3886" w:type="dxa"/>
            <w:vAlign w:val="center"/>
          </w:tcPr>
          <w:p>
            <w:pPr>
              <w:ind w:firstLineChars="0" w:firstLine="0"/>
              <w:jc w:val="left"/>
              <w:rPr>
                <w:rStyle w:val="af2"/>
              </w:rPr>
            </w:pPr>
            <w:r>
              <w:rPr>
                <w:rStyle w:val="af2"/>
                <w:rFonts w:hint="eastAsia"/>
                <w:b/>
              </w:rPr>
              <w:t xml:space="preserve">進行度（正答率）</w:t>
            </w:r>
          </w:p>
        </w:tc>
      </w:tr>
      <w:tr>
        <w:trPr>
          <w:jc w:val="center"/>
        </w:trPr>
        <w:tc>
          <w:tcPr>
            <w:tcW w:w="514" w:type="dxa"/>
            <w:vAlign w:val="center"/>
          </w:tcPr>
          <w:p>
            <w:pPr>
              <w:ind w:firstLineChars="0" w:firstLine="0"/>
              <w:jc w:val="left"/>
              <w:rPr>
                <w:rStyle w:val="af2"/>
              </w:rPr>
            </w:pPr>
            <w:r>
              <w:rPr>
                <w:rStyle w:val="af2"/>
                <w:rFonts w:hint="eastAsia"/>
              </w:rPr>
              <w:t xml:space="preserve">フェード</w:t>
            </w:r>
          </w:p>
        </w:tc>
        <w:tc>
          <w:tcPr>
            <w:tcW w:w="3886" w:type="dxa"/>
            <w:vAlign w:val="center"/>
          </w:tcPr>
          <w:p>
            <w:pPr>
              <w:ind w:firstLineChars="0" w:firstLine="0"/>
              <w:jc w:val="left"/>
              <w:rPr>
                <w:rStyle w:val="af2"/>
              </w:rPr>
            </w:pPr>
            <w:r>
              <w:rPr>
                <w:rStyle w:val="af2"/>
                <w:rFonts w:hint="eastAsia"/>
              </w:rPr>
              <w:t xml:space="preserve">0.4%(4.1) 0.8%(14.6) 1.4%(47.3) 2.2%(70.0) 3.5%(89.3) 6%(94.2) 12%(96.3) 100%(99.6)</w:t>
            </w:r>
          </w:p>
        </w:tc>
      </w:tr>
      <w:tr>
        <w:trPr>
          <w:jc w:val="center"/>
        </w:trPr>
        <w:tc>
          <w:tcPr>
            <w:tcW w:w="514" w:type="dxa"/>
            <w:vAlign w:val="center"/>
          </w:tcPr>
          <w:p>
            <w:pPr>
              <w:ind w:firstLineChars="0" w:firstLine="0"/>
              <w:jc w:val="left"/>
              <w:rPr>
                <w:rStyle w:val="af2"/>
              </w:rPr>
            </w:pPr>
            <w:r>
              <w:rPr>
                <w:rStyle w:val="af2"/>
                <w:rFonts w:hint="eastAsia"/>
              </w:rPr>
              <w:t xml:space="preserve">部分表示</w:t>
            </w:r>
          </w:p>
        </w:tc>
        <w:tc>
          <w:tcPr>
            <w:tcW w:w="3886" w:type="dxa"/>
            <w:vAlign w:val="center"/>
          </w:tcPr>
          <w:p>
            <w:pPr>
              <w:ind w:firstLineChars="0" w:firstLine="0"/>
              <w:jc w:val="left"/>
              <w:rPr>
                <w:rStyle w:val="af2"/>
              </w:rPr>
            </w:pPr>
            <w:r>
              <w:rPr>
                <w:rStyle w:val="af2"/>
                <w:rFonts w:hint="eastAsia"/>
              </w:rPr>
              <w:t xml:space="preserve">0.1%(1.6) 0.25%(6.6) 0.5%(16.0) 1%(28.4) 2%(58.9) 4%(79.8) 9%(97.1) 100%(98.3)</w:t>
            </w:r>
          </w:p>
        </w:tc>
      </w:tr>
      <w:tr>
        <w:trPr>
          <w:jc w:val="center"/>
        </w:trPr>
        <w:tc>
          <w:tcPr>
            <w:tcW w:w="514" w:type="dxa"/>
            <w:vAlign w:val="center"/>
          </w:tcPr>
          <w:p>
            <w:pPr>
              <w:ind w:firstLineChars="0" w:firstLine="0"/>
              <w:jc w:val="left"/>
              <w:rPr>
                <w:rStyle w:val="af2"/>
              </w:rPr>
            </w:pPr>
            <w:r>
              <w:rPr>
                <w:rStyle w:val="af2"/>
                <w:rFonts w:hint="eastAsia"/>
              </w:rPr>
              <w:t xml:space="preserve">ぼかし解除（見直し前）</w:t>
            </w:r>
          </w:p>
        </w:tc>
        <w:tc>
          <w:tcPr>
            <w:tcW w:w="3886" w:type="dxa"/>
            <w:vAlign w:val="center"/>
          </w:tcPr>
          <w:p>
            <w:pPr>
              <w:ind w:firstLineChars="0" w:firstLine="0"/>
              <w:jc w:val="left"/>
              <w:rPr>
                <w:rStyle w:val="af2"/>
              </w:rPr>
            </w:pPr>
            <w:r>
              <w:rPr>
                <w:rStyle w:val="af2"/>
                <w:rFonts w:hint="eastAsia"/>
              </w:rPr>
              <w:t xml:space="preserve">26%(9.1) 38%(23.5) 48%(43.3) 56%(54.5) 64%(74.7) 72%(87.3) 84%(95.2) 100%(97.0)</w:t>
            </w:r>
          </w:p>
        </w:tc>
      </w:tr>
      <w:tr>
        <w:trPr>
          <w:jc w:val="center"/>
        </w:trPr>
        <w:tc>
          <w:tcPr>
            <w:tcW w:w="514" w:type="dxa"/>
            <w:vAlign w:val="center"/>
          </w:tcPr>
          <w:p>
            <w:pPr>
              <w:ind w:firstLineChars="0" w:firstLine="0"/>
              <w:jc w:val="left"/>
              <w:rPr>
                <w:rStyle w:val="af2"/>
              </w:rPr>
            </w:pPr>
            <w:r>
              <w:rPr>
                <w:rStyle w:val="af2"/>
                <w:rFonts w:hint="eastAsia"/>
              </w:rPr>
              <w:t xml:space="preserve">ぼかし解除（見直し後）</w:t>
            </w:r>
          </w:p>
        </w:tc>
        <w:tc>
          <w:tcPr>
            <w:tcW w:w="3886" w:type="dxa"/>
            <w:vAlign w:val="center"/>
          </w:tcPr>
          <w:p>
            <w:pPr>
              <w:ind w:firstLineChars="0" w:firstLine="0"/>
              <w:jc w:val="left"/>
              <w:rPr>
                <w:rStyle w:val="af2"/>
              </w:rPr>
            </w:pPr>
            <w:r>
              <w:rPr>
                <w:rStyle w:val="af2"/>
                <w:rFonts w:hint="eastAsia"/>
              </w:rPr>
              <w:t xml:space="preserve">3%(3.7) 7%(1.8) 12%(7.4) 17%(1.9) 22%(4.6) 26%(4.5) 48%(23.1) 100%(100.0)</w:t>
            </w:r>
          </w:p>
        </w:tc>
      </w:tr>
      <w:tr>
        <w:trPr>
          <w:jc w:val="center"/>
        </w:trPr>
        <w:tc>
          <w:tcPr>
            <w:tcW w:w="514" w:type="dxa"/>
            <w:vAlign w:val="center"/>
          </w:tcPr>
          <w:p>
            <w:pPr>
              <w:ind w:firstLineChars="0" w:firstLine="0"/>
              <w:jc w:val="left"/>
              <w:rPr>
                <w:rStyle w:val="af2"/>
              </w:rPr>
            </w:pPr>
            <w:r>
              <w:rPr>
                <w:rStyle w:val="af2"/>
                <w:rFonts w:hint="eastAsia"/>
              </w:rPr>
              <w:t xml:space="preserve">ワイプ（見直し前）</w:t>
            </w:r>
          </w:p>
        </w:tc>
        <w:tc>
          <w:tcPr>
            <w:tcW w:w="3886" w:type="dxa"/>
            <w:vAlign w:val="center"/>
          </w:tcPr>
          <w:p>
            <w:pPr>
              <w:ind w:firstLineChars="0" w:firstLine="0"/>
              <w:jc w:val="left"/>
              <w:rPr>
                <w:rStyle w:val="af2"/>
              </w:rPr>
            </w:pPr>
            <w:r>
              <w:rPr>
                <w:rStyle w:val="af2"/>
                <w:rFonts w:hint="eastAsia"/>
              </w:rPr>
              <w:t xml:space="preserve">0.5%(5.8) 1%(1.7) 2%(5.6) 4%(13.1) 8%(20.5) 14%(25.6) 25%(39.2) 100%(95.9)</w:t>
            </w:r>
          </w:p>
        </w:tc>
      </w:tr>
      <w:tr>
        <w:trPr>
          <w:jc w:val="center"/>
        </w:trPr>
        <w:tc>
          <w:tcPr>
            <w:tcW w:w="514" w:type="dxa"/>
            <w:vAlign w:val="center"/>
          </w:tcPr>
          <w:p>
            <w:pPr>
              <w:ind w:firstLineChars="0" w:firstLine="0"/>
              <w:jc w:val="left"/>
              <w:rPr>
                <w:rStyle w:val="af2"/>
              </w:rPr>
            </w:pPr>
            <w:r>
              <w:rPr>
                <w:rStyle w:val="af2"/>
                <w:rFonts w:hint="eastAsia"/>
              </w:rPr>
              <w:t xml:space="preserve">ワイプ（見直し後）</w:t>
            </w:r>
          </w:p>
        </w:tc>
        <w:tc>
          <w:tcPr>
            <w:tcW w:w="3886" w:type="dxa"/>
            <w:vAlign w:val="center"/>
          </w:tcPr>
          <w:p>
            <w:pPr>
              <w:ind w:firstLineChars="0" w:firstLine="0"/>
              <w:jc w:val="left"/>
              <w:rPr>
                <w:rStyle w:val="af2"/>
              </w:rPr>
            </w:pPr>
            <w:r>
              <w:rPr>
                <w:rStyle w:val="af2"/>
                <w:rFonts w:hint="eastAsia"/>
              </w:rPr>
              <w:t xml:space="preserve">2%(4.1) 8%(25.6) 20%(40.2) 35%(65.3) 50%(69.9) 65%(73.6) 80%(93.5) 100%(98.3)</w:t>
            </w:r>
          </w:p>
        </w:tc>
      </w:tr>
    </w:tbl>
    <w:p/>
    <w:p>
      <w:r>
        <w:rPr>
          <w:rFonts w:hint="eastAsia"/>
        </w:rPr>
        <w:t xml:space="preserve">フェード方式は濃さが 256 階調で表現されるため，進行度 0.8% が濃さ 2，1.4% 前後が濃さ 3 に相当し，その間に値をとる水準は作れない．実測でも 0.8%(14.6%) から 1.4%(47.3%) のあいだで正答率が 33 ポイント跳ね上がる．部分表示方式は 0.1% から 9% までおおむね単調に上昇し，2% から 4% の区間の上昇は +21.0 ポイント［95% CI +13.0 から +28.9］であった．ぼかし解除方式は，見直し前の配置では最も薄い 26% でも正答率が 9.1% あり床に達していないため，見直し後は 3% から 26% の側に水準を寄せた．ワイプ方式は，見直し前に水準のなかった 25% から 100% の区間を見直し後に埋めた．</w:t>
      </w:r>
    </w:p>
    <w:p>
      <w:pPr>
        <w:pStyle w:val="2"/>
        <w:ind w:left="386" w:hanging="386"/>
      </w:pPr>
      <w:r>
        <w:rPr>
          <w:rFonts w:hint="eastAsia"/>
        </w:rPr>
        <w:t xml:space="preserve">測定を束ねてよいことの確認と，水準配置への依存</w:t>
      </w:r>
    </w:p>
    <w:p>
      <w:r>
        <w:rPr>
          <w:rFonts w:hint="eastAsia"/>
        </w:rPr>
        <w:t xml:space="preserve">水準を変えなかった 2 方式は，見直しの前後で一致した．参加者を単位としたブートストラップにより，共通する 8 水準を等重みでそろえて差を求めると，フェード方式は −1.4 ポイント［95% CI −5.3 から +2.6］，部分表示方式は −1.4 ポイント［−5.0 から +2.4］であり，いずれも 0 を含む（Holm 補正後 p はともに 0.91）．水準ごとに見ても 8 水準すべてで信頼区間が 0 をまたぐ．この 2 方式は，見直しをはさんだ測定を 1 本の曲線として扱ってよい．</w:t>
      </w:r>
    </w:p>
    <w:p>
      <w:r>
        <w:rPr>
          <w:rFonts w:hint="eastAsia"/>
        </w:rPr>
        <w:t xml:space="preserve">一方，ぼかし解除方式では，前後に共通する水準での正答率が動いた．共通する 3 水準（26%，48%，100%）では見直し後が −7.2 ポイント［−12.5 から −1.9］低く（Holm 補正後 p = 0.029），差は 48% の水準に集中する．そこでは見直し前 43.3%（n = 104）に対し見直し後 23.1%（n = 108），まぎれ字を含む全試行では −15.6 ポイント［−24.2 から −7.1］（Holm 補正後 p = 0.0008）であった．刺激は前後で同一である．ぼかし半径は進行度だけから決まり，提示時間の実測値も一致し（26% かつ基準 300 ms では前後とも 117 ms・6 フレーム），文字の構成，参加者の端末構成，同一参加者における他方式の成績にも差がない．共通水準 48% の正答率を試行順の三分位で分けると，見直し前は 23.5%，47.9%，55.6% と上昇し，見直し後は 32.7%，21.1%，26.3% と上昇しない．ロジスティック回帰では試行位置の主効果（+0.542，p = 0.00008）と，試行位置と水準配置の交互作用（−0.690，z = −3.57，p = 0.0004）がともに有意であり，フェード方式と部分表示方式では交互作用が認められない（p = 0.31，0.36）．読み取れるぼかしを含む配置では参加者がセッション中に上達し，読み取れない配置では上達しない．</w:t>
      </w:r>
    </w:p>
    <w:p>
      <w:r>
        <w:rPr>
          <w:rFonts w:hint="eastAsia"/>
        </w:rPr>
        <w:t xml:space="preserve">ぼかし解除方式で測定した曲線は，どの水準の組を提示したかに依存する．1 つの測定の中で水準の並べ方を変えたときに現れる性質であり，水準配置の異なる測定どうしを 1 本の曲線として束ねてはならない．フェード方式と部分表示方式には，この依存性が認められない．</w:t>
      </w:r>
    </w:p>
    <w:p>
      <w:pPr>
        <w:pStyle w:val="2"/>
        <w:ind w:left="386" w:hanging="386"/>
      </w:pPr>
      <w:r>
        <w:rPr>
          <w:rFonts w:hint="eastAsia"/>
        </w:rPr>
        <w:t xml:space="preserve">刺激の妥当性検査</w:t>
      </w:r>
    </w:p>
    <w:p>
      <w:r>
        <w:rPr>
          <w:rFonts w:hint="eastAsia"/>
        </w:rPr>
        <w:t xml:space="preserve">測定には，打ち切りを設けず全体を提示する確認 A を組み込んでいる（4.7 節）．聴覚の正答率は 287/540（53.1%）であり，同じ形式の視覚の正答率 967/980（98.7%）を大きく下回った．低下は濁音に集中する．確認 A に含まれる濁音 137 回のうち正しく回答されたのは 25 回（18%），対応する清音に取り違えられたのは 61 回（45%）であるのに対し，清音を濁音と回答した割合は 1.2%（161 回中 2 回）にとどまる．清音への取り違えは調音位置によって異なり，軟口蓋破裂音 79.6%（54 回中 43 回），歯茎破裂音 68.2%（22 回中 15 回）に対し，両唇破裂音 8.8%（34 回中 3 回），摩擦音・破擦音 11.1%（27 回中 3 回）である．まぎれ字を含む 59 文字でも同じ傾向であり，識別率の上限は清音 0.89（38 文字），濁音 0.24（17 文字），半濁音 0.18（4 文字）である．本命 8 文字では，が（32 回）が か と 28 回答えられて正答 1 回（3%），し（26 回）は ち が 14 回，ら（33 回）は な が 21 回であった．</w:t>
      </w:r>
    </w:p>
    <w:p>
      <w:r>
        <w:rPr>
          <w:rFonts w:hint="eastAsia"/>
        </w:rPr>
        <w:t xml:space="preserve">この不具合は生成手続きの結果にも表れる．測定データから q̂A_i(t) を求めると，あ，か，ま はいずれも 1.0 に達して転写できた一方，ら は 0.59 で頭打ちとなり，が は 0.00 から 0.02 までしか動かず，逆引きが数学的に成り立たなかった．8 文字の選定は 4.2 節の方針どおり測定の前に固定しており，ら と が を転写の対象から外したのは，生成手続きを適用した結果である．</w:t>
      </w:r>
    </w:p>
    <w:p>
      <w:pPr>
        <w:pStyle w:val="2"/>
        <w:ind w:left="386" w:hanging="386"/>
      </w:pPr>
      <w:r>
        <w:rPr>
          <w:rFonts w:hint="eastAsia"/>
        </w:rPr>
        <w:t xml:space="preserve">ぼかし解除方式が成立しない閲覧環境と，識別の床</w:t>
      </w:r>
    </w:p>
    <w:p>
      <w:r>
        <w:rPr>
          <w:rFonts w:hint="eastAsia"/>
        </w:rPr>
        <w:t xml:space="preserve">ぼかし解除方式の実装は CanvasRenderingContext2D.filter の blur() を用いる．WebKit を描画エンジンとする環境（iOS の全ブラウザ，iOS アプリ内 WebView，macOS の Safari）では，この指定が例外も警告も出さないまま無視され，ぼかしのかかっていない鮮明な文字が提示される．該当環境の判定は，実行時に小さな黒い四角を同じ手続きでぼかし，中心の画素が薄まるかを調べて行い，UA 文字列では判定しない．参加者 325 名のうち該当は 45 名（13.8%）であった．</w:t>
      </w:r>
    </w:p>
    <w:p>
      <w:r>
        <w:rPr>
          <w:rFonts w:hint="eastAsia"/>
        </w:rPr>
        <w:t xml:space="preserve">除外は 2 点から妥当である．第一に，該当環境ではぼかし半径 69.8 px（進行度 3%）から 0 px（100%）まで正答率が 92.9% から 100% でほぼ一定であり，用量反応が消失している（同じ水準の他の環境では 3% で 3.3%，48% で 26.7%，100% で 99.6%）．第二に，同じ参加者の他の 3 方式は正常に働いている．打ち切りのある水準に限ると，該当環境の正答率はフェード 62.7%，部分表示 50.9%，ワイプ 31.4% であり，他の環境（58.8%，39.6%，35.1%）と同程度である．本稿のぼかし解除方式に関する数値は，すべて該当環境を除外して算出している．見た目を近づける代替実装は用いない．刺激が変わり，測定した曲線を束ねられなくなるためである．</w:t>
      </w:r>
    </w:p>
    <w:p>
      <w:r>
        <w:rPr>
          <w:rFonts w:hint="eastAsia"/>
        </w:rPr>
        <w:t xml:space="preserve">該当環境を除くと，ぼかし解除方式の正答率は進行度 3% から 26% までの 6 水準にわたって 1.1% から 3.7% の範囲にとどまり，偶然に選べる確率 1/72 = 1.4% と区別できない．ぼかし解除方式には，識別がまったく成り立たない状態が存在する．この床がぼかしの強さによるものか提示時間の短さによるものかを切り分けるため，進行度を保ったまま基準アニメーションの長さだけを変えた．差は 3%（実測 50 ms のまま）で +3.4 ポイント［−0.2 から +7.1］，17%（100 から 133 ms）で +1.3 ポイント［−2.2 から +4.8］，26%（117 から 167 ms）で −0.5 ポイント［−4.3 から +3.3］，48%（183 から 283 ms）で −3.5 ポイント［−14.7 から +7.7］であり，いずれも Holm 補正後 p = 1.0 であった．同じ絵を長く見せても正答率は変わらない．この床は空間的な情報の欠如による．</w:t>
      </w:r>
    </w:p>
    <w:p>
      <w:pPr>
        <w:pStyle w:val="2"/>
        <w:ind w:left="386" w:hanging="386"/>
      </w:pPr>
      <w:r>
        <w:rPr>
          <w:rFonts w:hint="eastAsia"/>
        </w:rPr>
        <w:t xml:space="preserve">ワイプ方式における濁点の出現位置の予測</w:t>
      </w:r>
    </w:p>
    <w:p>
      <w:r>
        <w:rPr>
          <w:rFonts w:hint="eastAsia"/>
        </w:rPr>
        <w:t xml:space="preserve">ワイプ方式は文字の描画領域を左から右へ広げるため，文字の右上にある濁点と半濁点は最後に現れる．完成形の画像から幾何的に計算すると，「が」「ぱ」では進行度 67% から 68% で濁点・半濁点の描画が始まり，見直し後の水準配置（50%，65%，80%）はこの位置をまたぐ．濁点・半濁点を持つ 2 文字の正答率は，50% で 3.3%，65% で 0.0% と床にとどまり，80% で 78.1% に跳ね上がる（65% から 80% への差 +78.1 ポイント［95% CI +63.8 から +92.4］，Holm 補正後 p &lt; 0.0001）．文字ごとには，が が 0.0% から 86.7% へ，ぱ が 0.0% から 68.8% へ変化した．一方，濁点を持たない 6 文字は 65% の時点ですでに 97.8% に達しており，同じ区間での変化は +1.1 ポイント［−2.6 から +4.8］にとどまる．表示方式の幾何構造から，どの進行度で何が読めるようになるかを事前に予測でき，それが量的に確認された．</w:t>
      </w:r>
    </w:p>
    <w:p>
      <w:pPr>
        <w:pStyle w:val="2"/>
        <w:ind w:left="386" w:hanging="386"/>
      </w:pPr>
      <w:r>
        <w:rPr>
          <w:rFonts w:hint="eastAsia"/>
        </w:rPr>
        <w:t xml:space="preserve">進行の速さの影響</w:t>
      </w:r>
    </w:p>
    <w:p>
      <w:r>
        <w:rPr>
          <w:rFonts w:hint="eastAsia"/>
        </w:rPr>
        <w:t xml:space="preserve">2 水準の基準アニメーション（300 ms と 500 ms）を比較した（4.5 節）．進行度が小さい水準では，2 水準の実測の提示時間が終端の保持によって等しくなり同一の絵が提示されるため，実測の提示時間が 8 ms 以上異なる水準に限って比較した．本命 8 文字とまぎれ字 64 文字を合わせた 8,900 試行を用い，水準を等重みでそろえ，参加者を単位としたブートストラップでまとめた．</w:t>
      </w:r>
    </w:p>
    <w:p>
      <w:r>
        <w:rPr>
          <w:rFonts w:hint="eastAsia"/>
        </w:rPr>
        <w:t xml:space="preserve">500 ms 側と 300 ms 側の差は，部分表示方式で +8.8 ポイント［95% CI +4.0 から +13.4］（4 方式に対する Holm 補正後 p = 0.007）であり，フェード方式 +3.4 ポイント［−1.4 から +8.0］（p = 0.45），ぼかし解除方式 +1.2 ポイント［−2.1 から +4.7］（p = 0.79），ワイプ方式 +1.5 ポイント［−2.0 から +5.1］（p = 0.79）はいずれも 0 を含んだ．部分表示方式でのみ，進行度をそろえても提示時間が長いほど正答率が高い．</w:t>
      </w:r>
    </w:p>
    <w:p>
      <w:r>
        <w:rPr>
          <w:rFonts w:hint="eastAsia"/>
        </w:rPr>
        <w:t xml:space="preserve">ただし比較できた水準の数は方式によって大きく異なる．比較が成立したのは，ぼかし解除方式 11 水準，ワイプ方式 9 水準に対し，フェード方式と部分表示方式はそれぞれ 2 水準のみである（部分表示方式では進行度 4% と 9%）．部分表示方式の +8.8 ポイントは 2 水準にもとづく値であり，示唆として扱う．</w:t>
      </w:r>
    </w:p>
    <w:p>
      <w:r>
        <w:rPr>
          <w:rFonts w:hint="eastAsia"/>
        </w:rPr>
        <w:t xml:space="preserve">差は曲線が立ち上がる区間に集中する．部分表示方式では進行度 2% で 48.2% 対 64.2%（+16.0 ポイント），4% で 75.6% 対 88.0%（+12.3 ポイント）であるのに対し，床（0.1% から 0.5%）と天井（9% 以上）では差がない．部分表示方式はまばらな点を統合して文字を読む方式であり，提示時間が長いほど統合が進むという解釈と整合する．他の 3 方式は，濃さ・ぼかし半径・提示領域が同じであれば時間をかけても得られる情報が増えない．</w:t>
      </w:r>
    </w:p>
    <w:p>
      <w:r>
        <w:rPr>
          <w:rFonts w:hint="eastAsia"/>
        </w:rPr>
        <w:t xml:space="preserve">この結果は生成手続きにも反映した．逆引きに用いる視覚側の曲線は，部分表示方式のみ 300 ms の試行に限って推定し，他の 3 方式は 2 水準を束ねて推定している（4.5 節）．なお基準の長さは参加者ごとに決定的に割り当てており無作為化していないため，参加者側の交絡は原理的には排除できない．</w:t>
      </w:r>
    </w:p>
    <w:p>
      <w:r>
        <w:rPr>
          <w:rFonts w:hint="eastAsia"/>
        </w:rPr>
        <w:t xml:space="preserve">実測の提示時間 T を説明変数とする飽和指数モデル p = γ + (λ − γ)(1 − e^(−T/τ)) を全セル共通の τ で当てはめると，39 セルからの推定値は τ = 20.5 ms［95% プロファイル尤度 CI 12.5 から 26.0］となり，78 の下位セルのうち 74（94.9%）が予測の ±2 標準誤差の範囲に収まる．上限側の τ &lt; 26 ms は安定しており，時間の効果は数十ミリ秒で飽和する．下限側は脆く，終端の 2 フレーム（33 ms）の時点ですでに読み終えているという解釈とも両立する．文字ごとに求めると，効果が最大の ぱ で +6.1 ポイント［+0.1 から +13.0］，他の 7 文字は −1.0 から +4.4 ポイントで信頼区間が 0 を含み，多重比較を通すと確定できる差はない．速さの効果は表示方式によって決まり，文字によっては決まらない．</w:t>
      </w:r>
    </w:p>
    <w:p>
      <w:pPr>
        <w:pStyle w:val="2"/>
        <w:ind w:left="386" w:hanging="386"/>
      </w:pPr>
      <w:r>
        <w:rPr>
          <w:rFonts w:hint="eastAsia"/>
        </w:rPr>
        <w:t xml:space="preserve">補助的な分析</w:t>
      </w:r>
    </w:p>
    <w:p>
      <w:r>
        <w:rPr>
          <w:rFonts w:hint="eastAsia"/>
        </w:rPr>
        <w:t xml:space="preserve">測定の参加者のうち，同じ文字を押し続けるなど不真面目と判断される回答をした者は，聴覚 90 人中 1 人，視覚 325 人中 6 人であった．水準の見直し前に参加した 253 人では 17,733 行の試行を記録し，252 人が完走した．所要時間の中央値は 500 秒（四分位範囲 422 から 576 秒），送信の取りこぼしは 0 件である．見直し後は，配布した 163 の受付のうち 162 人が完走した．</w:t>
      </w:r>
    </w:p>
    <w:p/>
    <w:p>
      <w:pPr>
        <w:pStyle w:val="1"/>
      </w:pPr>
      <w:r>
        <w:rPr>
          <w:rFonts w:hint="eastAsia"/>
        </w:rPr>
        <w:t xml:space="preserve">考察と限界</w:t>
      </w:r>
    </w:p>
    <w:p>
      <w:r>
        <w:rPr>
          <w:rFonts w:hint="eastAsia"/>
        </w:rPr>
        <w:t xml:space="preserve">合成音声の第 1 モーラを切り出す刺激作成法は，濁音の手がかりを損ないやすい（5.3 節）．が では識別率軌跡がほとんど動かず，逆引きが成り立たなかった．切り出しによって清濁の音響的手がかりが失われた可能性と，単独提示されたモーラでは清濁の判断が無声側に偏る可能性の双方がありうるが，観測された調音位置による偏りはいずれとも完全には整合しない．切り分けには自然発話を刺激とした同一手続きの比較が必要である．刺激の全体提示による品質確認は，測定より前の独立した段階に置く必要がある．</w:t>
      </w:r>
    </w:p>
    <w:p>
      <w:r>
        <w:rPr>
          <w:rFonts w:hint="eastAsia"/>
        </w:rPr>
        <w:t xml:space="preserve">測定にもとづく転写という枠組みに対して，本研究から 2 つの制約が明らかになった．第一に，測定した曲線が刺激だけで決まらない方式がある．ぼかし解除方式では，同一の刺激・同一の提示時間であっても，どの水準の組を提示したかによって共通水準での正答率が 15.6 ポイント動いた（5.2 節）．原因はセッション内の学習量の違いにあり，測定した曲線を別の文脈で使うという手続きは，この方式については前提が成り立たない．フェード方式と部分表示方式にはこの依存性が認められない．どの表示方式が文脈に依存しないかを測定の前に見分ける方法は，本研究では得られていない．</w:t>
      </w:r>
    </w:p>
    <w:p>
      <w:r>
        <w:rPr>
          <w:rFonts w:hint="eastAsia"/>
        </w:rPr>
        <w:t xml:space="preserve">第二に，進行度という一つの数は，読める状態を一意には定めない．ワイプ方式では，濁点を持つ文字と持たない文字とで，同じ進行度 65% における正答率が 0.0% と 97.8% に分かれた（5.5 節）．表示方式の幾何構造から出現位置を計算すれば事前に予測できるが，文字の形と表示方式の組み合わせを考慮せずに進行度だけで転写を設計することはできない．これらは測定の密度を上げれば解消する種類の問題ではない．表示方式の選択には，3.4 節の分解能と提示時間への安定性に加えて，文脈依存性の小ささと文字によらない一様さを条件とする必要がある．</w:t>
      </w:r>
    </w:p>
    <w:p>
      <w:r>
        <w:rPr>
          <w:rFonts w:hint="eastAsia"/>
        </w:rPr>
        <w:t xml:space="preserve">オンラインで刺激を配信する実験では，刺激が意図どおり提示されたことを参加者の応答とは独立に検査する必要がある（5.4 節）．全体提示を見る確認 A は，打ち切った状態の描画に対する検査としては働かない．</w:t>
      </w:r>
    </w:p>
    <w:p>
      <w:r>
        <w:rPr>
          <w:rFonts w:hint="eastAsia"/>
        </w:rPr>
        <w:t xml:space="preserve">本研究の測定は単一の合成音声話者による刺激を用いており，参加者の再生機器や視聴環境も統制していない．これらは測定した曲線の絶対値に影響し得る．また，8 文字のうち あ，か，ま は目標の軌跡どおりに進行度を再現できたのに対し，ら は測定した値域の中で頭打ちとなり，が は逆引きが成立しなかった．どのような音の性質を持つ文字であれば測定にもとづく転写が成立するかは明らかでない．</w:t>
      </w:r>
    </w:p>
    <w:p/>
    <w:p w14:paraId="636FC253" w14:textId="77777777" w:rsidR="007A3A40" w:rsidRDefault="007A3A40" w:rsidP="00875667">
      <w:pPr>
        <w:pStyle w:val="afe"/>
      </w:pPr>
      <w:r w:rsidRPr="005F17FF">
        <w:rPr>
          <w:rFonts w:hint="eastAsia"/>
        </w:rPr>
        <w:t>謝辞</w:t>
      </w:r>
    </w:p>
    <w:p w14:paraId="517EDE5E" w14:textId="4AD8B621" w:rsidR="007A3A40" w:rsidRDefault="00DE1EDF" w:rsidP="00F33FE3">
      <w:pPr>
        <w:ind w:firstLine="197"/>
      </w:pPr>
      <w:r>
        <w:t>研究の一部は，</w:t>
      </w:r>
      <w:r>
        <w:t>JSPS</w:t>
      </w:r>
      <w:r>
        <w:t>科研費</w:t>
      </w:r>
      <w:r>
        <w:t>JP26KJ1991</w:t>
      </w:r>
      <w:r>
        <w:rPr>
          <w:rFonts w:hint="eastAsia"/>
        </w:rPr>
        <w:t>，科</w:t>
      </w:r>
      <w:r>
        <w:t>研費</w:t>
      </w:r>
      <w:r>
        <w:t>JP24K15248</w:t>
      </w:r>
      <w:r>
        <w:t>の支援を受けて行われた．謹んで感謝の意を表する．</w:t>
      </w:r>
    </w:p>
    <w:p w14:paraId="0B258B6D" w14:textId="77777777" w:rsidR="005B4838" w:rsidRPr="005F17FF" w:rsidRDefault="005B4838" w:rsidP="00F33FE3">
      <w:pPr>
        <w:ind w:firstLine="197"/>
      </w:pPr>
    </w:p>
    <w:p w14:paraId="3A628ED1" w14:textId="77777777" w:rsidR="007A3A40" w:rsidRPr="005F17FF" w:rsidRDefault="007A3A40" w:rsidP="00875667">
      <w:pPr>
        <w:pStyle w:val="afe"/>
      </w:pPr>
      <w:r w:rsidRPr="005F17FF">
        <w:rPr>
          <w:rFonts w:hint="eastAsia"/>
        </w:rPr>
        <w:t>参考文献</w:t>
      </w:r>
    </w:p>
    <w:p>
      <w:pPr>
        <w:pStyle w:val="a"/>
      </w:pPr>
      <w:r>
        <w:rPr>
          <w:rFonts w:hint="eastAsia"/>
        </w:rPr>
        <w:t xml:space="preserve">Bragg, D., Azenkot, S., Larson, K., Bessemans, A. and Kalai, A. T.: Designing and Evaluating Livefonts, Proc. 30th Annual ACM Symposium on User Interface Software and Technology (UIST '17), pp.481–492 (2017).</w:t>
      </w:r>
    </w:p>
    <w:p>
      <w:pPr>
        <w:pStyle w:val="a"/>
      </w:pPr>
      <w:r>
        <w:rPr>
          <w:rFonts w:hint="eastAsia"/>
        </w:rPr>
        <w:t xml:space="preserve">Enns, J. T. and Di Lollo, V.: What's new in visual masking?, Trends in Cognitive Sciences, Vol.4, No.9, pp.345–352 (2000).</w:t>
      </w:r>
    </w:p>
    <w:p>
      <w:pPr>
        <w:pStyle w:val="a"/>
      </w:pPr>
      <w:r>
        <w:rPr>
          <w:rFonts w:hint="eastAsia"/>
        </w:rPr>
        <w:t xml:space="preserve">Furui, S.: On the role of spectral transition for speech perception, Journal of the Acoustical Society of America, Vol.80, No.4, pp.1016–1025 (1986).</w:t>
      </w:r>
    </w:p>
    <w:p>
      <w:pPr>
        <w:pStyle w:val="a"/>
      </w:pPr>
      <w:r>
        <w:rPr>
          <w:rFonts w:hint="eastAsia"/>
        </w:rPr>
        <w:t xml:space="preserve">Grosjean, F.: Spoken word recognition processes and the gating paradigm, Perception &amp; Psychophysics, Vol.28, No.4, pp.267–283 (1980).</w:t>
      </w:r>
    </w:p>
    <w:p>
      <w:pPr>
        <w:pStyle w:val="a"/>
      </w:pPr>
      <w:r>
        <w:rPr>
          <w:rFonts w:hint="eastAsia"/>
        </w:rPr>
        <w:t xml:space="preserve">片桐滋, 東倉洋一, 古井貞煕: 単音節知覚における時間情報の役割, 日本音響学会誌, Vol.42, No.2, pp.97–105 (1986).</w:t>
      </w:r>
    </w:p>
    <w:p>
      <w:pPr>
        <w:pStyle w:val="a"/>
      </w:pPr>
      <w:r>
        <w:rPr>
          <w:rFonts w:hint="eastAsia"/>
        </w:rPr>
        <w:t xml:space="preserve">栗原一貴, 丸山礼華: 文字情報の識別過程を記述する中間表現と視聴覚情報への合成, 内部資料（未公刊）(2026). ※本稿の枠組みのもとになった議論．公表の有無を確認し，既発表があれば書誌を差し替えること</w:t>
      </w:r>
    </w:p>
    <w:p>
      <w:pPr>
        <w:pStyle w:val="a"/>
      </w:pPr>
      <w:r>
        <w:rPr>
          <w:rFonts w:hint="eastAsia"/>
        </w:rPr>
        <w:t xml:space="preserve">桑原尚夫, 境久雄: 連続音声中の切り出し母音および音節の音韻知覚, 日本音響学会誌, Vol.28, No.5, pp.225–234 (1972).</w:t>
      </w:r>
    </w:p>
    <w:p>
      <w:pPr>
        <w:pStyle w:val="a"/>
      </w:pPr>
      <w:r>
        <w:rPr>
          <w:rFonts w:hint="eastAsia"/>
        </w:rPr>
        <w:t xml:space="preserve">Lee, J. C., Forlizzi, J. and Hudson, S. E.: The kinetic typography engine: an extensible system for animating expressive text, Proc. 15th Annual ACM Symposium on User Interface Software and Technology (UIST '02), pp.81–90 (2002).</w:t>
      </w:r>
    </w:p>
    <w:p>
      <w:pPr>
        <w:pStyle w:val="a"/>
      </w:pPr>
      <w:r>
        <w:rPr>
          <w:rFonts w:hint="eastAsia"/>
        </w:rPr>
        <w:t xml:space="preserve">Liu, ?. and Lin, ?.: 対象モーラを変え，第2モーラを /sa/ に固定した音節系列を用いた音声知覚実験 (2021). ※著者フルネーム・論文タイトル・掲載誌が未確認．投稿前に原著を確認すること</w:t>
      </w:r>
    </w:p>
    <w:p>
      <w:pPr>
        <w:pStyle w:val="a"/>
      </w:pPr>
      <w:r>
        <w:rPr>
          <w:rFonts w:hint="eastAsia"/>
        </w:rPr>
        <w:t xml:space="preserve">丸山礼華, 栗原一貴: 競技かるたにおける聴き分け能力の大規模オンライン調査と定量的検討, エンタテインメントコンピューティングシンポジウム 2026 論文集 (2026).</w:t>
      </w:r>
    </w:p>
    <w:p>
      <w:pPr>
        <w:pStyle w:val="a"/>
      </w:pPr>
      <w:r>
        <w:rPr>
          <w:rFonts w:hint="eastAsia"/>
        </w:rPr>
        <w:t xml:space="preserve">Nishio, S., Tono, T., Iwaki, T. et al.: Development and validation of an iPad-based Japanese language monosyllable speech perception test (iCI2004 monosyllable), Acta Oto-Laryngologica, Vol.141, No.3, pp.267–272 (2021).</w:t>
      </w:r>
    </w:p>
    <w:p>
      <w:pPr>
        <w:pStyle w:val="a"/>
      </w:pPr>
      <w:r>
        <w:rPr>
          <w:rFonts w:hint="eastAsia"/>
        </w:rPr>
        <w:t xml:space="preserve">Petersen, A. and Andersen, T. S.: 単一文字の識別率を提示時間の心理測定関数として扱った研究 (2012). ※書誌情報が未確認．投稿前に原著を確認して正式な表題と掲載誌を補うこと</w:t>
      </w:r>
    </w:p>
    <w:p>
      <w:pPr>
        <w:pStyle w:val="a"/>
      </w:pPr>
      <w:r>
        <w:rPr>
          <w:rFonts w:hint="eastAsia"/>
        </w:rPr>
        <w:t xml:space="preserve">Sadakata, M. and McQueen, J. M.: High stimulus variability in nonnative speech learning supports formation of abstract categories: Evidence from Japanese geminates, Journal of the Acoustical Society of America (2013). ※巻号・ページ番号が未確認．投稿前に原著を確認すること</w:t>
      </w:r>
    </w:p>
    <w:p>
      <w:pPr>
        <w:pStyle w:val="a"/>
      </w:pPr>
      <w:r>
        <w:rPr>
          <w:rFonts w:hint="eastAsia"/>
        </w:rPr>
        <w:t xml:space="preserve">Sánchez-García, C., Kandel, S., Savariaux, C. and Soto-Faraco, S.: The time course of audio-visual phoneme identification: A high temporal resolution study, Multisensory Research, Vol.31, No.1–2, pp.57–78 (2018).</w:t>
      </w:r>
    </w:p>
    <w:p>
      <w:pPr>
        <w:pStyle w:val="a"/>
      </w:pPr>
      <w:r>
        <w:rPr>
          <w:rFonts w:hint="eastAsia"/>
        </w:rPr>
        <w:t xml:space="preserve">Smits, R.: Temporal distribution of information for human consonant recognition in VCV utterances, Journal of Phonetics, Vol.28, No.2, pp.111–135 (2000).</w:t>
      </w:r>
    </w:p>
    <w:p>
      <w:pPr>
        <w:pStyle w:val="a"/>
      </w:pPr>
      <w:r>
        <w:rPr>
          <w:rFonts w:hint="eastAsia"/>
        </w:rPr>
        <w:t xml:space="preserve">竹内義夫: 分割された日本語単音節の知覚実験的研究, Studia Phonologica, Vol.1, pp.70–85 (1961).</w:t>
      </w:r>
    </w:p>
    <w:p>
      <w:pPr>
        <w:pStyle w:val="a"/>
      </w:pPr>
      <w:r>
        <w:rPr>
          <w:rFonts w:hint="eastAsia"/>
        </w:rPr>
        <w:t xml:space="preserve">Uetsuki, M., Watanabe, J., Ando, H. and Maruya, K.: Reading Traits for Dynamically Presented Texts: Comparison of the Optimum Reading Rates of Dynamic Text Presentation and the Reading Rates of Static Text Presentation, Frontiers in Psychology, Vol.8, Article 1390 (2017).</w:t>
      </w:r>
    </w:p>
    <w:p>
      <w:pPr>
        <w:pStyle w:val="a"/>
      </w:pPr>
      <w:r>
        <w:rPr>
          <w:rFonts w:hint="eastAsia"/>
        </w:rPr>
        <w:t xml:space="preserve">Uetsuki, M., Watanabe, J. and Maruya, K.: "Textual Prosody" Can Change Impressions of Reading in People With Normal Hearing and Hearing Loss, Frontiers in Psychology, Vol.11, Article 548619 (2020).</w:t>
      </w:r>
    </w:p>
    <w:p>
      <w:pPr>
        <w:pStyle w:val="a"/>
      </w:pPr>
      <w:r>
        <w:rPr>
          <w:rFonts w:hint="eastAsia"/>
        </w:rPr>
        <w:t xml:space="preserve">Wichmann, F. A. and Hill, N. J.: The psychometric function: I. Fitting, sampling, and goodness of fit, Perception &amp; Psychophysics, Vol.63, No.8, pp.1293–1313 (2001).</w:t>
      </w:r>
    </w:p>
    <w:sectPr w:rsidR="006678B8" w:rsidRPr="00A657FA" w:rsidSect="007F4C08">
      <w:headerReference w:type="even" r:id="rId37"/>
      <w:headerReference w:type="default" r:id="rId38"/>
      <w:type w:val="continuous"/>
      <w:pgSz w:w="11906" w:h="16838" w:code="9"/>
      <w:pgMar w:top="1928" w:right="1134" w:bottom="1304" w:left="1134" w:header="1531" w:footer="284" w:gutter="0"/>
      <w:cols w:num="2" w:space="576"/>
      <w:docGrid w:type="linesAndChars" w:linePitch="272"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C8F70" w14:textId="77777777" w:rsidR="003524AC" w:rsidRDefault="003524AC" w:rsidP="009B5CE9">
      <w:pPr>
        <w:spacing w:before="120"/>
        <w:ind w:left="299" w:right="76" w:firstLine="200"/>
      </w:pPr>
    </w:p>
    <w:p w14:paraId="6D2776F4" w14:textId="77777777" w:rsidR="003524AC" w:rsidRDefault="003524AC">
      <w:pPr>
        <w:ind w:firstLine="200"/>
      </w:pPr>
      <w:r>
        <w:separator/>
      </w:r>
    </w:p>
  </w:endnote>
  <w:endnote w:type="continuationSeparator" w:id="0">
    <w:p w14:paraId="35CDDB7B" w14:textId="77777777" w:rsidR="003524AC" w:rsidRDefault="003524AC" w:rsidP="009B5CE9">
      <w:pPr>
        <w:spacing w:before="120"/>
        <w:ind w:left="299" w:right="76" w:firstLine="200"/>
      </w:pPr>
    </w:p>
    <w:p w14:paraId="3569CC82" w14:textId="77777777" w:rsidR="003524AC" w:rsidRDefault="003524AC">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D7491"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6411"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F7F1"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81574" w14:textId="77777777" w:rsidR="003524AC" w:rsidRDefault="003524AC">
      <w:pPr>
        <w:ind w:firstLine="200"/>
      </w:pPr>
      <w:r>
        <w:separator/>
      </w:r>
      <w:r>
        <w:separator/>
      </w:r>
    </w:p>
  </w:footnote>
  <w:footnote w:type="continuationSeparator" w:id="0">
    <w:p w14:paraId="3B0996EB" w14:textId="77777777" w:rsidR="003524AC" w:rsidRDefault="003524AC" w:rsidP="009B5CE9">
      <w:pPr>
        <w:spacing w:before="120"/>
        <w:ind w:left="299" w:right="76" w:firstLine="200"/>
      </w:pPr>
    </w:p>
    <w:p w14:paraId="79EF9ABF" w14:textId="77777777" w:rsidR="003524AC" w:rsidRDefault="003524AC">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C0F8"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BC726" w14:textId="77777777" w:rsidR="00011E59" w:rsidRDefault="00011E59" w:rsidP="009B5CE9">
    <w:pPr>
      <w:pStyle w:val="a5"/>
      <w:ind w:right="76" w:firstLine="200"/>
    </w:pPr>
    <w:r>
      <w:rPr>
        <w:lang w:val="ja-JP"/>
      </w:rPr>
      <w:t>[</w:t>
    </w:r>
    <w:r>
      <w:rPr>
        <w:lang w:val="ja-JP"/>
      </w:rPr>
      <w:t>テキストを入力</w:t>
    </w:r>
    <w:r>
      <w:rPr>
        <w:lang w:val="ja-JP"/>
      </w:rPr>
      <w:t>]</w:t>
    </w:r>
  </w:p>
  <w:p w14:paraId="1813D320"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53F66"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7F403" w14:textId="586203C4"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3FCB89B5"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74083" w14:textId="77777777" w:rsidR="00011E59" w:rsidRDefault="00011E59" w:rsidP="00492902">
    <w:pPr>
      <w:ind w:firstLine="180"/>
      <w:jc w:val="center"/>
    </w:pPr>
    <w:r w:rsidRPr="007F4C08">
      <w:rPr>
        <w:rFonts w:hint="eastAsia"/>
        <w:sz w:val="18"/>
        <w:lang w:val="ja-JP"/>
      </w:rPr>
      <w:t>論文タイトルをここに書く．以降の奇数ページには自動的に挿入される．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45B0"/>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01F30"/>
    <w:rsid w:val="00113B96"/>
    <w:rsid w:val="00121DC2"/>
    <w:rsid w:val="001266AD"/>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0850"/>
    <w:rsid w:val="003228EC"/>
    <w:rsid w:val="0032460D"/>
    <w:rsid w:val="00331AFE"/>
    <w:rsid w:val="003337B8"/>
    <w:rsid w:val="00337336"/>
    <w:rsid w:val="003413A0"/>
    <w:rsid w:val="00342DDB"/>
    <w:rsid w:val="00344D07"/>
    <w:rsid w:val="00344F6E"/>
    <w:rsid w:val="00347FDF"/>
    <w:rsid w:val="003524AC"/>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C5FD1"/>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6867"/>
    <w:rsid w:val="00477236"/>
    <w:rsid w:val="00480528"/>
    <w:rsid w:val="00480670"/>
    <w:rsid w:val="00481480"/>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5007F"/>
    <w:rsid w:val="00651F26"/>
    <w:rsid w:val="00655D6E"/>
    <w:rsid w:val="0066097B"/>
    <w:rsid w:val="0066285A"/>
    <w:rsid w:val="006678B8"/>
    <w:rsid w:val="00667E89"/>
    <w:rsid w:val="00670AE7"/>
    <w:rsid w:val="00671BFD"/>
    <w:rsid w:val="00673D71"/>
    <w:rsid w:val="00676F3D"/>
    <w:rsid w:val="006805E0"/>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6689"/>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19BD"/>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B8E"/>
    <w:rsid w:val="00930009"/>
    <w:rsid w:val="0093386F"/>
    <w:rsid w:val="00936ED8"/>
    <w:rsid w:val="009400D6"/>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E47FB"/>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B66"/>
    <w:rsid w:val="00CC4B67"/>
    <w:rsid w:val="00CC7E43"/>
    <w:rsid w:val="00CD386A"/>
    <w:rsid w:val="00CD3F50"/>
    <w:rsid w:val="00CE0175"/>
    <w:rsid w:val="00CE02D6"/>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27C4"/>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1EDF"/>
    <w:rsid w:val="00DE26E3"/>
    <w:rsid w:val="00DE6E71"/>
    <w:rsid w:val="00DE7686"/>
    <w:rsid w:val="00DF4605"/>
    <w:rsid w:val="00DF66A9"/>
    <w:rsid w:val="00E07696"/>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323"/>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 w:val="00FF7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C10828B"/>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21"/>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sz w:val="18"/>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39"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38" Type="http://schemas.openxmlformats.org/officeDocument/2006/relationships/header" Target="head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948</Words>
  <Characters>5407</Characters>
  <Application>Microsoft Office Word</Application>
  <DocSecurity>0</DocSecurity>
  <Lines>45</Lines>
  <Paragraphs>12</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6343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ayaka maruyama</cp:lastModifiedBy>
  <cp:revision>17</cp:revision>
  <cp:lastPrinted>2019-04-08T09:54:00Z</cp:lastPrinted>
  <dcterms:created xsi:type="dcterms:W3CDTF">2026-06-07T16:23:00Z</dcterms:created>
  <dcterms:modified xsi:type="dcterms:W3CDTF">2026-07-25T07:50:00Z</dcterms:modified>
  <cp:category/>
</cp:coreProperties>
</file>