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 Threat of New Entrants: High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Low barrier to entry: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barrier to entry for basic hardware is relatively low. Factories in Shenzhen can easily manufacture a metal band with a PPG sensor and an accelerometer. This allows super-budget tier brands (like Colmi) to push out $30–$50 rings.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trust barrier: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While hardware is easy,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trustworthy and algorithms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are hard. First-time buyers want accurate sleep and recovery tracking. If the data feels like a "random number generator”, the company loses them.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Capital intensity: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It requires decent initial capital to build a polished, bug-free companion app and manage sizing kit logistics - a major pain point unique to smart rings.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 Bargaining Power of Buyers: High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First-time, price-sensitive buyers hold a lot of leverage right now.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Low switching costs: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Because these buyers haven't bought into an ecosystem yet, they aren't locked in. They are actively comparing options.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Price sensitivity: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target audience is intentionally avoiding the premium price tag. If we price our ring at $249, but mid-tier market alternatives are sitting at $199, they will switch in a heartbeat.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Demand for transparency: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Buyers are fiercely pushing back against subscription fees. If we try to sneak in a subscription model to subsidize a lower hardware cost, first-time buyers will likely reject it.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 Bargaining Power of Suppliers: Moderate 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a startup, we face unique pressures from the supply chain.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Component miniaturization (thu nhỏ linh kiện: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Cramming a battery, Bluetooth antenna, skin temperature sensor, and PPG sensors into a 3-gram ring requires specialized components. The suppliers of these micro-batteries and flexible PCBs hold significant power.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Volume diđíavantages (Bất lợi về quy mô sản lượng):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Giants like Samsung or Oura can buy components in massive volumes, locking down the best unit economics. As a startup, our lower order volumes mean higher per-unit component costs, squeezing our margins.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 Threat of Substitutes: Very High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Smartwatches and Fitness Bands: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biggest substitute isn’t another ring; it’s a budget fitness tracker. Someone looking for budget sleep and activity tracking could easily buy a Fitbit, an Amazfit watch, or a Xiaomi Mi Band for $50–$100.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Value Proposition Advantage: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Substitutes often feature screens, longer battery life, and more robust fitness tracking. Our ring must win on form factor - pitching itself as the screen-free, distraction-free option that you can comfortably wear to bed.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 Competitive Rivalry: High (Double check với competitors analysis)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Giants: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Oura and Samsung dominate the premium market with massive marketing budgets and deep clinical validation.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Mid-tier (Direct Rivals):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Brands like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RingConn (Gen 2 / Air)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Ultrahuman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have already successfully claimed the "No Subscription, Premium Tracking" alternative space, sitting comfortably in the $200–$300 range.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Race to the bottom: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Cheap white-label rings flood online marketplaces daily, undercutting everyone on price, though lacking in data trust.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Our position: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win, we have to squeeze right between the unreliable cheap rings and the established $250 mid-tier players.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