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D28F" w14:textId="77777777" w:rsidR="00CD6C6D" w:rsidRPr="00CD6C6D" w:rsidRDefault="00CD6C6D" w:rsidP="00CD6C6D">
      <w:pPr>
        <w:rPr>
          <w:b/>
          <w:bCs/>
        </w:rPr>
      </w:pPr>
      <w:r w:rsidRPr="00CD6C6D">
        <w:rPr>
          <w:b/>
          <w:bCs/>
        </w:rPr>
        <w:t>Points of difference and points of parity</w:t>
      </w:r>
    </w:p>
    <w:p w14:paraId="36E19E27" w14:textId="77777777" w:rsidR="00CD6C6D" w:rsidRPr="00CD6C6D" w:rsidRDefault="00CD6C6D" w:rsidP="00CD6C6D">
      <w:pPr>
        <w:rPr>
          <w:b/>
          <w:bCs/>
        </w:rPr>
      </w:pPr>
      <w:r w:rsidRPr="00CD6C6D">
        <w:rPr>
          <w:b/>
          <w:bCs/>
        </w:rPr>
        <w:t>The points of difference (the reasons to choose this ring over any other) are the four defensible resources confirmed in the VRIO:</w:t>
      </w:r>
    </w:p>
    <w:p w14:paraId="087D0EB8" w14:textId="5EC9EB8B" w:rsidR="00CD6C6D" w:rsidRPr="00CD6C6D" w:rsidRDefault="00CD6C6D" w:rsidP="00CD6C6D">
      <w:pPr>
        <w:numPr>
          <w:ilvl w:val="0"/>
          <w:numId w:val="1"/>
        </w:numPr>
        <w:rPr>
          <w:b/>
          <w:bCs/>
        </w:rPr>
      </w:pPr>
    </w:p>
    <w:p w14:paraId="40AA666F" w14:textId="77777777" w:rsidR="00CD6C6D" w:rsidRPr="00CD6C6D" w:rsidRDefault="00CD6C6D" w:rsidP="00CD6C6D">
      <w:pPr>
        <w:numPr>
          <w:ilvl w:val="0"/>
          <w:numId w:val="1"/>
        </w:numPr>
        <w:rPr>
          <w:b/>
          <w:bCs/>
        </w:rPr>
      </w:pPr>
      <w:r w:rsidRPr="00CD6C6D">
        <w:rPr>
          <w:b/>
          <w:bCs/>
        </w:rPr>
        <w:t>Validated accuracy at an accessible tier — Active carries the same validated core as Pro, eliminating the market's "cheap means unreliable" rule.</w:t>
      </w:r>
    </w:p>
    <w:p w14:paraId="64289600" w14:textId="77777777" w:rsidR="00CD6C6D" w:rsidRPr="00CD6C6D" w:rsidRDefault="00CD6C6D" w:rsidP="00CD6C6D">
      <w:pPr>
        <w:numPr>
          <w:ilvl w:val="0"/>
          <w:numId w:val="1"/>
        </w:numPr>
        <w:rPr>
          <w:b/>
          <w:bCs/>
        </w:rPr>
      </w:pPr>
      <w:r w:rsidRPr="00CD6C6D">
        <w:rPr>
          <w:b/>
          <w:bCs/>
        </w:rPr>
        <w:t xml:space="preserve">Confidence-aware, anxiety-reducing experience — the device tells the user when to trust </w:t>
      </w:r>
      <w:proofErr w:type="gramStart"/>
      <w:r w:rsidRPr="00CD6C6D">
        <w:rPr>
          <w:b/>
          <w:bCs/>
        </w:rPr>
        <w:t>a reading</w:t>
      </w:r>
      <w:proofErr w:type="gramEnd"/>
      <w:r w:rsidRPr="00CD6C6D">
        <w:rPr>
          <w:b/>
          <w:bCs/>
        </w:rPr>
        <w:t xml:space="preserve"> and reframes bad nights calmly, where the field shows no confidence indicators at all.</w:t>
      </w:r>
    </w:p>
    <w:p w14:paraId="040F6A80" w14:textId="77777777" w:rsidR="00CD6C6D" w:rsidRPr="00CD6C6D" w:rsidRDefault="00CD6C6D" w:rsidP="00CD6C6D">
      <w:pPr>
        <w:numPr>
          <w:ilvl w:val="0"/>
          <w:numId w:val="1"/>
        </w:numPr>
        <w:rPr>
          <w:b/>
          <w:bCs/>
        </w:rPr>
      </w:pPr>
      <w:r w:rsidRPr="00CD6C6D">
        <w:rPr>
          <w:b/>
          <w:bCs/>
        </w:rPr>
        <w:t>Essential data free for life — payment buys interpretation, not access to one's own body data.</w:t>
      </w:r>
    </w:p>
    <w:p w14:paraId="5E756493" w14:textId="4C8569D5" w:rsidR="00CD6C6D" w:rsidRPr="00CD6C6D" w:rsidRDefault="00CD6C6D" w:rsidP="00CD6C6D">
      <w:pPr>
        <w:rPr>
          <w:b/>
          <w:bCs/>
        </w:rPr>
      </w:pPr>
      <w:r w:rsidRPr="00CD6C6D">
        <w:rPr>
          <w:b/>
          <w:bCs/>
        </w:rPr>
        <w:t>The points of parity (what the ring must match simply to be considered credible) are the full core metric suite (HR, HRV, sleep stages, SpO₂, temperature, activity), iOS + Android support, a comfortable and durable titanium/ceramic water-resistant form factor, and an acceptable multi-day battery — the last being a known weakness the firm must lift to at least category parity.</w:t>
      </w:r>
    </w:p>
    <w:p w14:paraId="58A03E75" w14:textId="77777777" w:rsidR="00CD6C6D" w:rsidRPr="00CD6C6D" w:rsidRDefault="00CD6C6D" w:rsidP="00CD6C6D">
      <w:pPr>
        <w:rPr>
          <w:b/>
          <w:bCs/>
        </w:rPr>
      </w:pPr>
    </w:p>
    <w:p w14:paraId="1688ED4B" w14:textId="68FDD52D" w:rsidR="00CD6C6D" w:rsidRPr="00CD6C6D" w:rsidRDefault="00CD6C6D" w:rsidP="00CD6C6D">
      <w:pPr>
        <w:rPr>
          <w:b/>
          <w:bCs/>
        </w:rPr>
      </w:pPr>
      <w:r w:rsidRPr="00CD6C6D">
        <w:rPr>
          <w:b/>
          <w:bCs/>
        </w:rPr>
        <w:t>Statement: For health-conscious but time-poor consumers who are wary of overpaying or being locked into a subscription, Anvia is a 24/7 smart-ring health platform that delivers validated tracking at every price tier. Because Active and Pro share one validated core, label their own data reliability, and keep essential metrics free for life, Anvia offers the trust of a premium device at an accessible price — unlike Oura's subscription lock, Samsung's closed ecosystem, and budget rings' unreliable data. </w:t>
      </w:r>
    </w:p>
    <w:p w14:paraId="1E04011C" w14:textId="77777777" w:rsidR="00CD6C6D" w:rsidRPr="00CD6C6D" w:rsidRDefault="00CD6C6D" w:rsidP="00CD6C6D">
      <w:pPr>
        <w:rPr>
          <w:b/>
          <w:bCs/>
        </w:rPr>
      </w:pPr>
    </w:p>
    <w:p w14:paraId="1AAB3EC1" w14:textId="77777777" w:rsidR="00CD6C6D" w:rsidRPr="00CD6C6D" w:rsidRDefault="00CD6C6D" w:rsidP="00CD6C6D">
      <w:pPr>
        <w:rPr>
          <w:b/>
          <w:bCs/>
        </w:rPr>
      </w:pPr>
      <w:r w:rsidRPr="00CD6C6D">
        <w:rPr>
          <w:b/>
          <w:bCs/>
        </w:rPr>
        <w:t>The strategic white space</w:t>
      </w:r>
    </w:p>
    <w:p w14:paraId="369332B4" w14:textId="3CBB655B" w:rsidR="00CD6C6D" w:rsidRPr="00CD6C6D" w:rsidRDefault="00CD6C6D" w:rsidP="00CD6C6D">
      <w:pPr>
        <w:rPr>
          <w:b/>
          <w:bCs/>
        </w:rPr>
      </w:pPr>
      <w:r w:rsidRPr="00CD6C6D">
        <w:rPr>
          <w:b/>
          <w:bCs/>
        </w:rPr>
        <w:t>The decisive perceptual dimensions for the target are price and validated data trust — and the Five Forces analysis points to the exact gap: the firm should "squeeze right between the unreliable cheap rings and the established mid-tier players." Mapping the field on these two axes shows why. The premium corner (high price, high trust) is owned by Oura; the entire low-price region is low-trust; and the accessible-price / high-trust zone is effectively empty. That open zone is where Active is positioned, while Pro contests the premium corner but differentiates on free-core data rather than on accuracy alone.</w:t>
      </w:r>
    </w:p>
    <w:p w14:paraId="480CECE5" w14:textId="21BCBB50" w:rsidR="00CD6C6D" w:rsidRPr="00CD6C6D" w:rsidRDefault="00CD6C6D" w:rsidP="00CD6C6D">
      <w:pPr>
        <w:rPr>
          <w:b/>
          <w:bCs/>
        </w:rPr>
      </w:pPr>
      <w:r w:rsidRPr="00CD6C6D">
        <w:rPr>
          <w:b/>
          <w:bCs/>
          <w:noProof/>
        </w:rPr>
        <w:lastRenderedPageBreak/>
        <w:drawing>
          <wp:inline distT="0" distB="0" distL="0" distR="0" wp14:anchorId="515EBFE0" wp14:editId="4F844E4D">
            <wp:extent cx="5737860" cy="4579620"/>
            <wp:effectExtent l="0" t="0" r="0" b="0"/>
            <wp:docPr id="67025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60" cy="4579620"/>
                    </a:xfrm>
                    <a:prstGeom prst="rect">
                      <a:avLst/>
                    </a:prstGeom>
                    <a:noFill/>
                    <a:ln>
                      <a:noFill/>
                    </a:ln>
                  </pic:spPr>
                </pic:pic>
              </a:graphicData>
            </a:graphic>
          </wp:inline>
        </w:drawing>
      </w:r>
    </w:p>
    <w:p w14:paraId="12748D47" w14:textId="393C1783" w:rsidR="000B335D" w:rsidRPr="00CD6C6D" w:rsidRDefault="000B335D" w:rsidP="00CD6C6D"/>
    <w:sectPr w:rsidR="000B335D" w:rsidRPr="00CD6C6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9B378" w14:textId="77777777" w:rsidR="000C11E8" w:rsidRDefault="000C11E8" w:rsidP="00960F5A">
      <w:pPr>
        <w:spacing w:after="0" w:line="240" w:lineRule="auto"/>
      </w:pPr>
      <w:r>
        <w:separator/>
      </w:r>
    </w:p>
  </w:endnote>
  <w:endnote w:type="continuationSeparator" w:id="0">
    <w:p w14:paraId="790C295D" w14:textId="77777777" w:rsidR="000C11E8" w:rsidRDefault="000C11E8" w:rsidP="00960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EBFB" w14:textId="77777777" w:rsidR="00960F5A" w:rsidRDefault="00960F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9C21" w14:textId="77777777" w:rsidR="00960F5A" w:rsidRDefault="00960F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8E25" w14:textId="77777777" w:rsidR="00960F5A" w:rsidRDefault="00960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B2A73" w14:textId="77777777" w:rsidR="000C11E8" w:rsidRDefault="000C11E8" w:rsidP="00960F5A">
      <w:pPr>
        <w:spacing w:after="0" w:line="240" w:lineRule="auto"/>
      </w:pPr>
      <w:r>
        <w:separator/>
      </w:r>
    </w:p>
  </w:footnote>
  <w:footnote w:type="continuationSeparator" w:id="0">
    <w:p w14:paraId="3929CD57" w14:textId="77777777" w:rsidR="000C11E8" w:rsidRDefault="000C11E8" w:rsidP="00960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A75C" w14:textId="77777777" w:rsidR="00960F5A" w:rsidRDefault="00960F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D2B7" w14:textId="77777777" w:rsidR="00960F5A" w:rsidRDefault="00960F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5DC5" w14:textId="77777777" w:rsidR="00960F5A" w:rsidRDefault="00960F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7314"/>
    <w:multiLevelType w:val="multilevel"/>
    <w:tmpl w:val="2D3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15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995"/>
    <w:rsid w:val="00095B45"/>
    <w:rsid w:val="000B335D"/>
    <w:rsid w:val="000C11E8"/>
    <w:rsid w:val="00251771"/>
    <w:rsid w:val="00403830"/>
    <w:rsid w:val="00456641"/>
    <w:rsid w:val="00515154"/>
    <w:rsid w:val="005C2995"/>
    <w:rsid w:val="00720436"/>
    <w:rsid w:val="0080171C"/>
    <w:rsid w:val="00851FD4"/>
    <w:rsid w:val="00860A20"/>
    <w:rsid w:val="008C64BF"/>
    <w:rsid w:val="00960F5A"/>
    <w:rsid w:val="00A864C1"/>
    <w:rsid w:val="00C1735A"/>
    <w:rsid w:val="00C97D41"/>
    <w:rsid w:val="00CD6C6D"/>
    <w:rsid w:val="00EC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BC1C2A-8CBA-4786-A327-D4D31AA2F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C6D"/>
    <w:rPr>
      <w:rFonts w:ascii="Times New Roman" w:hAnsi="Times New Roman"/>
    </w:rPr>
  </w:style>
  <w:style w:type="paragraph" w:styleId="Heading1">
    <w:name w:val="heading 1"/>
    <w:basedOn w:val="Normal"/>
    <w:next w:val="Normal"/>
    <w:link w:val="Heading1Char"/>
    <w:uiPriority w:val="9"/>
    <w:qFormat/>
    <w:rsid w:val="005C2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995"/>
    <w:rPr>
      <w:rFonts w:eastAsiaTheme="majorEastAsia" w:cstheme="majorBidi"/>
      <w:color w:val="272727" w:themeColor="text1" w:themeTint="D8"/>
    </w:rPr>
  </w:style>
  <w:style w:type="paragraph" w:styleId="Title">
    <w:name w:val="Title"/>
    <w:basedOn w:val="Normal"/>
    <w:next w:val="Normal"/>
    <w:link w:val="TitleChar"/>
    <w:uiPriority w:val="10"/>
    <w:qFormat/>
    <w:rsid w:val="005C2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995"/>
    <w:pPr>
      <w:spacing w:before="160"/>
      <w:jc w:val="center"/>
    </w:pPr>
    <w:rPr>
      <w:i/>
      <w:iCs/>
      <w:color w:val="404040" w:themeColor="text1" w:themeTint="BF"/>
    </w:rPr>
  </w:style>
  <w:style w:type="character" w:customStyle="1" w:styleId="QuoteChar">
    <w:name w:val="Quote Char"/>
    <w:basedOn w:val="DefaultParagraphFont"/>
    <w:link w:val="Quote"/>
    <w:uiPriority w:val="29"/>
    <w:rsid w:val="005C2995"/>
    <w:rPr>
      <w:i/>
      <w:iCs/>
      <w:color w:val="404040" w:themeColor="text1" w:themeTint="BF"/>
    </w:rPr>
  </w:style>
  <w:style w:type="paragraph" w:styleId="ListParagraph">
    <w:name w:val="List Paragraph"/>
    <w:basedOn w:val="Normal"/>
    <w:uiPriority w:val="34"/>
    <w:qFormat/>
    <w:rsid w:val="005C2995"/>
    <w:pPr>
      <w:ind w:left="720"/>
      <w:contextualSpacing/>
    </w:pPr>
  </w:style>
  <w:style w:type="character" w:styleId="IntenseEmphasis">
    <w:name w:val="Intense Emphasis"/>
    <w:basedOn w:val="DefaultParagraphFont"/>
    <w:uiPriority w:val="21"/>
    <w:qFormat/>
    <w:rsid w:val="005C2995"/>
    <w:rPr>
      <w:i/>
      <w:iCs/>
      <w:color w:val="0F4761" w:themeColor="accent1" w:themeShade="BF"/>
    </w:rPr>
  </w:style>
  <w:style w:type="paragraph" w:styleId="IntenseQuote">
    <w:name w:val="Intense Quote"/>
    <w:basedOn w:val="Normal"/>
    <w:next w:val="Normal"/>
    <w:link w:val="IntenseQuoteChar"/>
    <w:uiPriority w:val="30"/>
    <w:qFormat/>
    <w:rsid w:val="005C2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995"/>
    <w:rPr>
      <w:i/>
      <w:iCs/>
      <w:color w:val="0F4761" w:themeColor="accent1" w:themeShade="BF"/>
    </w:rPr>
  </w:style>
  <w:style w:type="character" w:styleId="IntenseReference">
    <w:name w:val="Intense Reference"/>
    <w:basedOn w:val="DefaultParagraphFont"/>
    <w:uiPriority w:val="32"/>
    <w:qFormat/>
    <w:rsid w:val="005C2995"/>
    <w:rPr>
      <w:b/>
      <w:bCs/>
      <w:smallCaps/>
      <w:color w:val="0F4761" w:themeColor="accent1" w:themeShade="BF"/>
      <w:spacing w:val="5"/>
    </w:rPr>
  </w:style>
  <w:style w:type="paragraph" w:styleId="Header">
    <w:name w:val="header"/>
    <w:basedOn w:val="Normal"/>
    <w:link w:val="HeaderChar"/>
    <w:uiPriority w:val="99"/>
    <w:unhideWhenUsed/>
    <w:rsid w:val="00960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F5A"/>
    <w:rPr>
      <w:rFonts w:ascii="Times New Roman" w:hAnsi="Times New Roman"/>
    </w:rPr>
  </w:style>
  <w:style w:type="paragraph" w:styleId="Footer">
    <w:name w:val="footer"/>
    <w:basedOn w:val="Normal"/>
    <w:link w:val="FooterChar"/>
    <w:uiPriority w:val="99"/>
    <w:unhideWhenUsed/>
    <w:rsid w:val="00960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F5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820B70-4DE4-408C-9D7F-E07F4A6856D2}">
  <we:reference id="wa200010453" version="1.0.0.1" store="en-US" storeType="OMEX"/>
  <we:alternateReferences>
    <we:reference id="wa200010453" version="1.0.0.1" store="en-US" storeType="OMEX"/>
  </we:alternateReferences>
  <we:properties>
    <we:property name="claude.fileId" value="&quot;805ab034-da9d-4350-8847-0beabfc6235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2</Pages>
  <Words>327</Words>
  <Characters>1804</Characters>
  <Application>Microsoft Office Word</Application>
  <DocSecurity>0</DocSecurity>
  <Lines>31</Lines>
  <Paragraphs>10</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Gilnan Keves</dc:creator>
  <cp:keywords/>
  <dc:description/>
  <cp:lastModifiedBy>Gilnan Keves</cp:lastModifiedBy>
  <cp:revision>8</cp:revision>
  <dcterms:created xsi:type="dcterms:W3CDTF">2026-05-30T02:04:00Z</dcterms:created>
  <dcterms:modified xsi:type="dcterms:W3CDTF">2026-06-03T13:54:00Z</dcterms:modified>
</cp:coreProperties>
</file>