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8A429" w14:textId="68CB65FC" w:rsidR="00115CE0" w:rsidRPr="00966A27" w:rsidRDefault="00000000" w:rsidP="00966A27">
      <w:pPr>
        <w:pStyle w:val="Heading2"/>
        <w:keepNext w:val="0"/>
        <w:keepLines w:val="0"/>
        <w:spacing w:after="80"/>
        <w:rPr>
          <w:b/>
          <w:bCs/>
          <w:sz w:val="34"/>
          <w:szCs w:val="34"/>
          <w:lang w:val="en-US"/>
        </w:rPr>
      </w:pPr>
      <w:bookmarkStart w:id="0" w:name="_b56esglzjx1s" w:colFirst="0" w:colLast="0"/>
      <w:bookmarkEnd w:id="0"/>
      <w:r>
        <w:rPr>
          <w:b/>
          <w:bCs/>
          <w:sz w:val="34"/>
          <w:szCs w:val="34"/>
        </w:rPr>
        <w:t>SDGs</w:t>
      </w:r>
    </w:p>
    <w:tbl>
      <w:tblPr>
        <w:tblStyle w:val="a"/>
        <w:tblW w:w="9025" w:type="dxa"/>
        <w:tblInd w:w="0" w:type="dxa"/>
        <w:tblLayout w:type="fixed"/>
        <w:tblLook w:val="0600" w:firstRow="0" w:lastRow="0" w:firstColumn="0" w:lastColumn="0" w:noHBand="1" w:noVBand="1"/>
      </w:tblPr>
      <w:tblGrid>
        <w:gridCol w:w="1677"/>
        <w:gridCol w:w="2712"/>
        <w:gridCol w:w="2560"/>
        <w:gridCol w:w="2076"/>
      </w:tblGrid>
      <w:tr w:rsidR="00115CE0" w14:paraId="09387E9B" w14:textId="77777777">
        <w:trPr>
          <w:trHeight w:val="785"/>
        </w:trPr>
        <w:tc>
          <w:tcPr>
            <w:tcW w:w="1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EAE3B" w14:textId="77777777" w:rsidR="00115CE0" w:rsidRDefault="00000000">
            <w:pPr>
              <w:jc w:val="center"/>
            </w:pPr>
            <w:r>
              <w:rPr>
                <w:b/>
                <w:bCs/>
              </w:rPr>
              <w:t>SDG</w:t>
            </w:r>
          </w:p>
        </w:tc>
        <w:tc>
          <w:tcPr>
            <w:tcW w:w="27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9EF881" w14:textId="77777777" w:rsidR="00115CE0" w:rsidRDefault="00000000">
            <w:pPr>
              <w:jc w:val="center"/>
            </w:pPr>
            <w:r>
              <w:rPr>
                <w:b/>
                <w:bCs/>
              </w:rPr>
              <w:t>Evidence from sources</w:t>
            </w:r>
          </w:p>
        </w:tc>
        <w:tc>
          <w:tcPr>
            <w:tcW w:w="2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05C5C" w14:textId="77777777" w:rsidR="00115CE0" w:rsidRDefault="00000000">
            <w:pPr>
              <w:jc w:val="center"/>
            </w:pPr>
            <w:r>
              <w:rPr>
                <w:b/>
                <w:bCs/>
              </w:rPr>
              <w:t>Mechanism of achievement</w:t>
            </w:r>
          </w:p>
        </w:tc>
        <w:tc>
          <w:tcPr>
            <w:tcW w:w="20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3F3B0" w14:textId="77777777" w:rsidR="00115CE0" w:rsidRDefault="00000000">
            <w:pPr>
              <w:jc w:val="center"/>
            </w:pPr>
            <w:r>
              <w:rPr>
                <w:b/>
                <w:bCs/>
              </w:rPr>
              <w:t>Extent</w:t>
            </w:r>
          </w:p>
        </w:tc>
      </w:tr>
      <w:tr w:rsidR="00115CE0" w14:paraId="3FE9BCF3" w14:textId="77777777">
        <w:trPr>
          <w:trHeight w:val="5555"/>
        </w:trPr>
        <w:tc>
          <w:tcPr>
            <w:tcW w:w="1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DC7B7" w14:textId="77777777" w:rsidR="00115CE0" w:rsidRDefault="00000000">
            <w:r>
              <w:rPr>
                <w:b/>
                <w:bCs/>
              </w:rPr>
              <w:t>SDG 3: Good Health and Well-being</w:t>
            </w:r>
          </w:p>
        </w:tc>
        <w:tc>
          <w:tcPr>
            <w:tcW w:w="27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3954A" w14:textId="728CBDDD" w:rsidR="00115CE0" w:rsidRPr="00966A27" w:rsidRDefault="00000000">
            <w:r w:rsidRPr="00966A27">
              <w:rPr>
                <w:rFonts w:eastAsia="Gungsuh"/>
              </w:rPr>
              <w:t>The product is built around validated tracking for “sleep, HR, HRV, resting HR, activity, and temperature baseline,” with Active and Pro sharing the same core accuracy standard.</w:t>
            </w:r>
          </w:p>
        </w:tc>
        <w:tc>
          <w:tcPr>
            <w:tcW w:w="2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3219B" w14:textId="60B5C3CD" w:rsidR="00115CE0" w:rsidRDefault="00000000">
            <w:r>
              <w:t>The ring supports preventive wellness through sleep, HRV, recovery, stress, activity, and temperature monitoring. Pro deepens this with EDA stress sensing, multi-point temperature, higher-resolution HRV, and better false-positive reduction.</w:t>
            </w:r>
          </w:p>
        </w:tc>
        <w:tc>
          <w:tcPr>
            <w:tcW w:w="20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6D1C76" w14:textId="56785276" w:rsidR="00115CE0" w:rsidRDefault="00000000">
            <w:r>
              <w:rPr>
                <w:b/>
                <w:bCs/>
              </w:rPr>
              <w:t>5/5</w:t>
            </w:r>
            <w:r>
              <w:t xml:space="preserve"> — Health and well-being are the core product purpose, not a side benefit. The shared accuracy architecture</w:t>
            </w:r>
            <w:r w:rsidR="00C411BA" w:rsidRPr="00C411BA">
              <w:t xml:space="preserve"> and</w:t>
            </w:r>
            <w:r>
              <w:t xml:space="preserve"> stress/recovery system are central engineering requirements.</w:t>
            </w:r>
          </w:p>
        </w:tc>
      </w:tr>
      <w:tr w:rsidR="00115CE0" w14:paraId="0D63EC49" w14:textId="77777777">
        <w:trPr>
          <w:trHeight w:val="5825"/>
        </w:trPr>
        <w:tc>
          <w:tcPr>
            <w:tcW w:w="1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028734" w14:textId="77777777" w:rsidR="00115CE0" w:rsidRDefault="00000000">
            <w:r>
              <w:rPr>
                <w:b/>
                <w:bCs/>
              </w:rPr>
              <w:lastRenderedPageBreak/>
              <w:t>SDG 9: Industry, Innovation and Infrastructure</w:t>
            </w:r>
          </w:p>
        </w:tc>
        <w:tc>
          <w:tcPr>
            <w:tcW w:w="27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98FF6" w14:textId="77DCAF8F" w:rsidR="00115CE0" w:rsidRDefault="00000000">
            <w:r>
              <w:t>The hardware plan uses a three-layer radial ring stack: structural titanium/ceramic shell, ultra-thin curved rigid-flex PCB, curved thin-film battery, optical AFE, MCU, IMU, wireless, piezo alarm driver, PMIC, flush optical windows, and compliant contact rails without visible sensor bumps. The software adds iOS/Android app architecture, firmware coordination, backend health metrics, personal baselines, B2B dashboards, research systems, and Pro demo systems.</w:t>
            </w:r>
          </w:p>
        </w:tc>
        <w:tc>
          <w:tcPr>
            <w:tcW w:w="2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4A172" w14:textId="79D00742" w:rsidR="00115CE0" w:rsidRDefault="00000000">
            <w:r>
              <w:t xml:space="preserve">The product advances wearable-health infrastructure by combining miniaturized sensors, firmware, mobile apps, cloud health models, </w:t>
            </w:r>
            <w:r w:rsidR="00C411BA">
              <w:t xml:space="preserve">and </w:t>
            </w:r>
            <w:r>
              <w:t>privacy controls into a full hardware-software ecosystem. The Pro demo program also creates a structured innovation loop for testing sensor layouts, coatings, haptics, beta firmware, and experimental dashboards.</w:t>
            </w:r>
          </w:p>
        </w:tc>
        <w:tc>
          <w:tcPr>
            <w:tcW w:w="20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2340F" w14:textId="77777777" w:rsidR="00115CE0" w:rsidRDefault="00000000">
            <w:r>
              <w:rPr>
                <w:b/>
                <w:bCs/>
              </w:rPr>
              <w:t>4/5</w:t>
            </w:r>
            <w:r>
              <w:t xml:space="preserve"> — Innovation is a strong design driver. The system is technically ambitious, but the documents do not yet prove broader public infrastructure impact beyond the product ecosystem.</w:t>
            </w:r>
          </w:p>
        </w:tc>
      </w:tr>
      <w:tr w:rsidR="00115CE0" w14:paraId="6370BD08" w14:textId="77777777">
        <w:trPr>
          <w:trHeight w:val="5270"/>
        </w:trPr>
        <w:tc>
          <w:tcPr>
            <w:tcW w:w="1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C65EA" w14:textId="77777777" w:rsidR="00115CE0" w:rsidRDefault="00000000">
            <w:r>
              <w:rPr>
                <w:b/>
                <w:bCs/>
              </w:rPr>
              <w:t>SDG 10: Reduced Inequalities</w:t>
            </w:r>
          </w:p>
        </w:tc>
        <w:tc>
          <w:tcPr>
            <w:tcW w:w="27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8EA117" w14:textId="77777777" w:rsidR="00115CE0" w:rsidRDefault="00000000">
            <w:r>
              <w:t>The Product Idea positions Active as “Accuracy-first essentials” for first-time buyers who want trustworthy tracking without Oura-level premium pricing, while keeping basic health data free. It explicitly says basic sleep, HR, HRV, activity, readiness, temperature trend, metric explanations, and confidence indicators should not be locked away. The software also requires iOS and Android support to avoid Samsung-style ecosystem lock-in.</w:t>
            </w:r>
          </w:p>
        </w:tc>
        <w:tc>
          <w:tcPr>
            <w:tcW w:w="2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C6DC73" w14:textId="77777777" w:rsidR="00115CE0" w:rsidRDefault="00000000">
            <w:r>
              <w:t>The ring reduces access barriers by offering a lower-friction Active tier, useful free core metrics, cross-platform compatibility, and paid features framed as interpretation/coaching rather than access to the user’s own body data.</w:t>
            </w:r>
          </w:p>
        </w:tc>
        <w:tc>
          <w:tcPr>
            <w:tcW w:w="20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4139A" w14:textId="77777777" w:rsidR="00115CE0" w:rsidRDefault="00000000">
            <w:r>
              <w:rPr>
                <w:b/>
                <w:bCs/>
              </w:rPr>
              <w:t>3/5</w:t>
            </w:r>
            <w:r>
              <w:t xml:space="preserve"> — The alignment is meaningful but indirect. The documents improve affordability and digital access, but they do not define a specific inclusion program for low-income, rural, disabled, or medically underserved users.</w:t>
            </w:r>
          </w:p>
        </w:tc>
      </w:tr>
      <w:tr w:rsidR="00115CE0" w14:paraId="4C11B5BF" w14:textId="77777777">
        <w:trPr>
          <w:trHeight w:val="4715"/>
        </w:trPr>
        <w:tc>
          <w:tcPr>
            <w:tcW w:w="1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10BDAF" w14:textId="77777777" w:rsidR="00115CE0" w:rsidRDefault="00000000">
            <w:r>
              <w:rPr>
                <w:b/>
                <w:bCs/>
              </w:rPr>
              <w:lastRenderedPageBreak/>
              <w:t>SDG 12: Responsible Consumption and Production</w:t>
            </w:r>
          </w:p>
        </w:tc>
        <w:tc>
          <w:tcPr>
            <w:tcW w:w="27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9E459" w14:textId="26A0E760" w:rsidR="00115CE0" w:rsidRDefault="00000000">
            <w:r>
              <w:t>The documents emphasize durable construction: Active targets IP69K, salt-sweat corrosion testing, fully potted electronics, reinforced waterproofing, gym-safe coating, scratch resistance, and waterproof acoustic membranes. Production quality control includes waterproof tests, sweat corrosion tests, and calibration checks.</w:t>
            </w:r>
          </w:p>
        </w:tc>
        <w:tc>
          <w:tcPr>
            <w:tcW w:w="2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CA1B40" w14:textId="77777777" w:rsidR="00115CE0" w:rsidRDefault="00000000">
            <w:r>
              <w:t>Longer-lasting, more durable hardware can reduce premature replacement. Per-unit calibration and quality-control testing can reduce defective units, returns, and performance waste. Firmware safety rules also prevent risky updates and protect emergency reserve power.</w:t>
            </w:r>
          </w:p>
        </w:tc>
        <w:tc>
          <w:tcPr>
            <w:tcW w:w="20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8435D3" w14:textId="77777777" w:rsidR="00115CE0" w:rsidRDefault="00000000">
            <w:r>
              <w:rPr>
                <w:b/>
                <w:bCs/>
              </w:rPr>
              <w:t>2/5</w:t>
            </w:r>
            <w:r>
              <w:t xml:space="preserve"> — This is a secondary alignment. The documents support durability and quality, but they do not yet describe recycling, repairability, take-back programs, low-carbon manufacturing, or battery end-of-life strategy.</w:t>
            </w:r>
          </w:p>
        </w:tc>
      </w:tr>
    </w:tbl>
    <w:p w14:paraId="5E762EE9" w14:textId="77777777" w:rsidR="00115CE0" w:rsidRDefault="00115CE0"/>
    <w:p w14:paraId="76F28844" w14:textId="77777777" w:rsidR="00115CE0" w:rsidRDefault="00115CE0"/>
    <w:sectPr w:rsidR="00115CE0">
      <w:headerReference w:type="even" r:id="rId6"/>
      <w:headerReference w:type="default" r:id="rId7"/>
      <w:footerReference w:type="even" r:id="rId8"/>
      <w:footerReference w:type="default" r:id="rId9"/>
      <w:headerReference w:type="first" r:id="rId10"/>
      <w:footerReference w:type="firs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8D888" w14:textId="77777777" w:rsidR="00560B69" w:rsidRDefault="00560B69" w:rsidP="00966A27">
      <w:pPr>
        <w:spacing w:before="0" w:after="0" w:line="240" w:lineRule="auto"/>
      </w:pPr>
      <w:r>
        <w:separator/>
      </w:r>
    </w:p>
  </w:endnote>
  <w:endnote w:type="continuationSeparator" w:id="0">
    <w:p w14:paraId="58604B92" w14:textId="77777777" w:rsidR="00560B69" w:rsidRDefault="00560B69" w:rsidP="00966A2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1" w:fontKey="{1473DA56-AD09-4DE2-849F-669ADB7AB861}"/>
  </w:font>
  <w:font w:name="Cambria">
    <w:panose1 w:val="02040503050406030204"/>
    <w:charset w:val="00"/>
    <w:family w:val="roman"/>
    <w:pitch w:val="variable"/>
    <w:sig w:usb0="E00006FF" w:usb1="420024FF" w:usb2="02000000" w:usb3="00000000" w:csb0="0000019F" w:csb1="00000000"/>
    <w:embedRegular r:id="rId2" w:fontKey="{C42A9590-1840-4C9B-A2AF-6B714E1DF5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CE33A" w14:textId="77777777" w:rsidR="00966A27" w:rsidRDefault="00966A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BC09" w14:textId="77777777" w:rsidR="00966A27" w:rsidRDefault="00966A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D58AD" w14:textId="77777777" w:rsidR="00966A27" w:rsidRDefault="00966A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85477" w14:textId="77777777" w:rsidR="00560B69" w:rsidRDefault="00560B69" w:rsidP="00966A27">
      <w:pPr>
        <w:spacing w:before="0" w:after="0" w:line="240" w:lineRule="auto"/>
      </w:pPr>
      <w:r>
        <w:separator/>
      </w:r>
    </w:p>
  </w:footnote>
  <w:footnote w:type="continuationSeparator" w:id="0">
    <w:p w14:paraId="6586F486" w14:textId="77777777" w:rsidR="00560B69" w:rsidRDefault="00560B69" w:rsidP="00966A2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143E9" w14:textId="77777777" w:rsidR="00966A27" w:rsidRDefault="00966A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BD46D" w14:textId="77777777" w:rsidR="00966A27" w:rsidRDefault="00966A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1B8E4" w14:textId="77777777" w:rsidR="00966A27" w:rsidRDefault="00966A2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CE0"/>
    <w:rsid w:val="000D5FD4"/>
    <w:rsid w:val="00115CE0"/>
    <w:rsid w:val="002A0D9A"/>
    <w:rsid w:val="00560B69"/>
    <w:rsid w:val="00966A27"/>
    <w:rsid w:val="00BD4EA8"/>
    <w:rsid w:val="00C411BA"/>
    <w:rsid w:val="00FD4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9D19D"/>
  <w15:docId w15:val="{A74A224A-6D52-4827-B3ED-8C28B0560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spacing w:before="240"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after="80"/>
      <w:outlineLvl w:val="4"/>
    </w:pPr>
    <w:rPr>
      <w:color w:val="666666"/>
    </w:rPr>
  </w:style>
  <w:style w:type="paragraph" w:styleId="Heading6">
    <w:name w:val="heading 6"/>
    <w:basedOn w:val="Normal"/>
    <w:next w:val="Normal"/>
    <w:uiPriority w:val="9"/>
    <w:semiHidden/>
    <w:unhideWhenUsed/>
    <w:qFormat/>
    <w:pPr>
      <w:keepNext/>
      <w:keepLines/>
      <w:spacing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966A2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66A27"/>
  </w:style>
  <w:style w:type="paragraph" w:styleId="Footer">
    <w:name w:val="footer"/>
    <w:basedOn w:val="Normal"/>
    <w:link w:val="FooterChar"/>
    <w:uiPriority w:val="99"/>
    <w:unhideWhenUsed/>
    <w:rsid w:val="00966A2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66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04B60E-5F9C-4A02-97C0-55A11092291F}">
  <we:reference id="wa200010453" version="1.0.0.1" store="en-US" storeType="OMEX"/>
  <we:alternateReferences>
    <we:reference id="wa200010453" version="1.0.0.1" store="en-US" storeType="OMEX"/>
  </we:alternateReferences>
  <we:properties>
    <we:property name="claude.fileId" value="&quot;2e55f17e-b335-45ff-a7b8-6817f9922a4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TotalTime>
  <Pages>3</Pages>
  <Words>461</Words>
  <Characters>3052</Characters>
  <Application>Microsoft Office Word</Application>
  <DocSecurity>0</DocSecurity>
  <Lines>179</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Gilnan Keves</cp:lastModifiedBy>
  <cp:revision>3</cp:revision>
  <dcterms:created xsi:type="dcterms:W3CDTF">2026-05-30T01:59:00Z</dcterms:created>
  <dcterms:modified xsi:type="dcterms:W3CDTF">2026-06-03T13:51:00Z</dcterms:modified>
</cp:coreProperties>
</file>