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BD23" w14:textId="77777777" w:rsidR="007100BE" w:rsidRPr="007100BE" w:rsidRDefault="007100BE" w:rsidP="007100BE">
      <w:pPr>
        <w:rPr>
          <w:b/>
          <w:bCs/>
        </w:rPr>
      </w:pPr>
      <w:r w:rsidRPr="007100BE">
        <w:rPr>
          <w:b/>
          <w:bCs/>
        </w:rPr>
        <w:t>Resource 1 — Dual-tier shared validated accuracy architecture</w:t>
      </w:r>
    </w:p>
    <w:p w14:paraId="506BDB7A" w14:textId="77777777" w:rsidR="007100BE" w:rsidRPr="007100BE" w:rsidRDefault="007100BE" w:rsidP="007100BE">
      <w:r w:rsidRPr="007100BE">
        <w:rPr>
          <w:i/>
          <w:iCs/>
        </w:rPr>
        <w:t>The same validated core (sleep, HR, HRV, resting HR, activity, temperature) and signal-quality engine run in both the affordable Active and the premium Pro; Pro adds depth, never baseline accuracy.</w:t>
      </w:r>
    </w:p>
    <w:p w14:paraId="54CFC996" w14:textId="77777777" w:rsidR="007100BE" w:rsidRPr="007100BE" w:rsidRDefault="007100BE" w:rsidP="007100BE">
      <w:pPr>
        <w:numPr>
          <w:ilvl w:val="0"/>
          <w:numId w:val="1"/>
        </w:numPr>
      </w:pPr>
      <w:r w:rsidRPr="007100BE">
        <w:rPr>
          <w:b/>
          <w:bCs/>
        </w:rPr>
        <w:t>Value — Yes.</w:t>
      </w:r>
      <w:r w:rsidRPr="007100BE">
        <w:t xml:space="preserve"> It neutralizes the market's central trust gap (industry validation is weak; fewer than 5% of consumer wearables are validated across the signals they claim). By refusing to weaken the entry tier, it removes the "cheap means unreliable" penalty and expands reach into the two priority segments (convenience-first improvers, trust-value cautious adopters) while supporting willingness to pay.</w:t>
      </w:r>
    </w:p>
    <w:p w14:paraId="42755968" w14:textId="77777777" w:rsidR="007100BE" w:rsidRPr="007100BE" w:rsidRDefault="007100BE" w:rsidP="007100BE">
      <w:pPr>
        <w:numPr>
          <w:ilvl w:val="0"/>
          <w:numId w:val="1"/>
        </w:numPr>
      </w:pPr>
      <w:r w:rsidRPr="007100BE">
        <w:rPr>
          <w:b/>
          <w:bCs/>
        </w:rPr>
        <w:t>Rarity — Partial.</w:t>
      </w:r>
      <w:r w:rsidRPr="007100BE">
        <w:t xml:space="preserve"> Premium-tier accuracy is not rare (Oura is the benchmark). What is rare is the </w:t>
      </w:r>
      <w:r w:rsidRPr="007100BE">
        <w:rPr>
          <w:i/>
          <w:iCs/>
        </w:rPr>
        <w:t>discipline</w:t>
      </w:r>
      <w:r w:rsidRPr="007100BE">
        <w:t xml:space="preserve"> of one validated standard shared across a budget and a premium tier; competitors typically segment accuracy by price.</w:t>
      </w:r>
    </w:p>
    <w:p w14:paraId="2AF3C36C" w14:textId="77777777" w:rsidR="007100BE" w:rsidRPr="007100BE" w:rsidRDefault="007100BE" w:rsidP="007100BE">
      <w:pPr>
        <w:numPr>
          <w:ilvl w:val="0"/>
          <w:numId w:val="1"/>
        </w:numPr>
      </w:pPr>
      <w:r w:rsidRPr="007100BE">
        <w:rPr>
          <w:b/>
          <w:bCs/>
        </w:rPr>
        <w:t>Inimitability — Costly.</w:t>
      </w:r>
      <w:r w:rsidRPr="007100BE">
        <w:t xml:space="preserve"> This is a system, not a feature: shared algorithm engine, fit detection, motion-artifact scoring, per-unit optical/thermal/motion calibration, and a rule that no metric is marketed before validation. The causal ambiguity and path dependence make it slow to copy, though a well-capitalized incumbent could replicate it over time.</w:t>
      </w:r>
    </w:p>
    <w:p w14:paraId="649CDB80" w14:textId="77777777" w:rsidR="007100BE" w:rsidRPr="007100BE" w:rsidRDefault="007100BE" w:rsidP="007100BE">
      <w:pPr>
        <w:numPr>
          <w:ilvl w:val="0"/>
          <w:numId w:val="1"/>
        </w:numPr>
      </w:pPr>
      <w:r w:rsidRPr="007100BE">
        <w:rPr>
          <w:b/>
          <w:bCs/>
        </w:rPr>
        <w:t>Organization — Partial.</w:t>
      </w:r>
      <w:r w:rsidRPr="007100BE">
        <w:t xml:space="preserve"> The hardware and software plans specify the calibration, QC, and validation processes, but as a pre-launch startup the firm has not yet </w:t>
      </w:r>
      <w:r w:rsidRPr="007100BE">
        <w:rPr>
          <w:i/>
          <w:iCs/>
        </w:rPr>
        <w:t>demonstrated</w:t>
      </w:r>
      <w:r w:rsidRPr="007100BE">
        <w:t xml:space="preserve"> the organizational capacity (clinical-grade validation, calibration at production scale) needed to realize the claim.</w:t>
      </w:r>
    </w:p>
    <w:p w14:paraId="6CD44775" w14:textId="45A6202D" w:rsidR="007100BE" w:rsidRPr="007100BE" w:rsidRDefault="007100BE" w:rsidP="007100BE">
      <w:r w:rsidRPr="007100BE">
        <w:rPr>
          <w:b/>
          <w:bCs/>
        </w:rPr>
        <w:t>Verdict: Potential sustained advantage, currently gated by organizational maturity.</w:t>
      </w:r>
      <w:r w:rsidRPr="007100BE">
        <w:t xml:space="preserve"> Until validation is proven at scale, it functions as a temporary advantage.</w:t>
      </w:r>
    </w:p>
    <w:p w14:paraId="4DCDC68F" w14:textId="77777777" w:rsidR="007100BE" w:rsidRPr="007100BE" w:rsidRDefault="00000000" w:rsidP="007100BE">
      <w:r>
        <w:pict w14:anchorId="3656663D">
          <v:rect id="_x0000_i1026" style="width:0;height:1.5pt" o:hralign="center" o:hrstd="t" o:hr="t" fillcolor="#a0a0a0" stroked="f"/>
        </w:pict>
      </w:r>
    </w:p>
    <w:p w14:paraId="6A473B68" w14:textId="7BF000BE" w:rsidR="007100BE" w:rsidRPr="007100BE" w:rsidRDefault="007100BE" w:rsidP="007100BE">
      <w:pPr>
        <w:rPr>
          <w:b/>
          <w:bCs/>
        </w:rPr>
      </w:pPr>
      <w:r w:rsidRPr="007100BE">
        <w:rPr>
          <w:b/>
          <w:bCs/>
        </w:rPr>
        <w:t xml:space="preserve">Resource </w:t>
      </w:r>
      <w:r w:rsidR="00086359" w:rsidRPr="00086359">
        <w:rPr>
          <w:rFonts w:cs="Times New Roman"/>
          <w:b/>
          <w:bCs/>
        </w:rPr>
        <w:t>2</w:t>
      </w:r>
      <w:r w:rsidRPr="007100BE">
        <w:rPr>
          <w:b/>
          <w:bCs/>
        </w:rPr>
        <w:t xml:space="preserve"> — Confidence-aware tracking and Calm Mode</w:t>
      </w:r>
    </w:p>
    <w:p w14:paraId="49BEEE5B" w14:textId="77777777" w:rsidR="007100BE" w:rsidRPr="007100BE" w:rsidRDefault="007100BE" w:rsidP="007100BE">
      <w:r w:rsidRPr="007100BE">
        <w:rPr>
          <w:i/>
          <w:iCs/>
        </w:rPr>
        <w:t>Every metric is tagged ("high confidence," "movement affected," "poor fit," "baseline learning," "research only"), and non-alarmist framing replaces panic language ("one unusual night is normal").</w:t>
      </w:r>
    </w:p>
    <w:p w14:paraId="3CCAF047" w14:textId="77777777" w:rsidR="007100BE" w:rsidRPr="007100BE" w:rsidRDefault="007100BE" w:rsidP="007100BE">
      <w:pPr>
        <w:numPr>
          <w:ilvl w:val="0"/>
          <w:numId w:val="3"/>
        </w:numPr>
      </w:pPr>
      <w:r w:rsidRPr="007100BE">
        <w:rPr>
          <w:b/>
          <w:bCs/>
        </w:rPr>
        <w:t>Value — Yes.</w:t>
      </w:r>
      <w:r w:rsidRPr="007100BE">
        <w:t xml:space="preserve"> It addresses two documented problems at once: distrust from unexplained numbers, and the health anxiety that constant monitoring can trigger (the "obsessive behaviors and paranoia" noted for Circular). Both lift trust and retention.</w:t>
      </w:r>
    </w:p>
    <w:p w14:paraId="507097C1" w14:textId="77777777" w:rsidR="007100BE" w:rsidRPr="007100BE" w:rsidRDefault="007100BE" w:rsidP="007100BE">
      <w:pPr>
        <w:numPr>
          <w:ilvl w:val="0"/>
          <w:numId w:val="3"/>
        </w:numPr>
      </w:pPr>
      <w:r w:rsidRPr="007100BE">
        <w:rPr>
          <w:b/>
          <w:bCs/>
        </w:rPr>
        <w:t>Rarity — Yes.</w:t>
      </w:r>
      <w:r w:rsidRPr="007100BE">
        <w:t xml:space="preserve"> The competitor matrix records "no confidence indicators" across essentially the entire field; explicit anxiety-reducing design is rare.</w:t>
      </w:r>
    </w:p>
    <w:p w14:paraId="0A7A974A" w14:textId="77777777" w:rsidR="007100BE" w:rsidRPr="007100BE" w:rsidRDefault="007100BE" w:rsidP="007100BE">
      <w:pPr>
        <w:numPr>
          <w:ilvl w:val="0"/>
          <w:numId w:val="3"/>
        </w:numPr>
      </w:pPr>
      <w:r w:rsidRPr="007100BE">
        <w:rPr>
          <w:b/>
          <w:bCs/>
        </w:rPr>
        <w:lastRenderedPageBreak/>
        <w:t>Inimitability — Moderate.</w:t>
      </w:r>
      <w:r w:rsidRPr="007100BE">
        <w:t xml:space="preserve"> The labels themselves are copyable, but the fit sensing, motion-artifact scoring, baseline learning, and consistent UX discipline beneath them form a system that is harder to reproduce well.</w:t>
      </w:r>
    </w:p>
    <w:p w14:paraId="1C0AB2FF" w14:textId="77777777" w:rsidR="007100BE" w:rsidRPr="007100BE" w:rsidRDefault="007100BE" w:rsidP="007100BE">
      <w:pPr>
        <w:numPr>
          <w:ilvl w:val="0"/>
          <w:numId w:val="3"/>
        </w:numPr>
      </w:pPr>
      <w:r w:rsidRPr="007100BE">
        <w:rPr>
          <w:b/>
          <w:bCs/>
        </w:rPr>
        <w:t>Organization — Yes.</w:t>
      </w:r>
      <w:r w:rsidRPr="007100BE">
        <w:t xml:space="preserve"> The software design embeds this end to end — dashboard labels, the 7-day baseline onboarding, and Calm Mode — so the firm is structured to deliver it.</w:t>
      </w:r>
    </w:p>
    <w:p w14:paraId="6181B48E" w14:textId="77777777" w:rsidR="007100BE" w:rsidRPr="007100BE" w:rsidRDefault="007100BE" w:rsidP="007100BE">
      <w:r w:rsidRPr="007100BE">
        <w:rPr>
          <w:b/>
          <w:bCs/>
        </w:rPr>
        <w:t>Verdict: Temporary advantage trending toward sustained.</w:t>
      </w:r>
      <w:r w:rsidRPr="007100BE">
        <w:t xml:space="preserve"> Defensible as a system, though the visible surface invites fast imitation; the durable edge lies in the underlying signal-quality engineering.</w:t>
      </w:r>
    </w:p>
    <w:p w14:paraId="47F89635" w14:textId="77777777" w:rsidR="007100BE" w:rsidRPr="007100BE" w:rsidRDefault="00000000" w:rsidP="007100BE">
      <w:r>
        <w:pict w14:anchorId="2B9D0808">
          <v:rect id="_x0000_i1027" style="width:0;height:1.5pt" o:hralign="center" o:hrstd="t" o:hr="t" fillcolor="#a0a0a0" stroked="f"/>
        </w:pict>
      </w:r>
    </w:p>
    <w:p w14:paraId="26A75B4D" w14:textId="3B363FDD" w:rsidR="007100BE" w:rsidRPr="007100BE" w:rsidRDefault="007100BE" w:rsidP="007100BE">
      <w:pPr>
        <w:rPr>
          <w:b/>
          <w:bCs/>
        </w:rPr>
      </w:pPr>
      <w:r w:rsidRPr="007100BE">
        <w:rPr>
          <w:b/>
          <w:bCs/>
        </w:rPr>
        <w:t xml:space="preserve">Resource </w:t>
      </w:r>
      <w:r w:rsidR="00086359" w:rsidRPr="00086359">
        <w:rPr>
          <w:rFonts w:cs="Times New Roman"/>
          <w:b/>
          <w:bCs/>
        </w:rPr>
        <w:t>3</w:t>
      </w:r>
      <w:r w:rsidRPr="007100BE">
        <w:rPr>
          <w:b/>
          <w:bCs/>
        </w:rPr>
        <w:t xml:space="preserve"> — Free-core / paid-interpretation business model</w:t>
      </w:r>
    </w:p>
    <w:p w14:paraId="7D666FF6" w14:textId="77777777" w:rsidR="007100BE" w:rsidRPr="007100BE" w:rsidRDefault="007100BE" w:rsidP="007100BE">
      <w:r w:rsidRPr="007100BE">
        <w:rPr>
          <w:i/>
          <w:iCs/>
        </w:rPr>
        <w:t>Essential body data stays free forever; subscription buys interpretation, coaching, and long-term analysis, with the boundary stated at purchase.</w:t>
      </w:r>
    </w:p>
    <w:p w14:paraId="5DE22C26" w14:textId="77777777" w:rsidR="007100BE" w:rsidRPr="007100BE" w:rsidRDefault="007100BE" w:rsidP="007100BE">
      <w:pPr>
        <w:numPr>
          <w:ilvl w:val="0"/>
          <w:numId w:val="4"/>
        </w:numPr>
      </w:pPr>
      <w:r w:rsidRPr="007100BE">
        <w:rPr>
          <w:b/>
          <w:bCs/>
        </w:rPr>
        <w:t>Value — Yes.</w:t>
      </w:r>
      <w:r w:rsidRPr="007100BE">
        <w:t xml:space="preserve"> It neutralizes two competitor-driven threats — Oura's subscription fatigue and Zepp's hidden AI paywalls — and lowers adoption friction for the trust-value segment.</w:t>
      </w:r>
    </w:p>
    <w:p w14:paraId="48C48A57" w14:textId="77777777" w:rsidR="007100BE" w:rsidRPr="007100BE" w:rsidRDefault="007100BE" w:rsidP="007100BE">
      <w:pPr>
        <w:numPr>
          <w:ilvl w:val="0"/>
          <w:numId w:val="4"/>
        </w:numPr>
      </w:pPr>
      <w:r w:rsidRPr="007100BE">
        <w:rPr>
          <w:b/>
          <w:bCs/>
        </w:rPr>
        <w:t>Rarity — Low.</w:t>
      </w:r>
      <w:r w:rsidRPr="007100BE">
        <w:t xml:space="preserve"> Subscription-free or low-friction models already exist (Ultrahuman, Samsung, RingConn). The "free core forever, pay only for interpretation" framing is articulate but not substantively rare.</w:t>
      </w:r>
    </w:p>
    <w:p w14:paraId="36FC11F5" w14:textId="77777777" w:rsidR="007100BE" w:rsidRPr="007100BE" w:rsidRDefault="007100BE" w:rsidP="007100BE">
      <w:pPr>
        <w:numPr>
          <w:ilvl w:val="0"/>
          <w:numId w:val="4"/>
        </w:numPr>
      </w:pPr>
      <w:r w:rsidRPr="007100BE">
        <w:rPr>
          <w:b/>
          <w:bCs/>
        </w:rPr>
        <w:t>Inimitability — Low.</w:t>
      </w:r>
      <w:r w:rsidRPr="007100BE">
        <w:t xml:space="preserve"> A pricing and feature-gating choice is easy to copy; the only friction is the </w:t>
      </w:r>
      <w:r w:rsidRPr="007100BE">
        <w:rPr>
          <w:i/>
          <w:iCs/>
        </w:rPr>
        <w:t>discipline</w:t>
      </w:r>
      <w:r w:rsidRPr="007100BE">
        <w:t xml:space="preserve"> to sustain it, not the design.</w:t>
      </w:r>
    </w:p>
    <w:p w14:paraId="7F49C27C" w14:textId="77777777" w:rsidR="007100BE" w:rsidRPr="007100BE" w:rsidRDefault="007100BE" w:rsidP="007100BE">
      <w:pPr>
        <w:numPr>
          <w:ilvl w:val="0"/>
          <w:numId w:val="4"/>
        </w:numPr>
      </w:pPr>
      <w:r w:rsidRPr="007100BE">
        <w:rPr>
          <w:b/>
          <w:bCs/>
        </w:rPr>
        <w:t>Organization — Yes.</w:t>
      </w:r>
      <w:r w:rsidRPr="007100BE">
        <w:t xml:space="preserve"> The revenue and software-gating plans make it operational from day one.</w:t>
      </w:r>
    </w:p>
    <w:p w14:paraId="4BB7111F" w14:textId="77777777" w:rsidR="007100BE" w:rsidRPr="007100BE" w:rsidRDefault="007100BE" w:rsidP="007100BE">
      <w:r w:rsidRPr="007100BE">
        <w:rPr>
          <w:b/>
          <w:bCs/>
        </w:rPr>
        <w:t>Verdict: Competitive parity, with temporary advantage at most.</w:t>
      </w:r>
      <w:r w:rsidRPr="007100BE">
        <w:t xml:space="preserve"> It is valuable and well-organized but neither rare nor inimitable, so it mainly defends against a threat rather than building durable advantage.</w:t>
      </w:r>
    </w:p>
    <w:p w14:paraId="4918B8B0" w14:textId="77777777" w:rsidR="007100BE" w:rsidRPr="007100BE" w:rsidRDefault="00000000" w:rsidP="007100BE">
      <w:r>
        <w:pict w14:anchorId="4249D487">
          <v:rect id="_x0000_i1028" style="width:0;height:1.5pt" o:hralign="center" o:hrstd="t" o:hr="t" fillcolor="#a0a0a0" stroked="f"/>
        </w:pict>
      </w:r>
    </w:p>
    <w:p w14:paraId="54721D64" w14:textId="17259834" w:rsidR="007100BE" w:rsidRPr="007100BE" w:rsidRDefault="007100BE" w:rsidP="007100BE">
      <w:pPr>
        <w:rPr>
          <w:b/>
          <w:bCs/>
        </w:rPr>
      </w:pPr>
      <w:r w:rsidRPr="007100BE">
        <w:rPr>
          <w:b/>
          <w:bCs/>
        </w:rPr>
        <w:t xml:space="preserve">Resource </w:t>
      </w:r>
      <w:r w:rsidR="00086359" w:rsidRPr="00086359">
        <w:rPr>
          <w:rFonts w:cs="Times New Roman"/>
          <w:b/>
          <w:bCs/>
        </w:rPr>
        <w:t>4</w:t>
      </w:r>
      <w:r w:rsidRPr="007100BE">
        <w:rPr>
          <w:b/>
          <w:bCs/>
        </w:rPr>
        <w:t xml:space="preserve"> — Pro demo hardware validation network</w:t>
      </w:r>
    </w:p>
    <w:p w14:paraId="38DE5CEC" w14:textId="77777777" w:rsidR="007100BE" w:rsidRPr="007100BE" w:rsidRDefault="007100BE" w:rsidP="007100BE">
      <w:r w:rsidRPr="007100BE">
        <w:rPr>
          <w:i/>
          <w:iCs/>
        </w:rPr>
        <w:t>Pro users receive early sensor layouts, coatings, haptics, and beta firmware, and in return feed real-world data back across diverse skin tones, finger sizes, climates, and lifestyles.</w:t>
      </w:r>
    </w:p>
    <w:p w14:paraId="459F8A2C" w14:textId="77777777" w:rsidR="007100BE" w:rsidRPr="007100BE" w:rsidRDefault="007100BE" w:rsidP="007100BE">
      <w:pPr>
        <w:numPr>
          <w:ilvl w:val="0"/>
          <w:numId w:val="5"/>
        </w:numPr>
      </w:pPr>
      <w:r w:rsidRPr="007100BE">
        <w:rPr>
          <w:b/>
          <w:bCs/>
        </w:rPr>
        <w:t>Value — Yes.</w:t>
      </w:r>
      <w:r w:rsidRPr="007100BE">
        <w:t xml:space="preserve"> Dual value: it generates real-world validation data that improves fit and artifact-rejection algorithms (directly strengthening Resource 1), and it builds loyalty and an additional revenue stream.</w:t>
      </w:r>
    </w:p>
    <w:p w14:paraId="14849BEB" w14:textId="77777777" w:rsidR="007100BE" w:rsidRPr="007100BE" w:rsidRDefault="007100BE" w:rsidP="007100BE">
      <w:pPr>
        <w:numPr>
          <w:ilvl w:val="0"/>
          <w:numId w:val="5"/>
        </w:numPr>
      </w:pPr>
      <w:r w:rsidRPr="007100BE">
        <w:rPr>
          <w:b/>
          <w:bCs/>
        </w:rPr>
        <w:lastRenderedPageBreak/>
        <w:t>Rarity — Yes.</w:t>
      </w:r>
      <w:r w:rsidRPr="007100BE">
        <w:t xml:space="preserve"> No competitor is described as running a structured demo and co-development loop.</w:t>
      </w:r>
    </w:p>
    <w:p w14:paraId="3E5E495B" w14:textId="77777777" w:rsidR="007100BE" w:rsidRPr="007100BE" w:rsidRDefault="007100BE" w:rsidP="007100BE">
      <w:pPr>
        <w:numPr>
          <w:ilvl w:val="0"/>
          <w:numId w:val="5"/>
        </w:numPr>
      </w:pPr>
      <w:r w:rsidRPr="007100BE">
        <w:rPr>
          <w:b/>
          <w:bCs/>
        </w:rPr>
        <w:t>Inimitability — Yes, high.</w:t>
      </w:r>
      <w:r w:rsidRPr="007100BE">
        <w:t xml:space="preserve"> It is a compounding data-and-community resource: socially complex (trust, feedback culture) and path-dependent (proprietary diverse-population data accumulates and cannot be bought instantly), giving it the character of a network effect.</w:t>
      </w:r>
    </w:p>
    <w:p w14:paraId="423110BC" w14:textId="77777777" w:rsidR="007100BE" w:rsidRPr="007100BE" w:rsidRDefault="007100BE" w:rsidP="007100BE">
      <w:pPr>
        <w:numPr>
          <w:ilvl w:val="0"/>
          <w:numId w:val="5"/>
        </w:numPr>
      </w:pPr>
      <w:r w:rsidRPr="007100BE">
        <w:rPr>
          <w:b/>
          <w:bCs/>
        </w:rPr>
        <w:t>Organization — Partial.</w:t>
      </w:r>
      <w:r w:rsidRPr="007100BE">
        <w:t xml:space="preserve"> It requires community management, beta-firmware infrastructure, feedback systems, and upgrade-credit logistics — all specified in the plan but unproven, and dependent on reaching a critical mass of Pro testers.</w:t>
      </w:r>
    </w:p>
    <w:p w14:paraId="6F5BCC9E" w14:textId="77777777" w:rsidR="007100BE" w:rsidRPr="007100BE" w:rsidRDefault="007100BE" w:rsidP="007100BE">
      <w:r w:rsidRPr="007100BE">
        <w:rPr>
          <w:b/>
          <w:bCs/>
        </w:rPr>
        <w:t>Verdict: Potential sustained advantage via a data/loyalty network effect</w:t>
      </w:r>
      <w:r w:rsidRPr="007100BE">
        <w:t>, contingent on reaching scale and executing the community and beta operations.</w:t>
      </w:r>
    </w:p>
    <w:p w14:paraId="2FC5BED0" w14:textId="77777777" w:rsidR="007100BE" w:rsidRPr="007100BE" w:rsidRDefault="00000000" w:rsidP="007100BE">
      <w:r>
        <w:pict w14:anchorId="256B0CAC">
          <v:rect id="_x0000_i1029" style="width:0;height:1.5pt" o:hralign="center" o:hrstd="t" o:hr="t" fillcolor="#a0a0a0" stroked="f"/>
        </w:pict>
      </w:r>
    </w:p>
    <w:p w14:paraId="5035FD50" w14:textId="06145365" w:rsidR="007100BE" w:rsidRPr="007100BE" w:rsidRDefault="007100BE" w:rsidP="007100BE">
      <w:pPr>
        <w:rPr>
          <w:b/>
          <w:bCs/>
        </w:rPr>
      </w:pPr>
      <w:r w:rsidRPr="007100BE">
        <w:rPr>
          <w:b/>
          <w:bCs/>
        </w:rPr>
        <w:t xml:space="preserve">Resource </w:t>
      </w:r>
      <w:r w:rsidR="00086359" w:rsidRPr="00086359">
        <w:rPr>
          <w:rFonts w:cs="Times New Roman"/>
          <w:b/>
          <w:bCs/>
        </w:rPr>
        <w:t>5</w:t>
      </w:r>
      <w:r w:rsidRPr="007100BE">
        <w:rPr>
          <w:b/>
          <w:bCs/>
        </w:rPr>
        <w:t xml:space="preserve"> — Cross-platform sync with local buffering</w:t>
      </w:r>
    </w:p>
    <w:p w14:paraId="4243D867" w14:textId="77777777" w:rsidR="007100BE" w:rsidRPr="007100BE" w:rsidRDefault="007100BE" w:rsidP="007100BE">
      <w:r w:rsidRPr="007100BE">
        <w:rPr>
          <w:i/>
          <w:iCs/>
        </w:rPr>
        <w:t>Full iOS and Android parity, on-ring storage when the phone is away, automatic recovery, and transparent sync states.</w:t>
      </w:r>
    </w:p>
    <w:p w14:paraId="3FD1C84D" w14:textId="77777777" w:rsidR="007100BE" w:rsidRPr="007100BE" w:rsidRDefault="007100BE" w:rsidP="007100BE">
      <w:pPr>
        <w:numPr>
          <w:ilvl w:val="0"/>
          <w:numId w:val="6"/>
        </w:numPr>
      </w:pPr>
      <w:r w:rsidRPr="007100BE">
        <w:rPr>
          <w:b/>
          <w:bCs/>
        </w:rPr>
        <w:t>Value — Yes.</w:t>
      </w:r>
      <w:r w:rsidRPr="007100BE">
        <w:t xml:space="preserve"> It neutralizes Samsung's ecosystem lock-in and boAt's sync-reliability problems, broadening the addressable base.</w:t>
      </w:r>
    </w:p>
    <w:p w14:paraId="6DFE067D" w14:textId="77777777" w:rsidR="007100BE" w:rsidRPr="007100BE" w:rsidRDefault="007100BE" w:rsidP="007100BE">
      <w:pPr>
        <w:numPr>
          <w:ilvl w:val="0"/>
          <w:numId w:val="6"/>
        </w:numPr>
      </w:pPr>
      <w:r w:rsidRPr="007100BE">
        <w:rPr>
          <w:b/>
          <w:bCs/>
        </w:rPr>
        <w:t>Rarity — No.</w:t>
      </w:r>
      <w:r w:rsidRPr="007100BE">
        <w:t xml:space="preserve"> Most rivals (Oura, Ultrahuman, RingConn, Circular) already offer iOS + Android parity.</w:t>
      </w:r>
    </w:p>
    <w:p w14:paraId="454BE56B" w14:textId="77777777" w:rsidR="007100BE" w:rsidRPr="007100BE" w:rsidRDefault="007100BE" w:rsidP="007100BE">
      <w:pPr>
        <w:numPr>
          <w:ilvl w:val="0"/>
          <w:numId w:val="6"/>
        </w:numPr>
      </w:pPr>
      <w:r w:rsidRPr="007100BE">
        <w:rPr>
          <w:b/>
          <w:bCs/>
        </w:rPr>
        <w:t>Inimitability — Low</w:t>
      </w:r>
      <w:r w:rsidRPr="007100BE">
        <w:t xml:space="preserve"> for cross-platform support; </w:t>
      </w:r>
      <w:r w:rsidRPr="007100BE">
        <w:rPr>
          <w:b/>
          <w:bCs/>
        </w:rPr>
        <w:t>moderate</w:t>
      </w:r>
      <w:r w:rsidRPr="007100BE">
        <w:t xml:space="preserve"> only for demonstrably superior buffering and sync reliability.</w:t>
      </w:r>
    </w:p>
    <w:p w14:paraId="0BAD0507" w14:textId="77777777" w:rsidR="007100BE" w:rsidRPr="007100BE" w:rsidRDefault="007100BE" w:rsidP="007100BE">
      <w:pPr>
        <w:numPr>
          <w:ilvl w:val="0"/>
          <w:numId w:val="6"/>
        </w:numPr>
      </w:pPr>
      <w:r w:rsidRPr="007100BE">
        <w:rPr>
          <w:b/>
          <w:bCs/>
        </w:rPr>
        <w:t>Organization — Yes.</w:t>
      </w:r>
      <w:r w:rsidRPr="007100BE">
        <w:t xml:space="preserve"> Built into the firmware and app design.</w:t>
      </w:r>
    </w:p>
    <w:p w14:paraId="07A69824" w14:textId="77777777" w:rsidR="007100BE" w:rsidRPr="007100BE" w:rsidRDefault="007100BE" w:rsidP="007100BE">
      <w:r w:rsidRPr="007100BE">
        <w:rPr>
          <w:b/>
          <w:bCs/>
        </w:rPr>
        <w:t>Verdict: Competitive parity (table stakes),</w:t>
      </w:r>
      <w:r w:rsidRPr="007100BE">
        <w:t xml:space="preserve"> with a marginal temporary edge available only if sync reliability proves measurably better than rivals'.</w:t>
      </w:r>
    </w:p>
    <w:p w14:paraId="1D275234" w14:textId="77777777" w:rsidR="007100BE" w:rsidRPr="007100BE" w:rsidRDefault="00000000" w:rsidP="007100BE">
      <w:r>
        <w:pict w14:anchorId="16D1DCDB">
          <v:rect id="_x0000_i1030" style="width:0;height:1.5pt" o:hralign="center" o:hrstd="t" o:hr="t" fillcolor="#a0a0a0" stroked="f"/>
        </w:pict>
      </w:r>
    </w:p>
    <w:p w14:paraId="0889666B" w14:textId="77777777" w:rsidR="007100BE" w:rsidRPr="007100BE" w:rsidRDefault="007100BE" w:rsidP="007100BE">
      <w:pPr>
        <w:rPr>
          <w:b/>
          <w:bCs/>
        </w:rPr>
      </w:pPr>
      <w:r w:rsidRPr="007100BE">
        <w:rPr>
          <w:b/>
          <w:bCs/>
        </w:rPr>
        <w:t>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959"/>
        <w:gridCol w:w="687"/>
        <w:gridCol w:w="1127"/>
        <w:gridCol w:w="1140"/>
        <w:gridCol w:w="3098"/>
      </w:tblGrid>
      <w:tr w:rsidR="007100BE" w:rsidRPr="007100BE" w14:paraId="2CA8B760" w14:textId="77777777">
        <w:trPr>
          <w:tblHeader/>
          <w:tblCellSpacing w:w="15" w:type="dxa"/>
        </w:trPr>
        <w:tc>
          <w:tcPr>
            <w:tcW w:w="0" w:type="auto"/>
            <w:vAlign w:val="center"/>
            <w:hideMark/>
          </w:tcPr>
          <w:p w14:paraId="1A2ABBF7" w14:textId="77777777" w:rsidR="007100BE" w:rsidRPr="007100BE" w:rsidRDefault="007100BE" w:rsidP="007100BE">
            <w:pPr>
              <w:rPr>
                <w:b/>
                <w:bCs/>
              </w:rPr>
            </w:pPr>
            <w:r w:rsidRPr="007100BE">
              <w:rPr>
                <w:b/>
                <w:bCs/>
              </w:rPr>
              <w:t>Resource</w:t>
            </w:r>
          </w:p>
        </w:tc>
        <w:tc>
          <w:tcPr>
            <w:tcW w:w="0" w:type="auto"/>
            <w:vAlign w:val="center"/>
            <w:hideMark/>
          </w:tcPr>
          <w:p w14:paraId="7479A2D5" w14:textId="77777777" w:rsidR="007100BE" w:rsidRPr="007100BE" w:rsidRDefault="007100BE" w:rsidP="007100BE">
            <w:pPr>
              <w:rPr>
                <w:b/>
                <w:bCs/>
              </w:rPr>
            </w:pPr>
            <w:r w:rsidRPr="007100BE">
              <w:rPr>
                <w:b/>
                <w:bCs/>
              </w:rPr>
              <w:t>Valuable</w:t>
            </w:r>
          </w:p>
        </w:tc>
        <w:tc>
          <w:tcPr>
            <w:tcW w:w="0" w:type="auto"/>
            <w:vAlign w:val="center"/>
            <w:hideMark/>
          </w:tcPr>
          <w:p w14:paraId="7968B6BE" w14:textId="77777777" w:rsidR="007100BE" w:rsidRPr="007100BE" w:rsidRDefault="007100BE" w:rsidP="007100BE">
            <w:pPr>
              <w:rPr>
                <w:b/>
                <w:bCs/>
              </w:rPr>
            </w:pPr>
            <w:r w:rsidRPr="007100BE">
              <w:rPr>
                <w:b/>
                <w:bCs/>
              </w:rPr>
              <w:t>Rare</w:t>
            </w:r>
          </w:p>
        </w:tc>
        <w:tc>
          <w:tcPr>
            <w:tcW w:w="0" w:type="auto"/>
            <w:vAlign w:val="center"/>
            <w:hideMark/>
          </w:tcPr>
          <w:p w14:paraId="4137907C" w14:textId="77777777" w:rsidR="007100BE" w:rsidRPr="007100BE" w:rsidRDefault="007100BE" w:rsidP="007100BE">
            <w:pPr>
              <w:rPr>
                <w:b/>
                <w:bCs/>
              </w:rPr>
            </w:pPr>
            <w:r w:rsidRPr="007100BE">
              <w:rPr>
                <w:b/>
                <w:bCs/>
              </w:rPr>
              <w:t>Inimitable</w:t>
            </w:r>
          </w:p>
        </w:tc>
        <w:tc>
          <w:tcPr>
            <w:tcW w:w="0" w:type="auto"/>
            <w:vAlign w:val="center"/>
            <w:hideMark/>
          </w:tcPr>
          <w:p w14:paraId="0BAEA976" w14:textId="77777777" w:rsidR="007100BE" w:rsidRPr="007100BE" w:rsidRDefault="007100BE" w:rsidP="007100BE">
            <w:pPr>
              <w:rPr>
                <w:b/>
                <w:bCs/>
              </w:rPr>
            </w:pPr>
            <w:r w:rsidRPr="007100BE">
              <w:rPr>
                <w:b/>
                <w:bCs/>
              </w:rPr>
              <w:t>Organized</w:t>
            </w:r>
          </w:p>
        </w:tc>
        <w:tc>
          <w:tcPr>
            <w:tcW w:w="0" w:type="auto"/>
            <w:vAlign w:val="center"/>
            <w:hideMark/>
          </w:tcPr>
          <w:p w14:paraId="46A7C120" w14:textId="77777777" w:rsidR="007100BE" w:rsidRPr="007100BE" w:rsidRDefault="007100BE" w:rsidP="007100BE">
            <w:pPr>
              <w:rPr>
                <w:b/>
                <w:bCs/>
              </w:rPr>
            </w:pPr>
            <w:r w:rsidRPr="007100BE">
              <w:rPr>
                <w:b/>
                <w:bCs/>
              </w:rPr>
              <w:t>Competitive implication</w:t>
            </w:r>
          </w:p>
        </w:tc>
      </w:tr>
      <w:tr w:rsidR="007100BE" w:rsidRPr="007100BE" w14:paraId="7EF2ADC2" w14:textId="77777777">
        <w:trPr>
          <w:tblCellSpacing w:w="15" w:type="dxa"/>
        </w:trPr>
        <w:tc>
          <w:tcPr>
            <w:tcW w:w="0" w:type="auto"/>
            <w:vAlign w:val="center"/>
            <w:hideMark/>
          </w:tcPr>
          <w:p w14:paraId="5F8FB40A" w14:textId="77777777" w:rsidR="007100BE" w:rsidRPr="007100BE" w:rsidRDefault="007100BE" w:rsidP="007100BE">
            <w:r w:rsidRPr="007100BE">
              <w:t>Dual-tier shared accuracy architecture</w:t>
            </w:r>
          </w:p>
        </w:tc>
        <w:tc>
          <w:tcPr>
            <w:tcW w:w="0" w:type="auto"/>
            <w:vAlign w:val="center"/>
            <w:hideMark/>
          </w:tcPr>
          <w:p w14:paraId="26FADF7E" w14:textId="77777777" w:rsidR="007100BE" w:rsidRPr="007100BE" w:rsidRDefault="007100BE" w:rsidP="007100BE">
            <w:r w:rsidRPr="007100BE">
              <w:t>Yes</w:t>
            </w:r>
          </w:p>
        </w:tc>
        <w:tc>
          <w:tcPr>
            <w:tcW w:w="0" w:type="auto"/>
            <w:vAlign w:val="center"/>
            <w:hideMark/>
          </w:tcPr>
          <w:p w14:paraId="015CA1EB" w14:textId="77777777" w:rsidR="007100BE" w:rsidRPr="007100BE" w:rsidRDefault="007100BE" w:rsidP="007100BE">
            <w:r w:rsidRPr="007100BE">
              <w:t>Partial</w:t>
            </w:r>
          </w:p>
        </w:tc>
        <w:tc>
          <w:tcPr>
            <w:tcW w:w="0" w:type="auto"/>
            <w:vAlign w:val="center"/>
            <w:hideMark/>
          </w:tcPr>
          <w:p w14:paraId="59BC703D" w14:textId="77777777" w:rsidR="007100BE" w:rsidRPr="007100BE" w:rsidRDefault="007100BE" w:rsidP="007100BE">
            <w:r w:rsidRPr="007100BE">
              <w:t>Yes</w:t>
            </w:r>
          </w:p>
        </w:tc>
        <w:tc>
          <w:tcPr>
            <w:tcW w:w="0" w:type="auto"/>
            <w:vAlign w:val="center"/>
            <w:hideMark/>
          </w:tcPr>
          <w:p w14:paraId="2D2AB306" w14:textId="77777777" w:rsidR="007100BE" w:rsidRPr="007100BE" w:rsidRDefault="007100BE" w:rsidP="007100BE">
            <w:r w:rsidRPr="007100BE">
              <w:t>Partial</w:t>
            </w:r>
          </w:p>
        </w:tc>
        <w:tc>
          <w:tcPr>
            <w:tcW w:w="0" w:type="auto"/>
            <w:vAlign w:val="center"/>
            <w:hideMark/>
          </w:tcPr>
          <w:p w14:paraId="5A22AA78" w14:textId="77777777" w:rsidR="007100BE" w:rsidRPr="007100BE" w:rsidRDefault="007100BE" w:rsidP="007100BE">
            <w:r w:rsidRPr="007100BE">
              <w:t>Sustained advantage, gated by validation at scale</w:t>
            </w:r>
          </w:p>
        </w:tc>
      </w:tr>
      <w:tr w:rsidR="007100BE" w:rsidRPr="007100BE" w14:paraId="5CB1DDB5" w14:textId="77777777">
        <w:trPr>
          <w:tblCellSpacing w:w="15" w:type="dxa"/>
        </w:trPr>
        <w:tc>
          <w:tcPr>
            <w:tcW w:w="0" w:type="auto"/>
            <w:vAlign w:val="center"/>
            <w:hideMark/>
          </w:tcPr>
          <w:p w14:paraId="671F08DB" w14:textId="77777777" w:rsidR="007100BE" w:rsidRPr="007100BE" w:rsidRDefault="007100BE" w:rsidP="007100BE">
            <w:r w:rsidRPr="007100BE">
              <w:t>Confidence-aware tracking + Calm Mode</w:t>
            </w:r>
          </w:p>
        </w:tc>
        <w:tc>
          <w:tcPr>
            <w:tcW w:w="0" w:type="auto"/>
            <w:vAlign w:val="center"/>
            <w:hideMark/>
          </w:tcPr>
          <w:p w14:paraId="2CA39D97" w14:textId="77777777" w:rsidR="007100BE" w:rsidRPr="007100BE" w:rsidRDefault="007100BE" w:rsidP="007100BE">
            <w:r w:rsidRPr="007100BE">
              <w:t>Yes</w:t>
            </w:r>
          </w:p>
        </w:tc>
        <w:tc>
          <w:tcPr>
            <w:tcW w:w="0" w:type="auto"/>
            <w:vAlign w:val="center"/>
            <w:hideMark/>
          </w:tcPr>
          <w:p w14:paraId="1BE17024" w14:textId="77777777" w:rsidR="007100BE" w:rsidRPr="007100BE" w:rsidRDefault="007100BE" w:rsidP="007100BE">
            <w:r w:rsidRPr="007100BE">
              <w:t>Yes</w:t>
            </w:r>
          </w:p>
        </w:tc>
        <w:tc>
          <w:tcPr>
            <w:tcW w:w="0" w:type="auto"/>
            <w:vAlign w:val="center"/>
            <w:hideMark/>
          </w:tcPr>
          <w:p w14:paraId="3297D717" w14:textId="77777777" w:rsidR="007100BE" w:rsidRPr="007100BE" w:rsidRDefault="007100BE" w:rsidP="007100BE">
            <w:r w:rsidRPr="007100BE">
              <w:t>Moderate</w:t>
            </w:r>
          </w:p>
        </w:tc>
        <w:tc>
          <w:tcPr>
            <w:tcW w:w="0" w:type="auto"/>
            <w:vAlign w:val="center"/>
            <w:hideMark/>
          </w:tcPr>
          <w:p w14:paraId="0623682C" w14:textId="77777777" w:rsidR="007100BE" w:rsidRPr="007100BE" w:rsidRDefault="007100BE" w:rsidP="007100BE">
            <w:r w:rsidRPr="007100BE">
              <w:t>Yes</w:t>
            </w:r>
          </w:p>
        </w:tc>
        <w:tc>
          <w:tcPr>
            <w:tcW w:w="0" w:type="auto"/>
            <w:vAlign w:val="center"/>
            <w:hideMark/>
          </w:tcPr>
          <w:p w14:paraId="17601928" w14:textId="77777777" w:rsidR="007100BE" w:rsidRPr="007100BE" w:rsidRDefault="007100BE" w:rsidP="007100BE">
            <w:r w:rsidRPr="007100BE">
              <w:t>Temporary → sustained advantage</w:t>
            </w:r>
          </w:p>
        </w:tc>
      </w:tr>
      <w:tr w:rsidR="007100BE" w:rsidRPr="007100BE" w14:paraId="7B7CCA44" w14:textId="77777777">
        <w:trPr>
          <w:tblCellSpacing w:w="15" w:type="dxa"/>
        </w:trPr>
        <w:tc>
          <w:tcPr>
            <w:tcW w:w="0" w:type="auto"/>
            <w:vAlign w:val="center"/>
            <w:hideMark/>
          </w:tcPr>
          <w:p w14:paraId="2E936237" w14:textId="77777777" w:rsidR="007100BE" w:rsidRPr="007100BE" w:rsidRDefault="007100BE" w:rsidP="007100BE">
            <w:r w:rsidRPr="007100BE">
              <w:lastRenderedPageBreak/>
              <w:t>Free-core / paid-interpretation model</w:t>
            </w:r>
          </w:p>
        </w:tc>
        <w:tc>
          <w:tcPr>
            <w:tcW w:w="0" w:type="auto"/>
            <w:vAlign w:val="center"/>
            <w:hideMark/>
          </w:tcPr>
          <w:p w14:paraId="672B9C50" w14:textId="77777777" w:rsidR="007100BE" w:rsidRPr="007100BE" w:rsidRDefault="007100BE" w:rsidP="007100BE">
            <w:r w:rsidRPr="007100BE">
              <w:t>Yes</w:t>
            </w:r>
          </w:p>
        </w:tc>
        <w:tc>
          <w:tcPr>
            <w:tcW w:w="0" w:type="auto"/>
            <w:vAlign w:val="center"/>
            <w:hideMark/>
          </w:tcPr>
          <w:p w14:paraId="0F189C15" w14:textId="77777777" w:rsidR="007100BE" w:rsidRPr="007100BE" w:rsidRDefault="007100BE" w:rsidP="007100BE">
            <w:r w:rsidRPr="007100BE">
              <w:t>No</w:t>
            </w:r>
          </w:p>
        </w:tc>
        <w:tc>
          <w:tcPr>
            <w:tcW w:w="0" w:type="auto"/>
            <w:vAlign w:val="center"/>
            <w:hideMark/>
          </w:tcPr>
          <w:p w14:paraId="3E287E23" w14:textId="77777777" w:rsidR="007100BE" w:rsidRPr="007100BE" w:rsidRDefault="007100BE" w:rsidP="007100BE">
            <w:r w:rsidRPr="007100BE">
              <w:t>No</w:t>
            </w:r>
          </w:p>
        </w:tc>
        <w:tc>
          <w:tcPr>
            <w:tcW w:w="0" w:type="auto"/>
            <w:vAlign w:val="center"/>
            <w:hideMark/>
          </w:tcPr>
          <w:p w14:paraId="327BDA82" w14:textId="77777777" w:rsidR="007100BE" w:rsidRPr="007100BE" w:rsidRDefault="007100BE" w:rsidP="007100BE">
            <w:r w:rsidRPr="007100BE">
              <w:t>Yes</w:t>
            </w:r>
          </w:p>
        </w:tc>
        <w:tc>
          <w:tcPr>
            <w:tcW w:w="0" w:type="auto"/>
            <w:vAlign w:val="center"/>
            <w:hideMark/>
          </w:tcPr>
          <w:p w14:paraId="547A863E" w14:textId="77777777" w:rsidR="007100BE" w:rsidRPr="007100BE" w:rsidRDefault="007100BE" w:rsidP="007100BE">
            <w:r w:rsidRPr="007100BE">
              <w:t>Parity (threat-neutralizing)</w:t>
            </w:r>
          </w:p>
        </w:tc>
      </w:tr>
      <w:tr w:rsidR="007100BE" w:rsidRPr="007100BE" w14:paraId="006B6B65" w14:textId="77777777">
        <w:trPr>
          <w:tblCellSpacing w:w="15" w:type="dxa"/>
        </w:trPr>
        <w:tc>
          <w:tcPr>
            <w:tcW w:w="0" w:type="auto"/>
            <w:vAlign w:val="center"/>
            <w:hideMark/>
          </w:tcPr>
          <w:p w14:paraId="7D68996C" w14:textId="77777777" w:rsidR="007100BE" w:rsidRPr="007100BE" w:rsidRDefault="007100BE" w:rsidP="007100BE">
            <w:r w:rsidRPr="007100BE">
              <w:t>Pro demo validation network</w:t>
            </w:r>
          </w:p>
        </w:tc>
        <w:tc>
          <w:tcPr>
            <w:tcW w:w="0" w:type="auto"/>
            <w:vAlign w:val="center"/>
            <w:hideMark/>
          </w:tcPr>
          <w:p w14:paraId="30D2B4DA" w14:textId="77777777" w:rsidR="007100BE" w:rsidRPr="007100BE" w:rsidRDefault="007100BE" w:rsidP="007100BE">
            <w:r w:rsidRPr="007100BE">
              <w:t>Yes</w:t>
            </w:r>
          </w:p>
        </w:tc>
        <w:tc>
          <w:tcPr>
            <w:tcW w:w="0" w:type="auto"/>
            <w:vAlign w:val="center"/>
            <w:hideMark/>
          </w:tcPr>
          <w:p w14:paraId="1E70E956" w14:textId="77777777" w:rsidR="007100BE" w:rsidRPr="007100BE" w:rsidRDefault="007100BE" w:rsidP="007100BE">
            <w:r w:rsidRPr="007100BE">
              <w:t>Yes</w:t>
            </w:r>
          </w:p>
        </w:tc>
        <w:tc>
          <w:tcPr>
            <w:tcW w:w="0" w:type="auto"/>
            <w:vAlign w:val="center"/>
            <w:hideMark/>
          </w:tcPr>
          <w:p w14:paraId="6CB44F6C" w14:textId="77777777" w:rsidR="007100BE" w:rsidRPr="007100BE" w:rsidRDefault="007100BE" w:rsidP="007100BE">
            <w:r w:rsidRPr="007100BE">
              <w:t>Yes</w:t>
            </w:r>
          </w:p>
        </w:tc>
        <w:tc>
          <w:tcPr>
            <w:tcW w:w="0" w:type="auto"/>
            <w:vAlign w:val="center"/>
            <w:hideMark/>
          </w:tcPr>
          <w:p w14:paraId="5C57D180" w14:textId="77777777" w:rsidR="007100BE" w:rsidRPr="007100BE" w:rsidRDefault="007100BE" w:rsidP="007100BE">
            <w:r w:rsidRPr="007100BE">
              <w:t>Partial</w:t>
            </w:r>
          </w:p>
        </w:tc>
        <w:tc>
          <w:tcPr>
            <w:tcW w:w="0" w:type="auto"/>
            <w:vAlign w:val="center"/>
            <w:hideMark/>
          </w:tcPr>
          <w:p w14:paraId="300D11AA" w14:textId="77777777" w:rsidR="007100BE" w:rsidRPr="007100BE" w:rsidRDefault="007100BE" w:rsidP="007100BE">
            <w:r w:rsidRPr="007100BE">
              <w:t>Sustained advantage via data/loyalty network, if it reaches scale</w:t>
            </w:r>
          </w:p>
        </w:tc>
      </w:tr>
      <w:tr w:rsidR="007100BE" w:rsidRPr="007100BE" w14:paraId="24EAB5EA" w14:textId="77777777">
        <w:trPr>
          <w:tblCellSpacing w:w="15" w:type="dxa"/>
        </w:trPr>
        <w:tc>
          <w:tcPr>
            <w:tcW w:w="0" w:type="auto"/>
            <w:vAlign w:val="center"/>
            <w:hideMark/>
          </w:tcPr>
          <w:p w14:paraId="3403C3DB" w14:textId="77777777" w:rsidR="007100BE" w:rsidRPr="007100BE" w:rsidRDefault="007100BE" w:rsidP="007100BE">
            <w:r w:rsidRPr="007100BE">
              <w:t>Cross-platform sync + buffering</w:t>
            </w:r>
          </w:p>
        </w:tc>
        <w:tc>
          <w:tcPr>
            <w:tcW w:w="0" w:type="auto"/>
            <w:vAlign w:val="center"/>
            <w:hideMark/>
          </w:tcPr>
          <w:p w14:paraId="0F7D6AF3" w14:textId="77777777" w:rsidR="007100BE" w:rsidRPr="007100BE" w:rsidRDefault="007100BE" w:rsidP="007100BE">
            <w:r w:rsidRPr="007100BE">
              <w:t>Yes</w:t>
            </w:r>
          </w:p>
        </w:tc>
        <w:tc>
          <w:tcPr>
            <w:tcW w:w="0" w:type="auto"/>
            <w:vAlign w:val="center"/>
            <w:hideMark/>
          </w:tcPr>
          <w:p w14:paraId="597CA8B5" w14:textId="77777777" w:rsidR="007100BE" w:rsidRPr="007100BE" w:rsidRDefault="007100BE" w:rsidP="007100BE">
            <w:r w:rsidRPr="007100BE">
              <w:t>No</w:t>
            </w:r>
          </w:p>
        </w:tc>
        <w:tc>
          <w:tcPr>
            <w:tcW w:w="0" w:type="auto"/>
            <w:vAlign w:val="center"/>
            <w:hideMark/>
          </w:tcPr>
          <w:p w14:paraId="1E610155" w14:textId="77777777" w:rsidR="007100BE" w:rsidRPr="007100BE" w:rsidRDefault="007100BE" w:rsidP="007100BE">
            <w:r w:rsidRPr="007100BE">
              <w:t>Low</w:t>
            </w:r>
          </w:p>
        </w:tc>
        <w:tc>
          <w:tcPr>
            <w:tcW w:w="0" w:type="auto"/>
            <w:vAlign w:val="center"/>
            <w:hideMark/>
          </w:tcPr>
          <w:p w14:paraId="0A7CE64F" w14:textId="77777777" w:rsidR="007100BE" w:rsidRPr="007100BE" w:rsidRDefault="007100BE" w:rsidP="007100BE">
            <w:r w:rsidRPr="007100BE">
              <w:t>Yes</w:t>
            </w:r>
          </w:p>
        </w:tc>
        <w:tc>
          <w:tcPr>
            <w:tcW w:w="0" w:type="auto"/>
            <w:vAlign w:val="center"/>
            <w:hideMark/>
          </w:tcPr>
          <w:p w14:paraId="749C22A9" w14:textId="77777777" w:rsidR="007100BE" w:rsidRPr="007100BE" w:rsidRDefault="007100BE" w:rsidP="007100BE">
            <w:r w:rsidRPr="007100BE">
              <w:t>Parity (table stakes)</w:t>
            </w:r>
          </w:p>
        </w:tc>
      </w:tr>
    </w:tbl>
    <w:p w14:paraId="2369F17C" w14:textId="77777777" w:rsidR="000B335D" w:rsidRDefault="000B335D"/>
    <w:sectPr w:rsidR="000B335D">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6BB31" w14:textId="77777777" w:rsidR="00833C4D" w:rsidRDefault="00833C4D" w:rsidP="00086359">
      <w:pPr>
        <w:spacing w:after="0" w:line="240" w:lineRule="auto"/>
      </w:pPr>
      <w:r>
        <w:separator/>
      </w:r>
    </w:p>
  </w:endnote>
  <w:endnote w:type="continuationSeparator" w:id="0">
    <w:p w14:paraId="5E7B9440" w14:textId="77777777" w:rsidR="00833C4D" w:rsidRDefault="00833C4D" w:rsidP="00086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BD24F" w14:textId="77777777" w:rsidR="00086359" w:rsidRDefault="000863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24038" w14:textId="77777777" w:rsidR="00086359" w:rsidRDefault="00086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3CA0A" w14:textId="77777777" w:rsidR="00086359" w:rsidRDefault="000863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A16CC" w14:textId="77777777" w:rsidR="00833C4D" w:rsidRDefault="00833C4D" w:rsidP="00086359">
      <w:pPr>
        <w:spacing w:after="0" w:line="240" w:lineRule="auto"/>
      </w:pPr>
      <w:r>
        <w:separator/>
      </w:r>
    </w:p>
  </w:footnote>
  <w:footnote w:type="continuationSeparator" w:id="0">
    <w:p w14:paraId="00FF91A3" w14:textId="77777777" w:rsidR="00833C4D" w:rsidRDefault="00833C4D" w:rsidP="00086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B2144" w14:textId="77777777" w:rsidR="00086359" w:rsidRDefault="000863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F2DD" w14:textId="77777777" w:rsidR="00086359" w:rsidRDefault="000863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8BE0" w14:textId="77777777" w:rsidR="00086359" w:rsidRDefault="000863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4A37"/>
    <w:multiLevelType w:val="multilevel"/>
    <w:tmpl w:val="E15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45BA8"/>
    <w:multiLevelType w:val="multilevel"/>
    <w:tmpl w:val="027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D36B3"/>
    <w:multiLevelType w:val="multilevel"/>
    <w:tmpl w:val="70F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07C31"/>
    <w:multiLevelType w:val="multilevel"/>
    <w:tmpl w:val="943A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3324BF"/>
    <w:multiLevelType w:val="multilevel"/>
    <w:tmpl w:val="B78A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A073F"/>
    <w:multiLevelType w:val="multilevel"/>
    <w:tmpl w:val="4920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673299">
    <w:abstractNumId w:val="1"/>
  </w:num>
  <w:num w:numId="2" w16cid:durableId="195629981">
    <w:abstractNumId w:val="2"/>
  </w:num>
  <w:num w:numId="3" w16cid:durableId="539823962">
    <w:abstractNumId w:val="3"/>
  </w:num>
  <w:num w:numId="4" w16cid:durableId="1515725711">
    <w:abstractNumId w:val="0"/>
  </w:num>
  <w:num w:numId="5" w16cid:durableId="701057740">
    <w:abstractNumId w:val="5"/>
  </w:num>
  <w:num w:numId="6" w16cid:durableId="16093903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BE"/>
    <w:rsid w:val="00086359"/>
    <w:rsid w:val="000B335D"/>
    <w:rsid w:val="00251771"/>
    <w:rsid w:val="00403830"/>
    <w:rsid w:val="00456641"/>
    <w:rsid w:val="00515154"/>
    <w:rsid w:val="00633128"/>
    <w:rsid w:val="007100BE"/>
    <w:rsid w:val="0080171C"/>
    <w:rsid w:val="00833C4D"/>
    <w:rsid w:val="00860A20"/>
    <w:rsid w:val="00B640BC"/>
    <w:rsid w:val="00C1735A"/>
    <w:rsid w:val="00C97D41"/>
    <w:rsid w:val="00EC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D750"/>
  <w15:chartTrackingRefBased/>
  <w15:docId w15:val="{93C305CB-EEE1-4F8D-855C-7109C36C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359"/>
    <w:rPr>
      <w:rFonts w:ascii="Times New Roman" w:hAnsi="Times New Roman"/>
    </w:rPr>
  </w:style>
  <w:style w:type="paragraph" w:styleId="Heading1">
    <w:name w:val="heading 1"/>
    <w:basedOn w:val="Normal"/>
    <w:next w:val="Normal"/>
    <w:link w:val="Heading1Char"/>
    <w:uiPriority w:val="9"/>
    <w:qFormat/>
    <w:rsid w:val="00710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0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0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0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0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0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0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0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0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00BE"/>
    <w:rPr>
      <w:rFonts w:eastAsiaTheme="majorEastAsia" w:cstheme="majorBidi"/>
      <w:color w:val="272727" w:themeColor="text1" w:themeTint="D8"/>
    </w:rPr>
  </w:style>
  <w:style w:type="paragraph" w:styleId="Title">
    <w:name w:val="Title"/>
    <w:basedOn w:val="Normal"/>
    <w:next w:val="Normal"/>
    <w:link w:val="TitleChar"/>
    <w:uiPriority w:val="10"/>
    <w:qFormat/>
    <w:rsid w:val="0071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00BE"/>
    <w:pPr>
      <w:spacing w:before="160"/>
      <w:jc w:val="center"/>
    </w:pPr>
    <w:rPr>
      <w:i/>
      <w:iCs/>
      <w:color w:val="404040" w:themeColor="text1" w:themeTint="BF"/>
    </w:rPr>
  </w:style>
  <w:style w:type="character" w:customStyle="1" w:styleId="QuoteChar">
    <w:name w:val="Quote Char"/>
    <w:basedOn w:val="DefaultParagraphFont"/>
    <w:link w:val="Quote"/>
    <w:uiPriority w:val="29"/>
    <w:rsid w:val="007100BE"/>
    <w:rPr>
      <w:i/>
      <w:iCs/>
      <w:color w:val="404040" w:themeColor="text1" w:themeTint="BF"/>
    </w:rPr>
  </w:style>
  <w:style w:type="paragraph" w:styleId="ListParagraph">
    <w:name w:val="List Paragraph"/>
    <w:basedOn w:val="Normal"/>
    <w:uiPriority w:val="34"/>
    <w:qFormat/>
    <w:rsid w:val="007100BE"/>
    <w:pPr>
      <w:ind w:left="720"/>
      <w:contextualSpacing/>
    </w:pPr>
  </w:style>
  <w:style w:type="character" w:styleId="IntenseEmphasis">
    <w:name w:val="Intense Emphasis"/>
    <w:basedOn w:val="DefaultParagraphFont"/>
    <w:uiPriority w:val="21"/>
    <w:qFormat/>
    <w:rsid w:val="007100BE"/>
    <w:rPr>
      <w:i/>
      <w:iCs/>
      <w:color w:val="0F4761" w:themeColor="accent1" w:themeShade="BF"/>
    </w:rPr>
  </w:style>
  <w:style w:type="paragraph" w:styleId="IntenseQuote">
    <w:name w:val="Intense Quote"/>
    <w:basedOn w:val="Normal"/>
    <w:next w:val="Normal"/>
    <w:link w:val="IntenseQuoteChar"/>
    <w:uiPriority w:val="30"/>
    <w:qFormat/>
    <w:rsid w:val="0071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00BE"/>
    <w:rPr>
      <w:i/>
      <w:iCs/>
      <w:color w:val="0F4761" w:themeColor="accent1" w:themeShade="BF"/>
    </w:rPr>
  </w:style>
  <w:style w:type="character" w:styleId="IntenseReference">
    <w:name w:val="Intense Reference"/>
    <w:basedOn w:val="DefaultParagraphFont"/>
    <w:uiPriority w:val="32"/>
    <w:qFormat/>
    <w:rsid w:val="007100BE"/>
    <w:rPr>
      <w:b/>
      <w:bCs/>
      <w:smallCaps/>
      <w:color w:val="0F4761" w:themeColor="accent1" w:themeShade="BF"/>
      <w:spacing w:val="5"/>
    </w:rPr>
  </w:style>
  <w:style w:type="paragraph" w:styleId="Header">
    <w:name w:val="header"/>
    <w:basedOn w:val="Normal"/>
    <w:link w:val="HeaderChar"/>
    <w:uiPriority w:val="99"/>
    <w:unhideWhenUsed/>
    <w:rsid w:val="000863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6359"/>
    <w:rPr>
      <w:rFonts w:ascii="Times New Roman" w:hAnsi="Times New Roman"/>
    </w:rPr>
  </w:style>
  <w:style w:type="paragraph" w:styleId="Footer">
    <w:name w:val="footer"/>
    <w:basedOn w:val="Normal"/>
    <w:link w:val="FooterChar"/>
    <w:uiPriority w:val="99"/>
    <w:unhideWhenUsed/>
    <w:rsid w:val="000863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635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CEB0C99-B7AA-499D-8A2B-2E002FAD222E}">
  <we:reference id="wa200010453" version="1.0.0.1" store="en-US" storeType="OMEX"/>
  <we:alternateReferences>
    <we:reference id="wa200010453" version="1.0.0.1" store="en-US" storeType="OMEX"/>
  </we:alternateReferences>
  <we:properties>
    <we:property name="claude.fileId" value="&quot;a7c2a346-adf9-45ee-bbb5-8debcf68b05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7</TotalTime>
  <Pages>4</Pages>
  <Words>878</Words>
  <Characters>5567</Characters>
  <Application>Microsoft Office Word</Application>
  <DocSecurity>0</DocSecurity>
  <Lines>132</Lines>
  <Paragraphs>76</Paragraphs>
  <ScaleCrop>false</ScaleCrop>
  <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Gilnan Keves</dc:creator>
  <cp:keywords/>
  <dc:description/>
  <cp:lastModifiedBy>Gilnan Keves</cp:lastModifiedBy>
  <cp:revision>2</cp:revision>
  <dcterms:created xsi:type="dcterms:W3CDTF">2026-05-30T01:26:00Z</dcterms:created>
  <dcterms:modified xsi:type="dcterms:W3CDTF">2026-06-03T14:12:00Z</dcterms:modified>
</cp:coreProperties>
</file>